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163195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32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34"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3" w:lineRule="exact"/>
        <w:rPr>
          <w:sz w:val="24"/>
          <w:szCs w:val="24"/>
          <w:color w:val="auto"/>
        </w:rPr>
      </w:pPr>
    </w:p>
    <w:p>
      <w:pPr>
        <w:ind w:left="2360" w:right="820" w:hanging="2351"/>
        <w:spacing w:after="0" w:line="336"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2120"/>
        <w:spacing w:after="0"/>
        <w:tabs>
          <w:tab w:leader="none" w:pos="5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-7620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2900"/>
        <w:spacing w:after="0"/>
        <w:rPr>
          <w:sz w:val="20"/>
          <w:szCs w:val="20"/>
          <w:color w:val="auto"/>
        </w:rPr>
      </w:pPr>
      <w:r>
        <w:rPr>
          <w:rFonts w:ascii="Arial" w:cs="Arial" w:eastAsia="Arial" w:hAnsi="Arial"/>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141605</wp:posOffset>
            </wp:positionV>
            <wp:extent cx="1748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38" w:lineRule="exact"/>
        <w:rPr>
          <w:sz w:val="24"/>
          <w:szCs w:val="24"/>
          <w:color w:val="auto"/>
        </w:rPr>
      </w:pPr>
    </w:p>
    <w:p>
      <w:pPr>
        <w:ind w:left="2040"/>
        <w:spacing w:after="0"/>
        <w:rPr>
          <w:sz w:val="20"/>
          <w:szCs w:val="20"/>
          <w:color w:val="auto"/>
        </w:rPr>
      </w:pPr>
      <w:r>
        <w:rPr>
          <w:rFonts w:ascii="Arial" w:cs="Arial" w:eastAsia="Arial" w:hAnsi="Arial"/>
          <w:sz w:val="42"/>
          <w:szCs w:val="42"/>
          <w:b w:val="1"/>
          <w:bCs w:val="1"/>
          <w:color w:val="auto"/>
        </w:rPr>
        <w:t>Aligos Therapeutics, Inc.</w:t>
      </w:r>
    </w:p>
    <w:p>
      <w:pPr>
        <w:spacing w:after="0" w:line="52"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82-4724808</w:t>
            </w:r>
          </w:p>
        </w:tc>
      </w:tr>
      <w:tr>
        <w:trPr>
          <w:trHeight w:val="135"/>
        </w:trPr>
        <w:tc>
          <w:tcPr>
            <w:tcW w:w="4420" w:type="dxa"/>
            <w:vAlign w:val="bottom"/>
          </w:tcPr>
          <w:p>
            <w:pPr>
              <w:jc w:val="center"/>
              <w:ind w:right="18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20" w:type="dxa"/>
            <w:vAlign w:val="bottom"/>
          </w:tcPr>
          <w:p>
            <w:pPr>
              <w:jc w:val="center"/>
              <w:ind w:left="18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8"/>
              </w:rPr>
              <w:t>incorporation or organization)</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89"/>
              </w:rPr>
              <w:t>Identification No.)</w:t>
            </w:r>
          </w:p>
        </w:tc>
      </w:tr>
      <w:tr>
        <w:trPr>
          <w:trHeight w:val="295"/>
        </w:trPr>
        <w:tc>
          <w:tcPr>
            <w:tcW w:w="44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One Corporate Drive, 2nd Floor</w:t>
            </w:r>
          </w:p>
        </w:tc>
        <w:tc>
          <w:tcPr>
            <w:tcW w:w="2920" w:type="dxa"/>
            <w:vAlign w:val="bottom"/>
          </w:tcPr>
          <w:p>
            <w:pPr>
              <w:spacing w:after="0"/>
              <w:rPr>
                <w:sz w:val="24"/>
                <w:szCs w:val="24"/>
                <w:color w:val="auto"/>
              </w:rPr>
            </w:pPr>
          </w:p>
        </w:tc>
      </w:tr>
      <w:tr>
        <w:trPr>
          <w:trHeight w:val="230"/>
        </w:trPr>
        <w:tc>
          <w:tcPr>
            <w:tcW w:w="4420" w:type="dxa"/>
            <w:vAlign w:val="bottom"/>
          </w:tcPr>
          <w:p>
            <w:pPr>
              <w:jc w:val="center"/>
              <w:ind w:right="1884"/>
              <w:spacing w:after="0"/>
              <w:rPr>
                <w:sz w:val="20"/>
                <w:szCs w:val="20"/>
                <w:color w:val="auto"/>
              </w:rPr>
            </w:pPr>
            <w:r>
              <w:rPr>
                <w:rFonts w:ascii="Arial" w:cs="Arial" w:eastAsia="Arial" w:hAnsi="Arial"/>
                <w:sz w:val="18"/>
                <w:szCs w:val="18"/>
                <w:b w:val="1"/>
                <w:bCs w:val="1"/>
                <w:color w:val="auto"/>
                <w:w w:val="90"/>
              </w:rPr>
              <w:t>South San Francisco, California</w:t>
            </w:r>
          </w:p>
        </w:tc>
        <w:tc>
          <w:tcPr>
            <w:tcW w:w="2920" w:type="dxa"/>
            <w:vAlign w:val="bottom"/>
          </w:tcPr>
          <w:p>
            <w:pPr>
              <w:jc w:val="right"/>
              <w:ind w:right="186"/>
              <w:spacing w:after="0"/>
              <w:rPr>
                <w:sz w:val="20"/>
                <w:szCs w:val="20"/>
                <w:color w:val="auto"/>
              </w:rPr>
            </w:pPr>
            <w:r>
              <w:rPr>
                <w:rFonts w:ascii="Arial" w:cs="Arial" w:eastAsia="Arial" w:hAnsi="Arial"/>
                <w:sz w:val="18"/>
                <w:szCs w:val="18"/>
                <w:b w:val="1"/>
                <w:bCs w:val="1"/>
                <w:color w:val="auto"/>
              </w:rPr>
              <w:t>94080</w:t>
            </w:r>
          </w:p>
        </w:tc>
      </w:tr>
      <w:tr>
        <w:trPr>
          <w:trHeight w:val="164"/>
        </w:trPr>
        <w:tc>
          <w:tcPr>
            <w:tcW w:w="44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20" w:type="dxa"/>
            <w:vAlign w:val="bottom"/>
          </w:tcPr>
          <w:p>
            <w:pPr>
              <w:jc w:val="center"/>
              <w:ind w:left="1866"/>
              <w:spacing w:after="0"/>
              <w:rPr>
                <w:sz w:val="20"/>
                <w:szCs w:val="20"/>
                <w:color w:val="auto"/>
              </w:rPr>
            </w:pPr>
            <w:r>
              <w:rPr>
                <w:rFonts w:ascii="Arial" w:cs="Arial" w:eastAsia="Arial" w:hAnsi="Arial"/>
                <w:sz w:val="13"/>
                <w:szCs w:val="13"/>
                <w:b w:val="1"/>
                <w:bCs w:val="1"/>
                <w:color w:val="auto"/>
                <w:w w:val="90"/>
              </w:rPr>
              <w:t>(Zip Code)</w:t>
            </w:r>
          </w:p>
        </w:tc>
      </w:tr>
    </w:tbl>
    <w:p>
      <w:pPr>
        <w:spacing w:after="0" w:line="200"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1884045</wp:posOffset>
            </wp:positionH>
            <wp:positionV relativeFrom="paragraph">
              <wp:posOffset>180340</wp:posOffset>
            </wp:positionV>
            <wp:extent cx="174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27" w:lineRule="exact"/>
        <w:rPr>
          <w:sz w:val="24"/>
          <w:szCs w:val="24"/>
          <w:color w:val="auto"/>
        </w:rPr>
      </w:pPr>
    </w:p>
    <w:p>
      <w:pPr>
        <w:ind w:left="21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ectPr>
          <w:pgSz w:w="11900" w:h="16838" w:orient="portrait"/>
          <w:cols w:equalWidth="0" w:num="2">
            <w:col w:w="940" w:space="340"/>
            <w:col w:w="9960"/>
          </w:cols>
          <w:pgMar w:left="320" w:top="673" w:right="339" w:bottom="1440" w:gutter="0" w:footer="0" w:header="0"/>
          <w:type w:val="continuous"/>
        </w:sectPr>
      </w:pP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20" w:type="dxa"/>
            <w:vAlign w:val="bottom"/>
          </w:tcPr>
          <w:p>
            <w:pPr>
              <w:spacing w:after="0"/>
              <w:rPr>
                <w:sz w:val="15"/>
                <w:szCs w:val="15"/>
                <w:color w:val="auto"/>
              </w:rPr>
            </w:pP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Trading Symbol(s)</w:t>
            </w:r>
          </w:p>
        </w:tc>
        <w:tc>
          <w:tcPr>
            <w:tcW w:w="100" w:type="dxa"/>
            <w:vAlign w:val="bottom"/>
          </w:tcPr>
          <w:p>
            <w:pPr>
              <w:spacing w:after="0"/>
              <w:rPr>
                <w:sz w:val="15"/>
                <w:szCs w:val="15"/>
                <w:color w:val="auto"/>
              </w:rPr>
            </w:pPr>
          </w:p>
        </w:tc>
        <w:tc>
          <w:tcPr>
            <w:tcW w:w="436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71"/>
        </w:trPr>
        <w:tc>
          <w:tcPr>
            <w:tcW w:w="440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4"/>
                <w:szCs w:val="14"/>
                <w:color w:val="auto"/>
              </w:rPr>
            </w:pPr>
          </w:p>
        </w:tc>
        <w:tc>
          <w:tcPr>
            <w:tcW w:w="2260" w:type="dxa"/>
            <w:vAlign w:val="bottom"/>
          </w:tcPr>
          <w:p>
            <w:pPr>
              <w:ind w:left="880"/>
              <w:spacing w:after="0" w:line="170" w:lineRule="exact"/>
              <w:rPr>
                <w:sz w:val="20"/>
                <w:szCs w:val="20"/>
                <w:color w:val="auto"/>
              </w:rPr>
            </w:pPr>
            <w:r>
              <w:rPr>
                <w:rFonts w:ascii="Arial" w:cs="Arial" w:eastAsia="Arial" w:hAnsi="Arial"/>
                <w:sz w:val="18"/>
                <w:szCs w:val="18"/>
                <w:b w:val="1"/>
                <w:bCs w:val="1"/>
                <w:color w:val="auto"/>
              </w:rPr>
              <w:t>ALGS</w:t>
            </w:r>
          </w:p>
        </w:tc>
        <w:tc>
          <w:tcPr>
            <w:tcW w:w="100" w:type="dxa"/>
            <w:vAlign w:val="bottom"/>
          </w:tcPr>
          <w:p>
            <w:pPr>
              <w:spacing w:after="0"/>
              <w:rPr>
                <w:sz w:val="14"/>
                <w:szCs w:val="14"/>
                <w:color w:val="auto"/>
              </w:rPr>
            </w:pPr>
          </w:p>
        </w:tc>
        <w:tc>
          <w:tcPr>
            <w:tcW w:w="436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53" w:lineRule="exact"/>
        <w:rPr>
          <w:sz w:val="24"/>
          <w:szCs w:val="24"/>
          <w:color w:val="auto"/>
        </w:rPr>
      </w:pPr>
    </w:p>
    <w:p>
      <w:pPr>
        <w:ind w:right="6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4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20" w:firstLine="509"/>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ind w:left="20"/>
        <w:spacing w:after="0" w:line="207" w:lineRule="exact"/>
        <w:tabs>
          <w:tab w:leader="none" w:pos="2140" w:val="left"/>
          <w:tab w:leader="none" w:pos="8200" w:val="left"/>
          <w:tab w:leader="none" w:pos="110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ind w:left="20"/>
        <w:spacing w:after="0" w:line="207" w:lineRule="exact"/>
        <w:tabs>
          <w:tab w:leader="none" w:pos="2140" w:val="left"/>
          <w:tab w:leader="none" w:pos="8200" w:val="left"/>
          <w:tab w:leader="none" w:pos="110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ind w:left="8320"/>
        <w:spacing w:after="0" w:line="207" w:lineRule="exact"/>
        <w:tabs>
          <w:tab w:leader="none" w:pos="11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4" w:lineRule="exact"/>
        <w:rPr>
          <w:sz w:val="24"/>
          <w:szCs w:val="24"/>
          <w:color w:val="auto"/>
        </w:rPr>
      </w:pPr>
    </w:p>
    <w:p>
      <w:pPr>
        <w:ind w:firstLine="509"/>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900" w:val="left"/>
          <w:tab w:leader="none" w:pos="95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9" w:lineRule="exact"/>
        <w:rPr>
          <w:sz w:val="24"/>
          <w:szCs w:val="24"/>
          <w:color w:val="auto"/>
        </w:rPr>
      </w:pPr>
    </w:p>
    <w:p>
      <w:pPr>
        <w:ind w:right="140" w:firstLine="509"/>
        <w:spacing w:after="0" w:line="324" w:lineRule="auto"/>
        <w:rPr>
          <w:sz w:val="20"/>
          <w:szCs w:val="20"/>
          <w:color w:val="auto"/>
        </w:rPr>
      </w:pPr>
      <w:r>
        <w:rPr>
          <w:rFonts w:ascii="Arial" w:cs="Arial" w:eastAsia="Arial" w:hAnsi="Arial"/>
          <w:sz w:val="16"/>
          <w:szCs w:val="16"/>
          <w:color w:val="auto"/>
        </w:rPr>
        <w:t>As of October 28, 2022, the registrant had 42,815,593 shares of common stock, $0.0001 par value per share, outstanding, comprised of 39,723,255 shares of voting common stock, $0.0001 par value per share and 3,092,338 shares of non-voting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Quarterly Report on Form 10-Q contains forward-looking statements concerning our business, operations and financial performance and</w:t>
      </w:r>
    </w:p>
    <w:p>
      <w:pPr>
        <w:spacing w:after="0" w:line="3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w:t>
      </w:r>
    </w:p>
    <w:p>
      <w:pPr>
        <w:ind w:right="160"/>
        <w:spacing w:after="0" w:line="223" w:lineRule="auto"/>
        <w:rPr>
          <w:sz w:val="20"/>
          <w:szCs w:val="20"/>
          <w:color w:val="auto"/>
        </w:rPr>
      </w:pPr>
      <w:r>
        <w:rPr>
          <w:rFonts w:ascii="Arial" w:cs="Arial" w:eastAsia="Arial" w:hAnsi="Arial"/>
          <w:sz w:val="17"/>
          <w:szCs w:val="17"/>
          <w:color w:val="auto"/>
        </w:rPr>
        <w:t>“continue,” “could,” “due,” “estimate,” “expect,” “goal,” “intend,” “may,” “objective,” “plan,” “predict,” “potential,” “positioned,” “seek,” “should,” “target,” “will,” “would,” and other similar expressions that are predictions of or indicate future events and future trends, or the negative of these terms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comparable terminology. These forward-looking statements include, but are not limited to, statements about:</w:t>
      </w:r>
    </w:p>
    <w:p>
      <w:pPr>
        <w:spacing w:after="0" w:line="88" w:lineRule="exact"/>
        <w:rPr>
          <w:sz w:val="20"/>
          <w:szCs w:val="20"/>
          <w:color w:val="auto"/>
        </w:rPr>
      </w:pPr>
    </w:p>
    <w:p>
      <w:pPr>
        <w:ind w:left="1020" w:right="460" w:hanging="503"/>
        <w:spacing w:after="0" w:line="216" w:lineRule="exact"/>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w:t>
      </w:r>
      <w:r>
        <w:rPr>
          <w:rFonts w:ascii="MS PGothic" w:cs="MS PGothic" w:eastAsia="MS PGothic" w:hAnsi="MS PGothic"/>
          <w:sz w:val="18"/>
          <w:szCs w:val="18"/>
          <w:color w:val="auto"/>
        </w:rPr>
        <w:t>‑</w:t>
      </w:r>
      <w:r>
        <w:rPr>
          <w:rFonts w:ascii="Arial" w:cs="Arial" w:eastAsia="Arial" w:hAnsi="Arial"/>
          <w:sz w:val="18"/>
          <w:szCs w:val="18"/>
          <w:color w:val="auto"/>
        </w:rPr>
        <w:t>000184, ALG-055009 and ALG</w:t>
      </w:r>
      <w:r>
        <w:rPr>
          <w:rFonts w:ascii="MS PGothic" w:cs="MS PGothic" w:eastAsia="MS PGothic" w:hAnsi="MS PGothic"/>
          <w:sz w:val="18"/>
          <w:szCs w:val="18"/>
          <w:color w:val="auto"/>
        </w:rPr>
        <w:t>‑</w:t>
      </w:r>
      <w:r>
        <w:rPr>
          <w:rFonts w:ascii="Arial" w:cs="Arial" w:eastAsia="Arial" w:hAnsi="Arial"/>
          <w:sz w:val="18"/>
          <w:szCs w:val="18"/>
          <w:color w:val="auto"/>
        </w:rPr>
        <w:t>125755 clinical trials;</w:t>
      </w:r>
    </w:p>
    <w:p>
      <w:pPr>
        <w:spacing w:after="0" w:line="9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76"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developments related to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020" w:right="660" w:hanging="503"/>
        <w:spacing w:after="0" w:line="224" w:lineRule="exact"/>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potential market size and size of the potential patient populations for ALG</w:t>
      </w:r>
      <w:r>
        <w:rPr>
          <w:rFonts w:ascii="MS PGothic" w:cs="MS PGothic" w:eastAsia="MS PGothic" w:hAnsi="MS PGothic"/>
          <w:sz w:val="17"/>
          <w:szCs w:val="17"/>
          <w:color w:val="auto"/>
        </w:rPr>
        <w:t>‑</w:t>
      </w:r>
      <w:r>
        <w:rPr>
          <w:rFonts w:ascii="Arial" w:cs="Arial" w:eastAsia="Arial" w:hAnsi="Arial"/>
          <w:sz w:val="17"/>
          <w:szCs w:val="17"/>
          <w:color w:val="auto"/>
        </w:rPr>
        <w:t>000184, ALG</w:t>
      </w:r>
      <w:r>
        <w:rPr>
          <w:rFonts w:ascii="MS PGothic" w:cs="MS PGothic" w:eastAsia="MS PGothic" w:hAnsi="MS PGothic"/>
          <w:sz w:val="17"/>
          <w:szCs w:val="17"/>
          <w:color w:val="auto"/>
        </w:rPr>
        <w:t>‑</w:t>
      </w:r>
      <w:r>
        <w:rPr>
          <w:rFonts w:ascii="Arial" w:cs="Arial" w:eastAsia="Arial" w:hAnsi="Arial"/>
          <w:sz w:val="17"/>
          <w:szCs w:val="17"/>
          <w:color w:val="auto"/>
        </w:rPr>
        <w:t>055009 and ALG</w:t>
      </w:r>
      <w:r>
        <w:rPr>
          <w:rFonts w:ascii="MS PGothic" w:cs="MS PGothic" w:eastAsia="MS PGothic" w:hAnsi="MS PGothic"/>
          <w:sz w:val="17"/>
          <w:szCs w:val="17"/>
          <w:color w:val="auto"/>
        </w:rPr>
        <w:t>‑</w:t>
      </w:r>
      <w:r>
        <w:rPr>
          <w:rFonts w:ascii="Arial" w:cs="Arial" w:eastAsia="Arial" w:hAnsi="Arial"/>
          <w:sz w:val="17"/>
          <w:szCs w:val="17"/>
          <w:color w:val="auto"/>
        </w:rPr>
        <w:t>125755, our other drug candidates and any future drug candidates, if approved for commercial use;</w:t>
      </w:r>
    </w:p>
    <w:p>
      <w:pPr>
        <w:spacing w:after="0" w:line="80" w:lineRule="exact"/>
        <w:rPr>
          <w:rFonts w:ascii="Arial" w:cs="Arial" w:eastAsia="Arial" w:hAnsi="Arial"/>
          <w:sz w:val="17"/>
          <w:szCs w:val="17"/>
          <w:color w:val="auto"/>
        </w:rPr>
      </w:pPr>
    </w:p>
    <w:p>
      <w:pPr>
        <w:ind w:left="1020" w:right="60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7"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48"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76"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lawsuits related to our drug candidates or commenced against us, including the costs associated with our current litigation with Janssen Biopharma, LLC (Janssen);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drug candidates; and</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04" w:lineRule="exact"/>
        <w:rPr>
          <w:sz w:val="20"/>
          <w:szCs w:val="20"/>
          <w:color w:val="auto"/>
        </w:rPr>
      </w:pPr>
    </w:p>
    <w:p>
      <w:pPr>
        <w:jc w:val="both"/>
        <w:ind w:right="120" w:firstLine="509"/>
        <w:spacing w:after="0" w:line="256"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120"/>
        <w:spacing w:after="0" w:line="280" w:lineRule="auto"/>
        <w:rPr>
          <w:sz w:val="20"/>
          <w:szCs w:val="20"/>
          <w:color w:val="auto"/>
        </w:rPr>
      </w:pPr>
      <w:r>
        <w:rPr>
          <w:rFonts w:ascii="Arial" w:cs="Arial" w:eastAsia="Arial" w:hAnsi="Arial"/>
          <w:sz w:val="16"/>
          <w:szCs w:val="16"/>
          <w:color w:val="auto"/>
        </w:rPr>
        <w:t>control. As a result, any or all of our forward-looking statements in this Quarterly Report on Form 10-Q may turn out to be inaccurate. Factors that may cause actual results to differ materially from current expectations include, among other things, those listed under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p>
    <w:p>
      <w:pPr>
        <w:spacing w:after="0" w:line="5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42"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17" w:lineRule="exact"/>
        <w:rPr>
          <w:sz w:val="20"/>
          <w:szCs w:val="20"/>
          <w:color w:val="auto"/>
        </w:rPr>
      </w:pPr>
    </w:p>
    <w:p>
      <w:pPr>
        <w:ind w:left="1020" w:right="60" w:hanging="503"/>
        <w:spacing w:after="0" w:line="270"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9" w:lineRule="exact"/>
        <w:rPr>
          <w:rFonts w:ascii="Arial" w:cs="Arial" w:eastAsia="Arial" w:hAnsi="Arial"/>
          <w:sz w:val="17"/>
          <w:szCs w:val="17"/>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03" w:lineRule="exact"/>
        <w:rPr>
          <w:rFonts w:ascii="Arial" w:cs="Arial" w:eastAsia="Arial" w:hAnsi="Arial"/>
          <w:sz w:val="18"/>
          <w:szCs w:val="18"/>
          <w:color w:val="auto"/>
        </w:rPr>
      </w:pPr>
    </w:p>
    <w:p>
      <w:pPr>
        <w:jc w:val="both"/>
        <w:ind w:left="1020" w:right="140" w:hanging="503"/>
        <w:spacing w:after="0" w:line="256"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66" w:lineRule="exact"/>
        <w:rPr>
          <w:rFonts w:ascii="Arial" w:cs="Arial" w:eastAsia="Arial" w:hAnsi="Arial"/>
          <w:sz w:val="18"/>
          <w:szCs w:val="18"/>
          <w:color w:val="auto"/>
        </w:rPr>
      </w:pPr>
    </w:p>
    <w:p>
      <w:pPr>
        <w:ind w:left="1020" w:hanging="503"/>
        <w:spacing w:after="0" w:line="294"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52" w:lineRule="exact"/>
        <w:rPr>
          <w:rFonts w:ascii="Arial" w:cs="Arial" w:eastAsia="Arial" w:hAnsi="Arial"/>
          <w:sz w:val="16"/>
          <w:szCs w:val="16"/>
          <w:color w:val="auto"/>
        </w:rPr>
      </w:pPr>
    </w:p>
    <w:p>
      <w:pPr>
        <w:jc w:val="both"/>
        <w:ind w:left="1020" w:right="220" w:hanging="503"/>
        <w:spacing w:after="0" w:line="248"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87" w:lineRule="exact"/>
        <w:rPr>
          <w:rFonts w:ascii="Arial" w:cs="Arial" w:eastAsia="Arial" w:hAnsi="Arial"/>
          <w:sz w:val="18"/>
          <w:szCs w:val="18"/>
          <w:color w:val="auto"/>
        </w:rPr>
      </w:pPr>
    </w:p>
    <w:p>
      <w:pPr>
        <w:ind w:left="1020" w:right="20" w:hanging="503"/>
        <w:spacing w:after="0" w:line="270"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9" w:lineRule="exact"/>
        <w:rPr>
          <w:rFonts w:ascii="Arial" w:cs="Arial" w:eastAsia="Arial" w:hAnsi="Arial"/>
          <w:sz w:val="17"/>
          <w:szCs w:val="17"/>
          <w:color w:val="auto"/>
        </w:rPr>
      </w:pPr>
    </w:p>
    <w:p>
      <w:pPr>
        <w:ind w:left="1020" w:right="200" w:hanging="503"/>
        <w:spacing w:after="0" w:line="26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48" w:lineRule="exact"/>
        <w:rPr>
          <w:rFonts w:ascii="Arial" w:cs="Arial" w:eastAsia="Arial" w:hAnsi="Arial"/>
          <w:sz w:val="18"/>
          <w:szCs w:val="18"/>
          <w:color w:val="auto"/>
        </w:rPr>
      </w:pPr>
    </w:p>
    <w:p>
      <w:pPr>
        <w:jc w:val="both"/>
        <w:ind w:left="1020" w:right="100" w:hanging="503"/>
        <w:spacing w:after="0" w:line="303"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32"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 w:name="page4"/>
    <w:bookmarkEnd w:id="3"/>
    <w:p>
      <w:pPr>
        <w:ind w:left="1020" w:right="280"/>
        <w:spacing w:after="0" w:line="261" w:lineRule="auto"/>
        <w:rPr>
          <w:sz w:val="20"/>
          <w:szCs w:val="20"/>
          <w:color w:val="auto"/>
        </w:rPr>
      </w:pPr>
      <w:r>
        <w:rPr>
          <w:rFonts w:ascii="Arial" w:cs="Arial" w:eastAsia="Arial" w:hAnsi="Arial"/>
          <w:sz w:val="18"/>
          <w:szCs w:val="18"/>
          <w:color w:val="auto"/>
        </w:rPr>
        <w:t>terminated, or we otherwise experience disruptions to our business relationships with our licensors or licensees, our competitive position, business, financial condition, results of operations and prospects could be harmed.</w:t>
      </w:r>
    </w:p>
    <w:p>
      <w:pPr>
        <w:spacing w:after="0" w:line="76" w:lineRule="exact"/>
        <w:rPr>
          <w:sz w:val="20"/>
          <w:szCs w:val="20"/>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3"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8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p>
        </w:tc>
        <w:tc>
          <w:tcPr>
            <w:tcW w:w="9160" w:type="dxa"/>
            <w:vAlign w:val="bottom"/>
            <w:gridSpan w:val="16"/>
          </w:tcPr>
          <w:p>
            <w:pPr>
              <w:spacing w:after="0"/>
              <w:rPr>
                <w:sz w:val="20"/>
                <w:szCs w:val="20"/>
                <w:color w:val="auto"/>
              </w:rPr>
            </w:pPr>
            <w:r>
              <w:rPr>
                <w:rFonts w:ascii="Arial" w:cs="Arial" w:eastAsia="Arial" w:hAnsi="Arial"/>
                <w:sz w:val="18"/>
                <w:szCs w:val="18"/>
                <w:color w:val="0000FF"/>
              </w:rPr>
              <w:t>FINANCIAL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6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 as of September 30, 2022 and December 31, 2021</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for the Three and Nine Months Ended September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16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rPr>
              <w:t>30, 2022 and 2021</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FF"/>
                <w:w w:val="90"/>
              </w:rPr>
              <w:t>Condensed Consolidated Statements of Changes in Stockholders’ Equity for the Three and Nine Months Ended September 30,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14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2022 and 2021</w:t>
            </w:r>
          </w:p>
        </w:tc>
        <w:tc>
          <w:tcPr>
            <w:tcW w:w="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2022 and 2021</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20" w:type="dxa"/>
            <w:vAlign w:val="bottom"/>
            <w:tcBorders>
              <w:left w:val="single" w:sz="8" w:color="0000FF"/>
            </w:tcBorders>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vMerge w:val="continue"/>
          </w:tcPr>
          <w:p>
            <w:pPr>
              <w:spacing w:after="0"/>
              <w:rPr>
                <w:sz w:val="24"/>
                <w:szCs w:val="24"/>
                <w:color w:val="auto"/>
              </w:rPr>
            </w:pPr>
          </w:p>
        </w:tc>
        <w:tc>
          <w:tcPr>
            <w:tcW w:w="91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6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6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8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16"/>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6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ALIGOS THERAPEUTICS,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186,816</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w:t>
            </w:r>
          </w:p>
        </w:tc>
        <w:tc>
          <w:tcPr>
            <w:tcW w:w="100" w:type="dxa"/>
            <w:vAlign w:val="bottom"/>
          </w:tcPr>
          <w:p>
            <w:pPr>
              <w:spacing w:after="0"/>
              <w:rPr>
                <w:sz w:val="18"/>
                <w:szCs w:val="18"/>
                <w:color w:val="auto"/>
              </w:rPr>
            </w:pPr>
          </w:p>
        </w:tc>
      </w:tr>
      <w:tr>
        <w:trPr>
          <w:trHeight w:val="209"/>
        </w:trPr>
        <w:tc>
          <w:tcPr>
            <w:tcW w:w="7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150,093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15,110</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164,069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235,369</w:t>
            </w:r>
          </w:p>
        </w:tc>
        <w:tc>
          <w:tcPr>
            <w:tcW w:w="10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LIABILITIES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25,394</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Finance lease liabilities, current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 from collaborations, current</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w:t>
            </w:r>
          </w:p>
        </w:tc>
        <w:tc>
          <w:tcPr>
            <w:tcW w:w="100" w:type="dxa"/>
            <w:vAlign w:val="bottom"/>
          </w:tcPr>
          <w:p>
            <w:pPr>
              <w:spacing w:after="0"/>
              <w:rPr>
                <w:sz w:val="18"/>
                <w:szCs w:val="18"/>
                <w:color w:val="auto"/>
              </w:rPr>
            </w:pPr>
          </w:p>
        </w:tc>
      </w:tr>
      <w:tr>
        <w:trPr>
          <w:trHeight w:val="210"/>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11,287</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Deferred revenue from collaborations, net of current portion</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7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840" w:type="dxa"/>
            <w:vAlign w:val="bottom"/>
          </w:tcPr>
          <w:p>
            <w:pPr>
              <w:ind w:left="200"/>
              <w:spacing w:after="0" w:line="175" w:lineRule="exact"/>
              <w:rPr>
                <w:sz w:val="20"/>
                <w:szCs w:val="20"/>
                <w:color w:val="auto"/>
              </w:rPr>
            </w:pPr>
            <w:r>
              <w:rPr>
                <w:rFonts w:ascii="Arial" w:cs="Arial" w:eastAsia="Arial" w:hAnsi="Arial"/>
                <w:sz w:val="18"/>
                <w:szCs w:val="18"/>
                <w:color w:val="auto"/>
              </w:rPr>
              <w:t>Preferred Stock, $0.0001 par value; 10,000,000 shares authorized as of September 30, 2022</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840" w:type="dxa"/>
            <w:vAlign w:val="bottom"/>
          </w:tcPr>
          <w:p>
            <w:pPr>
              <w:ind w:left="200"/>
              <w:spacing w:after="0" w:line="189" w:lineRule="exact"/>
              <w:rPr>
                <w:sz w:val="20"/>
                <w:szCs w:val="20"/>
                <w:color w:val="auto"/>
              </w:rPr>
            </w:pPr>
            <w:r>
              <w:rPr>
                <w:rFonts w:ascii="Arial" w:cs="Arial" w:eastAsia="Arial" w:hAnsi="Arial"/>
                <w:sz w:val="18"/>
                <w:szCs w:val="18"/>
                <w:color w:val="auto"/>
                <w:w w:val="94"/>
              </w:rPr>
              <w:t>(unaudited) and December 31, 2021, respectively; no shares issued and outstanding as of September</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840" w:type="dxa"/>
            <w:vAlign w:val="bottom"/>
          </w:tcPr>
          <w:p>
            <w:pPr>
              <w:ind w:left="200"/>
              <w:spacing w:after="0"/>
              <w:rPr>
                <w:sz w:val="20"/>
                <w:szCs w:val="20"/>
                <w:color w:val="auto"/>
              </w:rPr>
            </w:pPr>
            <w:r>
              <w:rPr>
                <w:rFonts w:ascii="Arial" w:cs="Arial" w:eastAsia="Arial" w:hAnsi="Arial"/>
                <w:sz w:val="18"/>
                <w:szCs w:val="18"/>
                <w:color w:val="auto"/>
              </w:rPr>
              <w:t>30, 2022 (unaudited) and December 31, 2021,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175"/>
        </w:trPr>
        <w:tc>
          <w:tcPr>
            <w:tcW w:w="78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Common stock, $0.0001 par value; 320,000,000 shares authorized as of September 30, 2022</w:t>
            </w:r>
          </w:p>
        </w:tc>
        <w:tc>
          <w:tcPr>
            <w:tcW w:w="2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84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w w:val="98"/>
              </w:rPr>
              <w:t>(unaudited) and December 31, 2021, respectively; 42,815,593 and 42,690,229 shares issued and</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September 30, 2022 (unaudited) and December 31, 2021, respectively.</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499,082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487,347</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(377,232 )</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(303,072 )</w:t>
            </w: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r>
      <w:tr>
        <w:trPr>
          <w:trHeight w:val="209"/>
        </w:trPr>
        <w:tc>
          <w:tcPr>
            <w:tcW w:w="7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122,013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164,069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235,369</w:t>
            </w:r>
          </w:p>
        </w:tc>
        <w:tc>
          <w:tcPr>
            <w:tcW w:w="10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-4577080</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-4019550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-2613660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-1765300</wp:posOffset>
            </wp:positionV>
            <wp:extent cx="6858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16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36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36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9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collaborations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FF0FC"/>
          </w:tcPr>
          <w:p>
            <w:pPr>
              <w:spacing w:after="0"/>
              <w:rPr>
                <w:sz w:val="19"/>
                <w:szCs w:val="19"/>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65,977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75,555</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Pr>
          <w:p>
            <w:pPr>
              <w:spacing w:after="0"/>
              <w:rPr>
                <w:sz w:val="18"/>
                <w:szCs w:val="18"/>
                <w:color w:val="auto"/>
              </w:rPr>
            </w:pPr>
          </w:p>
        </w:tc>
      </w:tr>
      <w:tr>
        <w:trPr>
          <w:trHeight w:val="209"/>
        </w:trPr>
        <w:tc>
          <w:tcPr>
            <w:tcW w:w="59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85,268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(18,948 )</w:t>
            </w:r>
          </w:p>
        </w:tc>
        <w:tc>
          <w:tcPr>
            <w:tcW w:w="20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(33,068 )</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(74,898 )</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(90,373 )</w:t>
            </w:r>
          </w:p>
        </w:tc>
      </w:tr>
      <w:tr>
        <w:trPr>
          <w:trHeight w:val="209"/>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960" w:type="dxa"/>
            <w:vAlign w:val="bottom"/>
          </w:tcPr>
          <w:p>
            <w:pPr>
              <w:ind w:left="380"/>
              <w:spacing w:after="0"/>
              <w:rPr>
                <w:sz w:val="20"/>
                <w:szCs w:val="20"/>
                <w:color w:val="auto"/>
              </w:rPr>
            </w:pPr>
            <w:r>
              <w:rPr>
                <w:rFonts w:ascii="Arial" w:cs="Arial" w:eastAsia="Arial" w:hAnsi="Arial"/>
                <w:sz w:val="18"/>
                <w:szCs w:val="18"/>
                <w:color w:val="auto"/>
              </w:rPr>
              <w:t>Loss before income tax expense</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(18,664 )</w:t>
            </w:r>
          </w:p>
        </w:tc>
        <w:tc>
          <w:tcPr>
            <w:tcW w:w="20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(32,998 )</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(74,103 )</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(90,417 )</w:t>
            </w:r>
          </w:p>
        </w:tc>
      </w:tr>
      <w:tr>
        <w:trPr>
          <w:trHeight w:val="216"/>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(126 )</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(57 )</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(201 )</w:t>
            </w:r>
          </w:p>
        </w:tc>
      </w:tr>
      <w:tr>
        <w:trPr>
          <w:trHeight w:val="20"/>
        </w:trPr>
        <w:tc>
          <w:tcPr>
            <w:tcW w:w="5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9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(18,621 )</w:t>
            </w:r>
          </w:p>
        </w:tc>
        <w:tc>
          <w:tcPr>
            <w:tcW w:w="20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(33,124 )</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(74,160 )</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(90,618 )</w:t>
            </w:r>
          </w:p>
        </w:tc>
      </w:tr>
      <w:tr>
        <w:trPr>
          <w:trHeight w:val="20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(293 )</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16"/>
        </w:trPr>
        <w:tc>
          <w:tcPr>
            <w:tcW w:w="5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gain on pension plans</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(293 )</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50"/>
        </w:trPr>
        <w:tc>
          <w:tcPr>
            <w:tcW w:w="59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(74,453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96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(0.44 )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(0.78 )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(1.74 )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(2.31 )</w:t>
            </w:r>
          </w:p>
        </w:tc>
      </w:tr>
      <w:tr>
        <w:trPr>
          <w:trHeight w:val="216"/>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of common stock, basic and diluted</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42,761,928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42,399,984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42,647,732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39,151,095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-1731010</wp:posOffset>
            </wp:positionV>
            <wp:extent cx="774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-1731010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-1731010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-1439545</wp:posOffset>
            </wp:positionV>
            <wp:extent cx="7747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-1439545</wp:posOffset>
            </wp:positionV>
            <wp:extent cx="685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-1439545</wp:posOffset>
            </wp:positionV>
            <wp:extent cx="6858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-1156970</wp:posOffset>
            </wp:positionV>
            <wp:extent cx="7747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-1156970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-1156970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-591185</wp:posOffset>
            </wp:positionV>
            <wp:extent cx="7747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-591185</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-591185</wp:posOffset>
            </wp:positionV>
            <wp:extent cx="685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-299720</wp:posOffset>
            </wp:positionV>
            <wp:extent cx="264033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0330" cy="16256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199"/>
              <w:spacing w:after="0"/>
              <w:rPr>
                <w:sz w:val="20"/>
                <w:szCs w:val="20"/>
                <w:color w:val="auto"/>
              </w:rPr>
            </w:pPr>
            <w:r>
              <w:rPr>
                <w:rFonts w:ascii="Arial" w:cs="Arial" w:eastAsia="Arial" w:hAnsi="Arial"/>
                <w:sz w:val="14"/>
                <w:szCs w:val="14"/>
                <w:b w:val="1"/>
                <w:bCs w:val="1"/>
                <w:color w:val="auto"/>
                <w:w w:val="98"/>
              </w:rPr>
              <w:t>Three Months Ended September 30, 2022</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560" w:type="dxa"/>
            <w:vAlign w:val="bottom"/>
            <w:gridSpan w:val="3"/>
            <w:vMerge w:val="restart"/>
          </w:tcPr>
          <w:p>
            <w:pPr>
              <w:jc w:val="right"/>
              <w:ind w:right="60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7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5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40" w:type="dxa"/>
            <w:vAlign w:val="bottom"/>
          </w:tcPr>
          <w:p>
            <w:pPr>
              <w:jc w:val="right"/>
              <w:ind w:right="32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June 30, 2022</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42,808,288</w:t>
            </w:r>
          </w:p>
        </w:tc>
        <w:tc>
          <w:tcPr>
            <w:tcW w:w="2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495,538</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(358,611</w:t>
            </w: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136,981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270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7,305</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Stock-based compensation expense</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3,272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3,272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related to employee stock awards</w:t>
            </w:r>
          </w:p>
        </w:tc>
        <w:tc>
          <w:tcPr>
            <w:tcW w:w="12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20"/>
              <w:spacing w:after="0" w:line="152" w:lineRule="exact"/>
              <w:rPr>
                <w:sz w:val="20"/>
                <w:szCs w:val="20"/>
                <w:color w:val="auto"/>
              </w:rPr>
            </w:pPr>
            <w:r>
              <w:rPr>
                <w:rFonts w:ascii="Arial" w:cs="Arial" w:eastAsia="Arial" w:hAnsi="Arial"/>
                <w:sz w:val="16"/>
                <w:szCs w:val="16"/>
                <w:color w:val="auto"/>
              </w:rPr>
              <w:t>Stock-based compensation expense</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6"/>
                <w:szCs w:val="16"/>
                <w:color w:val="auto"/>
              </w:rPr>
              <w:t>related to employee stock purchases</w:t>
            </w:r>
          </w:p>
        </w:tc>
        <w:tc>
          <w:tcPr>
            <w:tcW w:w="1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Vesting of early exercised</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options</w:t>
            </w:r>
          </w:p>
        </w:tc>
        <w:tc>
          <w:tcPr>
            <w:tcW w:w="12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(18,621 )</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(18,621 )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Pr>
          <w:p>
            <w:pPr>
              <w:ind w:left="20"/>
              <w:spacing w:after="0"/>
              <w:rPr>
                <w:sz w:val="20"/>
                <w:szCs w:val="20"/>
                <w:color w:val="auto"/>
              </w:rPr>
            </w:pPr>
            <w:r>
              <w:rPr>
                <w:rFonts w:ascii="Arial" w:cs="Arial" w:eastAsia="Arial" w:hAnsi="Arial"/>
                <w:sz w:val="16"/>
                <w:szCs w:val="16"/>
                <w:color w:val="auto"/>
              </w:rPr>
              <w:t>Balance as of September 30, 2022</w:t>
            </w:r>
          </w:p>
        </w:tc>
        <w:tc>
          <w:tcPr>
            <w:tcW w:w="1240" w:type="dxa"/>
            <w:vAlign w:val="bottom"/>
          </w:tcPr>
          <w:p>
            <w:pPr>
              <w:jc w:val="right"/>
              <w:spacing w:after="0"/>
              <w:rPr>
                <w:sz w:val="20"/>
                <w:szCs w:val="20"/>
                <w:color w:val="auto"/>
              </w:rPr>
            </w:pPr>
            <w:r>
              <w:rPr>
                <w:rFonts w:ascii="Arial" w:cs="Arial" w:eastAsia="Arial" w:hAnsi="Arial"/>
                <w:sz w:val="16"/>
                <w:szCs w:val="16"/>
                <w:color w:val="auto"/>
              </w:rPr>
              <w:t>42,815,593</w:t>
            </w:r>
          </w:p>
        </w:tc>
        <w:tc>
          <w:tcPr>
            <w:tcW w:w="280" w:type="dxa"/>
            <w:vAlign w:val="bottom"/>
          </w:tcPr>
          <w:p>
            <w:pPr>
              <w:spacing w:after="0"/>
              <w:rPr>
                <w:sz w:val="17"/>
                <w:szCs w:val="17"/>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499,082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(377,232 )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239"/>
              <w:spacing w:after="0"/>
              <w:rPr>
                <w:sz w:val="20"/>
                <w:szCs w:val="20"/>
                <w:color w:val="auto"/>
              </w:rPr>
            </w:pPr>
            <w:r>
              <w:rPr>
                <w:rFonts w:ascii="Arial" w:cs="Arial" w:eastAsia="Arial" w:hAnsi="Arial"/>
                <w:sz w:val="14"/>
                <w:szCs w:val="14"/>
                <w:b w:val="1"/>
                <w:bCs w:val="1"/>
                <w:color w:val="auto"/>
              </w:rPr>
              <w:t>Nine Months Ended September 30, 2022</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560" w:type="dxa"/>
            <w:vAlign w:val="bottom"/>
            <w:gridSpan w:val="3"/>
            <w:vMerge w:val="restart"/>
          </w:tcPr>
          <w:p>
            <w:pPr>
              <w:jc w:val="right"/>
              <w:ind w:right="60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7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5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240" w:type="dxa"/>
            <w:vAlign w:val="bottom"/>
          </w:tcPr>
          <w:p>
            <w:pPr>
              <w:jc w:val="right"/>
              <w:ind w:right="32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December 31,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42,690,229</w:t>
            </w:r>
          </w:p>
        </w:tc>
        <w:tc>
          <w:tcPr>
            <w:tcW w:w="2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487,347</w:t>
            </w: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(303,072</w:t>
            </w:r>
          </w:p>
        </w:tc>
        <w:tc>
          <w:tcPr>
            <w:tcW w:w="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184,731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2700" w:type="dxa"/>
            <w:vAlign w:val="bottom"/>
          </w:tcPr>
          <w:p>
            <w:pPr>
              <w:ind w:left="20"/>
              <w:spacing w:after="0"/>
              <w:rPr>
                <w:sz w:val="20"/>
                <w:szCs w:val="20"/>
                <w:color w:val="auto"/>
              </w:rPr>
            </w:pPr>
            <w:r>
              <w:rPr>
                <w:rFonts w:ascii="Arial" w:cs="Arial" w:eastAsia="Arial" w:hAnsi="Arial"/>
                <w:sz w:val="16"/>
                <w:szCs w:val="16"/>
                <w:color w:val="auto"/>
              </w:rPr>
              <w:t>Issuance of common stock upon</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12,896</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Issuance of common stock related</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112,468</w:t>
            </w: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 ESPP purchase</w:t>
            </w:r>
          </w:p>
        </w:tc>
        <w:tc>
          <w:tcPr>
            <w:tcW w:w="12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20"/>
              <w:spacing w:after="0" w:line="152" w:lineRule="exact"/>
              <w:rPr>
                <w:sz w:val="20"/>
                <w:szCs w:val="20"/>
                <w:color w:val="auto"/>
              </w:rPr>
            </w:pPr>
            <w:r>
              <w:rPr>
                <w:rFonts w:ascii="Arial" w:cs="Arial" w:eastAsia="Arial" w:hAnsi="Arial"/>
                <w:sz w:val="16"/>
                <w:szCs w:val="16"/>
                <w:color w:val="auto"/>
              </w:rPr>
              <w:t>Stock-based compensation</w:t>
            </w: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40"/>
              <w:spacing w:after="0" w:line="175" w:lineRule="exact"/>
              <w:rPr>
                <w:sz w:val="20"/>
                <w:szCs w:val="20"/>
                <w:color w:val="auto"/>
              </w:rPr>
            </w:pPr>
            <w:r>
              <w:rPr>
                <w:rFonts w:ascii="Arial" w:cs="Arial" w:eastAsia="Arial" w:hAnsi="Arial"/>
                <w:sz w:val="16"/>
                <w:szCs w:val="16"/>
                <w:color w:val="auto"/>
              </w:rPr>
              <w:t>expense related to employee</w:t>
            </w: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stock awards</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Stock-based compensation</w:t>
            </w:r>
          </w:p>
        </w:tc>
        <w:tc>
          <w:tcPr>
            <w:tcW w:w="1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40"/>
              <w:spacing w:after="0" w:line="175" w:lineRule="exact"/>
              <w:rPr>
                <w:sz w:val="20"/>
                <w:szCs w:val="20"/>
                <w:color w:val="auto"/>
              </w:rPr>
            </w:pPr>
            <w:r>
              <w:rPr>
                <w:rFonts w:ascii="Arial" w:cs="Arial" w:eastAsia="Arial" w:hAnsi="Arial"/>
                <w:sz w:val="16"/>
                <w:szCs w:val="16"/>
                <w:color w:val="auto"/>
              </w:rPr>
              <w:t>expense related to employee</w:t>
            </w: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 purchases</w:t>
            </w: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20"/>
              <w:spacing w:after="0" w:line="152" w:lineRule="exact"/>
              <w:rPr>
                <w:sz w:val="20"/>
                <w:szCs w:val="20"/>
                <w:color w:val="auto"/>
              </w:rPr>
            </w:pPr>
            <w:r>
              <w:rPr>
                <w:rFonts w:ascii="Arial" w:cs="Arial" w:eastAsia="Arial" w:hAnsi="Arial"/>
                <w:sz w:val="16"/>
                <w:szCs w:val="16"/>
                <w:color w:val="auto"/>
              </w:rPr>
              <w:t>Vesting of early exercised</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700" w:type="dxa"/>
            <w:vAlign w:val="bottom"/>
          </w:tcPr>
          <w:p>
            <w:pPr>
              <w:ind w:left="140"/>
              <w:spacing w:after="0"/>
              <w:rPr>
                <w:sz w:val="20"/>
                <w:szCs w:val="20"/>
                <w:color w:val="auto"/>
              </w:rPr>
            </w:pPr>
            <w:r>
              <w:rPr>
                <w:rFonts w:ascii="Arial" w:cs="Arial" w:eastAsia="Arial" w:hAnsi="Arial"/>
                <w:sz w:val="16"/>
                <w:szCs w:val="16"/>
                <w:color w:val="auto"/>
              </w:rPr>
              <w:t>common stock options</w:t>
            </w:r>
          </w:p>
        </w:tc>
        <w:tc>
          <w:tcPr>
            <w:tcW w:w="1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(293 )</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(293 )</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(74,160 )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(74,160 )</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as of September 30,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42,815,593</w:t>
            </w: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499,082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(377,232</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122,013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-2896870</wp:posOffset>
            </wp:positionV>
            <wp:extent cx="7747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-2896870</wp:posOffset>
            </wp:positionV>
            <wp:extent cx="7683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-2896870</wp:posOffset>
            </wp:positionV>
            <wp:extent cx="68580"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-2896870</wp:posOffset>
            </wp:positionV>
            <wp:extent cx="6858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-2896870</wp:posOffset>
            </wp:positionV>
            <wp:extent cx="6858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401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401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-25400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-8255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right"/>
              <w:ind w:right="179"/>
              <w:spacing w:after="0"/>
              <w:rPr>
                <w:sz w:val="20"/>
                <w:szCs w:val="20"/>
                <w:color w:val="auto"/>
              </w:rPr>
            </w:pPr>
            <w:r>
              <w:rPr>
                <w:rFonts w:ascii="Arial" w:cs="Arial" w:eastAsia="Arial" w:hAnsi="Arial"/>
                <w:sz w:val="14"/>
                <w:szCs w:val="14"/>
                <w:b w:val="1"/>
                <w:bCs w:val="1"/>
                <w:color w:val="auto"/>
                <w:w w:val="95"/>
              </w:rPr>
              <w:t>Three Months Ended September 30, 2021</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5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3"/>
            <w:vMerge w:val="restart"/>
          </w:tcPr>
          <w:p>
            <w:pPr>
              <w:jc w:val="right"/>
              <w:ind w:right="54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3"/>
                <w:szCs w:val="13"/>
                <w:color w:val="auto"/>
              </w:rPr>
            </w:pPr>
          </w:p>
        </w:tc>
        <w:tc>
          <w:tcPr>
            <w:tcW w:w="12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320" w:type="dxa"/>
            <w:vAlign w:val="bottom"/>
            <w:gridSpan w:val="2"/>
          </w:tcPr>
          <w:p>
            <w:pPr>
              <w:jc w:val="center"/>
              <w:ind w:right="23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June 30, 2021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38,200,121</w:t>
            </w:r>
          </w:p>
        </w:tc>
        <w:tc>
          <w:tcPr>
            <w:tcW w:w="1260" w:type="dxa"/>
            <w:vAlign w:val="bottom"/>
            <w:gridSpan w:val="2"/>
            <w:shd w:val="clear" w:color="auto" w:fill="CFF0FC"/>
          </w:tcPr>
          <w:p>
            <w:pPr>
              <w:jc w:val="right"/>
              <w:ind w:right="8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401,363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(232,234 )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(251 )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upon</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11,726</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6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Issuance of common stock in connection</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with</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Follow-on Offering, net of offering costs</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4,400,000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Costs related to the Follow-on Offering</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(727 )</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(727 )</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line="152" w:lineRule="exact"/>
              <w:rPr>
                <w:sz w:val="20"/>
                <w:szCs w:val="20"/>
                <w:color w:val="auto"/>
              </w:rPr>
            </w:pPr>
            <w:r>
              <w:rPr>
                <w:rFonts w:ascii="Arial" w:cs="Arial" w:eastAsia="Arial" w:hAnsi="Arial"/>
                <w:sz w:val="16"/>
                <w:szCs w:val="16"/>
                <w:color w:val="auto"/>
              </w:rPr>
              <w:t>Vesting of early exercised</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40"/>
              <w:spacing w:after="0"/>
              <w:rPr>
                <w:sz w:val="20"/>
                <w:szCs w:val="20"/>
                <w:color w:val="auto"/>
              </w:rPr>
            </w:pPr>
            <w:r>
              <w:rPr>
                <w:rFonts w:ascii="Arial" w:cs="Arial" w:eastAsia="Arial" w:hAnsi="Arial"/>
                <w:sz w:val="16"/>
                <w:szCs w:val="16"/>
                <w:color w:val="auto"/>
              </w:rPr>
              <w:t>common stock options</w:t>
            </w:r>
          </w:p>
        </w:tc>
        <w:tc>
          <w:tcPr>
            <w:tcW w:w="12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(33,124 )</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(33,124 )</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as of September 30, 2021</w:t>
            </w:r>
          </w:p>
        </w:tc>
        <w:tc>
          <w:tcPr>
            <w:tcW w:w="1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42,611,847</w:t>
            </w:r>
          </w:p>
        </w:tc>
        <w:tc>
          <w:tcPr>
            <w:tcW w:w="2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824"/>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482,615</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(265,358</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217,011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2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4"/>
                <w:szCs w:val="14"/>
                <w:b w:val="1"/>
                <w:bCs w:val="1"/>
                <w:color w:val="auto"/>
                <w:w w:val="96"/>
              </w:rPr>
              <w:t>Nine Months Ended September 30, 2021</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5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3"/>
            <w:vMerge w:val="restart"/>
          </w:tcPr>
          <w:p>
            <w:pPr>
              <w:jc w:val="right"/>
              <w:ind w:right="54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3"/>
                <w:szCs w:val="13"/>
                <w:color w:val="auto"/>
              </w:rPr>
            </w:pPr>
          </w:p>
        </w:tc>
        <w:tc>
          <w:tcPr>
            <w:tcW w:w="1200" w:type="dxa"/>
            <w:vAlign w:val="bottom"/>
            <w:gridSpan w:val="2"/>
            <w:vMerge w:val="restart"/>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320" w:type="dxa"/>
            <w:vAlign w:val="bottom"/>
            <w:gridSpan w:val="2"/>
          </w:tcPr>
          <w:p>
            <w:pPr>
              <w:jc w:val="center"/>
              <w:ind w:right="239"/>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2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of December 31, 2020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38,120,606</w:t>
            </w:r>
          </w:p>
        </w:tc>
        <w:tc>
          <w:tcPr>
            <w:tcW w:w="1260" w:type="dxa"/>
            <w:vAlign w:val="bottom"/>
            <w:gridSpan w:val="2"/>
            <w:shd w:val="clear" w:color="auto" w:fill="CFF0FC"/>
          </w:tcPr>
          <w:p>
            <w:pPr>
              <w:jc w:val="right"/>
              <w:ind w:right="824"/>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394,963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(174,740 )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(188 )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common stock upon</w:t>
            </w: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91,241</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exercise of stock options</w:t>
            </w:r>
          </w:p>
        </w:tc>
        <w:tc>
          <w:tcPr>
            <w:tcW w:w="126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96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in connection</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line="175" w:lineRule="exact"/>
              <w:rPr>
                <w:sz w:val="20"/>
                <w:szCs w:val="20"/>
                <w:color w:val="auto"/>
              </w:rPr>
            </w:pPr>
            <w:r>
              <w:rPr>
                <w:rFonts w:ascii="Arial" w:cs="Arial" w:eastAsia="Arial" w:hAnsi="Arial"/>
                <w:sz w:val="16"/>
                <w:szCs w:val="16"/>
                <w:color w:val="auto"/>
              </w:rPr>
              <w:t>with</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Follow-on Offering, net of offering costs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4,400,000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78,584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Costs related to the Follow-on Offering</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(727 )</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(727 )</w:t>
            </w: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9,260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9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Vesting of early exercised</w:t>
            </w: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options</w:t>
            </w:r>
          </w:p>
        </w:tc>
        <w:tc>
          <w:tcPr>
            <w:tcW w:w="126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03"/>
        </w:trPr>
        <w:tc>
          <w:tcPr>
            <w:tcW w:w="2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(90,618 )</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(90,618 )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Pr>
          <w:p>
            <w:pPr>
              <w:ind w:left="20"/>
              <w:spacing w:after="0"/>
              <w:rPr>
                <w:sz w:val="20"/>
                <w:szCs w:val="20"/>
                <w:color w:val="auto"/>
              </w:rPr>
            </w:pPr>
            <w:r>
              <w:rPr>
                <w:rFonts w:ascii="Arial" w:cs="Arial" w:eastAsia="Arial" w:hAnsi="Arial"/>
                <w:sz w:val="16"/>
                <w:szCs w:val="16"/>
                <w:color w:val="auto"/>
              </w:rPr>
              <w:t>Balance as of September 30, 2021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42,611,847</w:t>
            </w:r>
          </w:p>
        </w:tc>
        <w:tc>
          <w:tcPr>
            <w:tcW w:w="260" w:type="dxa"/>
            <w:vAlign w:val="bottom"/>
          </w:tcPr>
          <w:p>
            <w:pPr>
              <w:spacing w:after="0"/>
              <w:rPr>
                <w:sz w:val="17"/>
                <w:szCs w:val="17"/>
                <w:color w:val="auto"/>
              </w:rPr>
            </w:pP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482,615</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(265,358 )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(250 )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217,011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-2665095</wp:posOffset>
            </wp:positionV>
            <wp:extent cx="4457700" cy="925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57700" cy="92583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-162560</wp:posOffset>
            </wp:positionV>
            <wp:extent cx="7747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-162560</wp:posOffset>
            </wp:positionV>
            <wp:extent cx="7683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-162560</wp:posOffset>
            </wp:positionV>
            <wp:extent cx="685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6858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685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 w:name="page10"/>
    <w:bookmarkEnd w:id="9"/>
    <w:p>
      <w:pPr>
        <w:ind w:left="29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8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(74,160 )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(90,618 )</w:t>
            </w: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380"/>
              <w:spacing w:after="0"/>
              <w:rPr>
                <w:sz w:val="20"/>
                <w:szCs w:val="20"/>
                <w:color w:val="auto"/>
              </w:rPr>
            </w:pPr>
            <w:r>
              <w:rPr>
                <w:rFonts w:ascii="Arial" w:cs="Arial" w:eastAsia="Arial" w:hAnsi="Arial"/>
                <w:sz w:val="18"/>
                <w:szCs w:val="18"/>
                <w:color w:val="auto"/>
              </w:rPr>
              <w:t>Accretion of discount on investments</w:t>
            </w:r>
          </w:p>
        </w:tc>
        <w:tc>
          <w:tcPr>
            <w:tcW w:w="3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(84 )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right of use assets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 including ESPP</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(259 )</w:t>
            </w:r>
          </w:p>
        </w:tc>
      </w:tr>
      <w:tr>
        <w:trPr>
          <w:trHeight w:val="216"/>
        </w:trPr>
        <w:tc>
          <w:tcPr>
            <w:tcW w:w="7840" w:type="dxa"/>
            <w:vAlign w:val="bottom"/>
          </w:tcPr>
          <w:p>
            <w:pPr>
              <w:ind w:left="560"/>
              <w:spacing w:after="0"/>
              <w:rPr>
                <w:sz w:val="20"/>
                <w:szCs w:val="20"/>
                <w:color w:val="auto"/>
              </w:rPr>
            </w:pPr>
            <w:r>
              <w:rPr>
                <w:rFonts w:ascii="Arial" w:cs="Arial" w:eastAsia="Arial" w:hAnsi="Arial"/>
                <w:sz w:val="18"/>
                <w:szCs w:val="18"/>
                <w:color w:val="auto"/>
              </w:rPr>
              <w:t>Right of use assets</w:t>
            </w:r>
          </w:p>
        </w:tc>
        <w:tc>
          <w:tcPr>
            <w:tcW w:w="3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(278 )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(84 )</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(712 )</w:t>
            </w:r>
          </w:p>
        </w:tc>
      </w:tr>
      <w:tr>
        <w:trPr>
          <w:trHeight w:val="216"/>
        </w:trPr>
        <w:tc>
          <w:tcPr>
            <w:tcW w:w="7840" w:type="dxa"/>
            <w:vAlign w:val="bottom"/>
          </w:tcPr>
          <w:p>
            <w:pPr>
              <w:ind w:left="56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(11,528 )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(1,334 )</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(985 )</w:t>
            </w:r>
          </w:p>
        </w:tc>
      </w:tr>
      <w:tr>
        <w:trPr>
          <w:trHeight w:val="216"/>
        </w:trPr>
        <w:tc>
          <w:tcPr>
            <w:tcW w:w="7840" w:type="dxa"/>
            <w:vAlign w:val="bottom"/>
          </w:tcPr>
          <w:p>
            <w:pPr>
              <w:ind w:left="56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(111 )</w:t>
            </w:r>
          </w:p>
        </w:tc>
      </w:tr>
      <w:tr>
        <w:trPr>
          <w:trHeight w:val="216"/>
        </w:trPr>
        <w:tc>
          <w:tcPr>
            <w:tcW w:w="7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 from collaborations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(3,992 )</w:t>
            </w:r>
          </w:p>
        </w:tc>
      </w:tr>
      <w:tr>
        <w:trPr>
          <w:trHeight w:val="20"/>
        </w:trPr>
        <w:tc>
          <w:tcPr>
            <w:tcW w:w="7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40" w:type="dxa"/>
            <w:vAlign w:val="bottom"/>
          </w:tcPr>
          <w:p>
            <w:pPr>
              <w:ind w:left="740"/>
              <w:spacing w:after="0"/>
              <w:rPr>
                <w:sz w:val="20"/>
                <w:szCs w:val="20"/>
                <w:color w:val="auto"/>
              </w:rPr>
            </w:pPr>
            <w:r>
              <w:rPr>
                <w:rFonts w:ascii="Arial" w:cs="Arial" w:eastAsia="Arial" w:hAnsi="Arial"/>
                <w:sz w:val="18"/>
                <w:szCs w:val="18"/>
                <w:color w:val="auto"/>
              </w:rPr>
              <w:t>Net cash and cash equivalents used in operating activities</w:t>
            </w:r>
          </w:p>
        </w:tc>
        <w:tc>
          <w:tcPr>
            <w:tcW w:w="3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(62,606 )</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(78,182 )</w:t>
            </w:r>
          </w:p>
        </w:tc>
      </w:tr>
      <w:tr>
        <w:trPr>
          <w:trHeight w:val="20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Activities in available-for-sale investments: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Maturities of investments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380"/>
              <w:spacing w:after="0"/>
              <w:rPr>
                <w:sz w:val="20"/>
                <w:szCs w:val="20"/>
                <w:color w:val="auto"/>
              </w:rPr>
            </w:pPr>
            <w:r>
              <w:rPr>
                <w:rFonts w:ascii="Arial" w:cs="Arial" w:eastAsia="Arial" w:hAnsi="Arial"/>
                <w:sz w:val="18"/>
                <w:szCs w:val="18"/>
                <w:color w:val="auto"/>
              </w:rPr>
              <w:t>Purchase of short-term investments</w:t>
            </w:r>
          </w:p>
        </w:tc>
        <w:tc>
          <w:tcPr>
            <w:tcW w:w="3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(79,740 )</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(1,961 )</w:t>
            </w:r>
          </w:p>
        </w:tc>
      </w:tr>
      <w:tr>
        <w:trPr>
          <w:trHeight w:val="216"/>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 of long-term investments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(982 )</w:t>
            </w: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Activities in held-to-maturity investments: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Maturities of investments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(852 )</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(556 )</w:t>
            </w:r>
          </w:p>
        </w:tc>
      </w:tr>
      <w:tr>
        <w:trPr>
          <w:trHeight w:val="210"/>
        </w:trPr>
        <w:tc>
          <w:tcPr>
            <w:tcW w:w="78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and cash equivalents (used in) provided by investing activities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in connection with Follow-on Offering, net of costs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78,584</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Proceeds from ESPP purchase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offering costs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(727 )</w:t>
            </w: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Payments on finance lease</w:t>
            </w:r>
          </w:p>
        </w:tc>
        <w:tc>
          <w:tcPr>
            <w:tcW w:w="34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(88 )</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(59 )</w:t>
            </w:r>
          </w:p>
        </w:tc>
      </w:tr>
      <w:tr>
        <w:trPr>
          <w:trHeight w:val="216"/>
        </w:trPr>
        <w:tc>
          <w:tcPr>
            <w:tcW w:w="7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the exercise of common stock option</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740"/>
              <w:spacing w:after="0"/>
              <w:rPr>
                <w:sz w:val="20"/>
                <w:szCs w:val="20"/>
                <w:color w:val="auto"/>
              </w:rPr>
            </w:pPr>
            <w:r>
              <w:rPr>
                <w:rFonts w:ascii="Arial" w:cs="Arial" w:eastAsia="Arial" w:hAnsi="Arial"/>
                <w:sz w:val="18"/>
                <w:szCs w:val="18"/>
                <w:color w:val="auto"/>
              </w:rPr>
              <w:t>Net cash and cash equivalents provided by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78,125</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(100,460 )</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19,444</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220,943</w:t>
            </w:r>
          </w:p>
        </w:tc>
        <w:tc>
          <w:tcPr>
            <w:tcW w:w="100" w:type="dxa"/>
            <w:vAlign w:val="bottom"/>
          </w:tcPr>
          <w:p>
            <w:pPr>
              <w:spacing w:after="0"/>
              <w:rPr>
                <w:sz w:val="18"/>
                <w:szCs w:val="18"/>
                <w:color w:val="auto"/>
              </w:rPr>
            </w:pPr>
          </w:p>
        </w:tc>
      </w:tr>
      <w:tr>
        <w:trPr>
          <w:trHeight w:val="210"/>
        </w:trPr>
        <w:tc>
          <w:tcPr>
            <w:tcW w:w="7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86,520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240,387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-2802255</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-1405255</wp:posOffset>
            </wp:positionV>
            <wp:extent cx="6858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-573405</wp:posOffset>
            </wp:positionV>
            <wp:extent cx="6858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ind w:left="29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34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8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to amounts on the consolidated balance sheet:</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86,440</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239,734</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Restricted cash</w:t>
            </w: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4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86,520</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240,387</w:t>
            </w:r>
          </w:p>
        </w:tc>
        <w:tc>
          <w:tcPr>
            <w:tcW w:w="100" w:type="dxa"/>
            <w:vAlign w:val="bottom"/>
          </w:tcPr>
          <w:p>
            <w:pPr>
              <w:spacing w:after="0"/>
              <w:rPr>
                <w:sz w:val="18"/>
                <w:szCs w:val="18"/>
                <w:color w:val="auto"/>
              </w:rPr>
            </w:pPr>
          </w:p>
        </w:tc>
      </w:tr>
      <w:tr>
        <w:trPr>
          <w:trHeight w:val="426"/>
        </w:trPr>
        <w:tc>
          <w:tcPr>
            <w:tcW w:w="7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noncash financing and investing activities:</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Arial" w:cs="Arial" w:eastAsia="Arial" w:hAnsi="Arial"/>
                <w:sz w:val="18"/>
                <w:szCs w:val="18"/>
                <w:color w:val="auto"/>
              </w:rPr>
              <w:t>Mark to market adjustment for available-for-sale investments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r>
      <w:tr>
        <w:trPr>
          <w:trHeight w:val="216"/>
        </w:trPr>
        <w:tc>
          <w:tcPr>
            <w:tcW w:w="7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right of use asset through operating lease obligation</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160"/>
              <w:spacing w:after="0"/>
              <w:rPr>
                <w:sz w:val="20"/>
                <w:szCs w:val="20"/>
                <w:color w:val="auto"/>
              </w:rPr>
            </w:pPr>
            <w:r>
              <w:rPr>
                <w:rFonts w:ascii="Arial" w:cs="Arial" w:eastAsia="Arial" w:hAnsi="Arial"/>
                <w:sz w:val="18"/>
                <w:szCs w:val="18"/>
                <w:color w:val="auto"/>
              </w:rPr>
              <w:t>Vesting of early exercised options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Change in pension obligation</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-1113790</wp:posOffset>
            </wp:positionV>
            <wp:extent cx="68580" cy="428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4286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428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42862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254635</wp:posOffset>
            </wp:positionV>
            <wp:extent cx="14230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 w:right="9000" w:hanging="512"/>
        <w:spacing w:after="0" w:line="434" w:lineRule="auto"/>
        <w:tabs>
          <w:tab w:leader="none" w:pos="52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Organization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199"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viral and liver diseases, including for chronic hepatitis B, coronaviruses and non-alcoholic steatohepatitis (NASH).</w:t>
      </w:r>
    </w:p>
    <w:p>
      <w:pPr>
        <w:spacing w:after="0" w:line="171" w:lineRule="exact"/>
        <w:rPr>
          <w:sz w:val="20"/>
          <w:szCs w:val="20"/>
          <w:color w:val="auto"/>
        </w:rPr>
      </w:pPr>
    </w:p>
    <w:p>
      <w:pPr>
        <w:ind w:right="80" w:firstLine="509"/>
        <w:spacing w:after="0" w:line="267"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44" w:lineRule="exact"/>
        <w:rPr>
          <w:sz w:val="20"/>
          <w:szCs w:val="20"/>
          <w:color w:val="auto"/>
        </w:rPr>
      </w:pPr>
    </w:p>
    <w:p>
      <w:pPr>
        <w:ind w:right="200" w:firstLine="509"/>
        <w:spacing w:after="0" w:line="278" w:lineRule="auto"/>
        <w:rPr>
          <w:sz w:val="20"/>
          <w:szCs w:val="20"/>
          <w:color w:val="auto"/>
        </w:rPr>
      </w:pPr>
      <w:r>
        <w:rPr>
          <w:rFonts w:ascii="Arial" w:cs="Arial" w:eastAsia="Arial" w:hAnsi="Arial"/>
          <w:sz w:val="17"/>
          <w:szCs w:val="17"/>
          <w:color w:val="auto"/>
        </w:rPr>
        <w:t>On October 20, 2020, the Company closed its initial public offering (IPO) at a public offering price of $15.00 per share for net proceeds of $135.4 million, after deducting underwriting discounts and commissions. On November 5, 2020, the underwriters of the IPO partially exercised their overallotment, resulting in an additional $16.0 million in net proceeds, after deducting underwriting discounts and commissions.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200" w:firstLine="509"/>
        <w:spacing w:after="0" w:line="256" w:lineRule="auto"/>
        <w:rPr>
          <w:sz w:val="20"/>
          <w:szCs w:val="20"/>
          <w:color w:val="auto"/>
        </w:rPr>
      </w:pPr>
      <w:r>
        <w:rPr>
          <w:rFonts w:ascii="Arial" w:cs="Arial" w:eastAsia="Arial" w:hAnsi="Arial"/>
          <w:sz w:val="18"/>
          <w:szCs w:val="18"/>
          <w:color w:val="auto"/>
        </w:rPr>
        <w:t>The Company has incurred losses and negative cash flows from operations since its inception. As of September 30, 2022 and December 31, 2021, the Company had an accumulated deficit of $377.2 million and $303.1 million, respectively. Management expects to continue to incur additional substantial losses in the foreseeable future as a result of expanded research and development activities.</w:t>
      </w:r>
    </w:p>
    <w:p>
      <w:pPr>
        <w:spacing w:after="0" w:line="175"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As of September 30, 2022, the Company has unrestricted cash, cash equivalents and investments of approximately $142.3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right="20" w:firstLine="509"/>
        <w:spacing w:after="0" w:line="211" w:lineRule="exact"/>
        <w:rPr>
          <w:sz w:val="20"/>
          <w:szCs w:val="20"/>
          <w:color w:val="auto"/>
        </w:rPr>
      </w:pPr>
      <w:r>
        <w:rPr>
          <w:rFonts w:ascii="Arial" w:cs="Arial" w:eastAsia="Arial" w:hAnsi="Arial"/>
          <w:sz w:val="17"/>
          <w:szCs w:val="17"/>
          <w:color w:val="auto"/>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unrestricted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w:t>
      </w:r>
      <w:r>
        <w:rPr>
          <w:rFonts w:ascii="MS PGothic" w:cs="MS PGothic" w:eastAsia="MS PGothic" w:hAnsi="MS PGothic"/>
          <w:sz w:val="17"/>
          <w:szCs w:val="17"/>
          <w:color w:val="auto"/>
        </w:rPr>
        <w:t>‑</w:t>
      </w:r>
      <w:r>
        <w:rPr>
          <w:rFonts w:ascii="Arial" w:cs="Arial" w:eastAsia="Arial" w:hAnsi="Arial"/>
          <w:sz w:val="17"/>
          <w:szCs w:val="17"/>
          <w:color w:val="auto"/>
        </w:rPr>
        <w:t>19 pandemic and the macro-economic environment generally.</w:t>
      </w:r>
    </w:p>
    <w:p>
      <w:pPr>
        <w:spacing w:after="0" w:line="81" w:lineRule="exact"/>
        <w:rPr>
          <w:sz w:val="20"/>
          <w:szCs w:val="20"/>
          <w:color w:val="auto"/>
        </w:rPr>
      </w:pPr>
    </w:p>
    <w:p>
      <w:pPr>
        <w:ind w:right="100" w:firstLine="554"/>
        <w:spacing w:after="0" w:line="277" w:lineRule="auto"/>
        <w:rPr>
          <w:sz w:val="20"/>
          <w:szCs w:val="20"/>
          <w:color w:val="auto"/>
        </w:rPr>
      </w:pPr>
      <w:r>
        <w:rPr>
          <w:rFonts w:ascii="Arial" w:cs="Arial" w:eastAsia="Arial" w:hAnsi="Arial"/>
          <w:sz w:val="16"/>
          <w:szCs w:val="16"/>
          <w:color w:val="auto"/>
        </w:rPr>
        <w:t>The Company’s ability to raise additional funds will depend on financial, economic and other factors, many of which are beyond its control. For example, the COVID-19 pandemic, the current inflationary economic environment and rising interest rates have resulted in a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268" w:lineRule="exact"/>
        <w:rPr>
          <w:sz w:val="20"/>
          <w:szCs w:val="20"/>
          <w:color w:val="auto"/>
        </w:rPr>
      </w:pPr>
    </w:p>
    <w:p>
      <w:pPr>
        <w:ind w:left="520" w:right="7420" w:hanging="512"/>
        <w:spacing w:after="0" w:line="495" w:lineRule="auto"/>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84"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The condensed consolidated balance sheet as of December 31, 2021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2021, included in the Company’s Annual Report on Form 10-K filed with the SEC on March 10, 2022.</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accompanying consolidated balance sheet as of September 30, 2022, the consolidated statements of operations and comprehensive loss for the three and nine months ended September 30, 2022 and 2021, the consolidated statements of stockholders’ equity for the three and nine months ended September 30, 2022 and 2021, and the consolidated statements of cash flows for the nine months ended September 30, 2022 and 2021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September 30, 2022 and the consolidated results of its operations and cash flows for the three and nine months ended September 30, 2022 and 2021. The consolidated financial data and other information disclosed in these notes related to the three and nine months ended September 30, 2022 and 2021 are unaudited. The consolidated results for the three and nine months ended September 30, 2022 are not necessarily indicative of results to be expected for the year ending December 31, 2022, any other interim periods, or any future year or period.</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Significant Accounting Policies and Estimates</w:t>
      </w:r>
    </w:p>
    <w:p>
      <w:pPr>
        <w:spacing w:after="0" w:line="21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 xml:space="preserve">No material changes have been made to the Company’s significant accounting policies disclosed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its Annual Report on Form 10-K, filed on March 10, 2022, for the year ended December 31,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9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has considered all recent accounting pronouncements issued, but not yet effective, and does not expect any to have a material effect on the Company’s condensed consolidated financial statements other than those discussed in its Annual Report on Form 10-K, filed on March 10, 2022, for the year ended December 31, 2021.</w:t>
      </w:r>
    </w:p>
    <w:p>
      <w:pPr>
        <w:spacing w:after="0" w:line="28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as of September 30, 2022 and December 31, 2021 were as follows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Lab equipment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5,709</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Asset under construction</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0"/>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at cost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(9,046 )</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(7,262 )</w:t>
            </w:r>
          </w:p>
        </w:tc>
      </w:tr>
      <w:tr>
        <w:trPr>
          <w:trHeight w:val="249"/>
        </w:trPr>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Depreciation expense was $0.5 million and $1.8 million for the three and nine months ended September 30, 2022, respectively, and $0.8 million and $2.3 million for the three and nine months ended September 30, 2021, respectively. Finance leases are also included in property and equipment as vehicles and lab equipment on the condensed consolidated balance sheets.</w:t>
      </w:r>
    </w:p>
    <w:p>
      <w:pPr>
        <w:spacing w:after="0" w:line="279"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As of September 30, 2022 and December 31, 2021, amortized cost, gross unrealized gains and losses, and estimated fair values of total fixed-maturity securities were as follows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left="146"/>
              <w:spacing w:after="0" w:line="16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1100" w:type="dxa"/>
            <w:vAlign w:val="bottom"/>
          </w:tcPr>
          <w:p>
            <w:pPr>
              <w:jc w:val="center"/>
              <w:ind w:left="146"/>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5"/>
                <w:szCs w:val="15"/>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5"/>
                <w:szCs w:val="15"/>
                <w:color w:val="auto"/>
              </w:rPr>
            </w:pPr>
          </w:p>
        </w:tc>
      </w:tr>
      <w:tr>
        <w:trPr>
          <w:trHeight w:val="185"/>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100" w:type="dxa"/>
            <w:vAlign w:val="bottom"/>
          </w:tcPr>
          <w:p>
            <w:pPr>
              <w:jc w:val="center"/>
              <w:ind w:left="146"/>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r>
      <w:tr>
        <w:trPr>
          <w:trHeight w:val="209"/>
        </w:trPr>
        <w:tc>
          <w:tcPr>
            <w:tcW w:w="498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8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56,197</w:t>
            </w:r>
          </w:p>
        </w:tc>
        <w:tc>
          <w:tcPr>
            <w:tcW w:w="240" w:type="dxa"/>
            <w:vAlign w:val="bottom"/>
          </w:tcPr>
          <w:p>
            <w:pPr>
              <w:spacing w:after="0"/>
              <w:rPr>
                <w:sz w:val="18"/>
                <w:szCs w:val="18"/>
                <w:color w:val="auto"/>
              </w:rPr>
            </w:pPr>
          </w:p>
        </w:tc>
        <w:tc>
          <w:tcPr>
            <w:tcW w:w="1100" w:type="dxa"/>
            <w:vAlign w:val="bottom"/>
          </w:tcPr>
          <w:p>
            <w:pPr>
              <w:jc w:val="right"/>
              <w:ind w:right="92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55,864</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5"/>
        </w:trPr>
        <w:tc>
          <w:tcPr>
            <w:tcW w:w="4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left="106"/>
              <w:spacing w:after="0" w:line="160"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1100" w:type="dxa"/>
            <w:vAlign w:val="bottom"/>
          </w:tcPr>
          <w:p>
            <w:pPr>
              <w:jc w:val="center"/>
              <w:ind w:left="106"/>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5"/>
                <w:szCs w:val="15"/>
                <w:color w:val="auto"/>
              </w:rPr>
            </w:pPr>
          </w:p>
        </w:tc>
        <w:tc>
          <w:tcPr>
            <w:tcW w:w="8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5"/>
                <w:szCs w:val="15"/>
                <w:color w:val="auto"/>
              </w:rPr>
            </w:pPr>
          </w:p>
        </w:tc>
      </w:tr>
      <w:tr>
        <w:trPr>
          <w:trHeight w:val="185"/>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100" w:type="dxa"/>
            <w:vAlign w:val="bottom"/>
          </w:tcPr>
          <w:p>
            <w:pPr>
              <w:jc w:val="center"/>
              <w:ind w:left="106"/>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10"/>
        </w:trPr>
        <w:tc>
          <w:tcPr>
            <w:tcW w:w="4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3,922</w:t>
            </w:r>
          </w:p>
        </w:tc>
        <w:tc>
          <w:tcPr>
            <w:tcW w:w="1340" w:type="dxa"/>
            <w:vAlign w:val="bottom"/>
            <w:gridSpan w:val="2"/>
          </w:tcPr>
          <w:p>
            <w:pPr>
              <w:jc w:val="right"/>
              <w:ind w:right="94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18"/>
                <w:szCs w:val="18"/>
                <w:color w:val="auto"/>
              </w:rPr>
            </w:pPr>
          </w:p>
        </w:tc>
      </w:tr>
      <w:tr>
        <w:trPr>
          <w:trHeight w:val="216"/>
        </w:trPr>
        <w:tc>
          <w:tcPr>
            <w:tcW w:w="4980" w:type="dxa"/>
            <w:vAlign w:val="bottom"/>
            <w:tcBorders>
              <w:right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U.S. Treasury bonds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15,146</w:t>
            </w:r>
          </w:p>
        </w:tc>
        <w:tc>
          <w:tcPr>
            <w:tcW w:w="240" w:type="dxa"/>
            <w:vAlign w:val="bottom"/>
            <w:tcBorders>
              <w:right w:val="single" w:sz="8" w:color="CFF0FC"/>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15,110</w:t>
            </w:r>
          </w:p>
        </w:tc>
        <w:tc>
          <w:tcPr>
            <w:tcW w:w="100" w:type="dxa"/>
            <w:vAlign w:val="bottom"/>
            <w:shd w:val="clear" w:color="auto" w:fill="CFF0FC"/>
          </w:tcPr>
          <w:p>
            <w:pPr>
              <w:spacing w:after="0"/>
              <w:rPr>
                <w:sz w:val="18"/>
                <w:szCs w:val="18"/>
                <w:color w:val="auto"/>
              </w:rPr>
            </w:pPr>
          </w:p>
        </w:tc>
      </w:tr>
      <w:tr>
        <w:trPr>
          <w:trHeight w:val="20"/>
        </w:trPr>
        <w:tc>
          <w:tcPr>
            <w:tcW w:w="49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19,068</w:t>
            </w:r>
          </w:p>
        </w:tc>
        <w:tc>
          <w:tcPr>
            <w:tcW w:w="240" w:type="dxa"/>
            <w:vAlign w:val="bottom"/>
          </w:tcPr>
          <w:p>
            <w:pPr>
              <w:spacing w:after="0"/>
              <w:rPr>
                <w:sz w:val="18"/>
                <w:szCs w:val="18"/>
                <w:color w:val="auto"/>
              </w:rPr>
            </w:pP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19,028</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-1619250</wp:posOffset>
            </wp:positionV>
            <wp:extent cx="6858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-1619250</wp:posOffset>
            </wp:positionV>
            <wp:extent cx="68580"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-1619250</wp:posOffset>
            </wp:positionV>
            <wp:extent cx="60325"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-1619250</wp:posOffset>
            </wp:positionV>
            <wp:extent cx="60325"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-170815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03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Changes in fair value are related to changes in market interest rates. The Company expects to collect all contractual principal and interest payments.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is a summary of maturities of securities available-for-sale as of September 30, 2022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Available-for-sale</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8"/>
              </w:rPr>
              <w:t>Amortized Cost</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jc w:val="right"/>
              <w:ind w:right="377"/>
              <w:spacing w:after="0" w:line="133"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Amounts maturing in:</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56,197</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More than one year</w:t>
            </w: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360"/>
              <w:spacing w:after="0"/>
              <w:rPr>
                <w:sz w:val="20"/>
                <w:szCs w:val="20"/>
                <w:color w:val="auto"/>
              </w:rPr>
            </w:pPr>
            <w:r>
              <w:rPr>
                <w:rFonts w:ascii="Arial" w:cs="Arial" w:eastAsia="Arial" w:hAnsi="Arial"/>
                <w:sz w:val="18"/>
                <w:szCs w:val="18"/>
                <w:color w:val="auto"/>
              </w:rPr>
              <w:t>Total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56,197</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 recorded interest income of $0.5 million and $0.8 million for the three and nine months ended September 30, 2022, respectively, and $20,000 and $0.2 million for the three and nine months ended September 30, 2021, respectively, as a component of interest and other income (expense), net on the Company’s condensed consolidated statement of operations and comprehensive loss.</w:t>
      </w:r>
    </w:p>
    <w:p>
      <w:pPr>
        <w:spacing w:after="0" w:line="279"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5,070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Accrued payables</w:t>
            </w:r>
          </w:p>
        </w:tc>
        <w:tc>
          <w:tcPr>
            <w:tcW w:w="12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7,609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17,554</w:t>
            </w: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Liability for early exercised stock options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50"/>
        </w:trPr>
        <w:tc>
          <w:tcPr>
            <w:tcW w:w="53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13,678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right="8660" w:hanging="512"/>
        <w:spacing w:after="0" w:line="518" w:lineRule="auto"/>
        <w:tabs>
          <w:tab w:leader="none" w:pos="52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2" w:lineRule="exact"/>
        <w:rPr>
          <w:sz w:val="20"/>
          <w:szCs w:val="20"/>
          <w:color w:val="auto"/>
        </w:rPr>
      </w:pPr>
    </w:p>
    <w:p>
      <w:pPr>
        <w:jc w:val="both"/>
        <w:ind w:right="160" w:firstLine="509"/>
        <w:spacing w:after="0" w:line="281" w:lineRule="auto"/>
        <w:rPr>
          <w:sz w:val="20"/>
          <w:szCs w:val="20"/>
          <w:color w:val="auto"/>
        </w:rPr>
      </w:pPr>
      <w:r>
        <w:rPr>
          <w:rFonts w:ascii="Arial" w:cs="Arial" w:eastAsia="Arial" w:hAnsi="Arial"/>
          <w:sz w:val="16"/>
          <w:szCs w:val="16"/>
          <w:color w:val="auto"/>
        </w:rPr>
        <w:t>During the three and nine months ended September 30, 2022, the Company’s stock option compensation expense was approximately $3.3 million and $10.2 million, respectively, and during the three and nine months ended September 30, 2021, the Company’s stock option compensation expense was approximately $3.2 million and $9.0 million, respectively. There was no recognized tax benefit in either of the periods. As of September 30, 2022,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unamortized expense balance was $31.9 million, to be amortized over a weighted average period of 2.47 years.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during the nine months ended September 30, 2022 is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subject</w:t>
            </w:r>
          </w:p>
        </w:tc>
        <w:tc>
          <w:tcPr>
            <w:tcW w:w="1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exercise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 options</w:t>
            </w:r>
          </w:p>
        </w:tc>
        <w:tc>
          <w:tcPr>
            <w:tcW w:w="140" w:type="dxa"/>
            <w:vAlign w:val="bottom"/>
          </w:tcPr>
          <w:p>
            <w:pPr>
              <w:spacing w:after="0"/>
              <w:rPr>
                <w:sz w:val="16"/>
                <w:szCs w:val="16"/>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price</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January 1, 2022</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5,692,514</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5,062,824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(12,896 )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(660,176 )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10,082,266</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400" w:type="dxa"/>
            <w:vAlign w:val="bottom"/>
          </w:tcPr>
          <w:p>
            <w:pPr>
              <w:ind w:left="20"/>
              <w:spacing w:after="0"/>
              <w:rPr>
                <w:sz w:val="20"/>
                <w:szCs w:val="20"/>
                <w:color w:val="auto"/>
              </w:rPr>
            </w:pPr>
            <w:r>
              <w:rPr>
                <w:rFonts w:ascii="Arial" w:cs="Arial" w:eastAsia="Arial" w:hAnsi="Arial"/>
                <w:sz w:val="18"/>
                <w:szCs w:val="18"/>
                <w:color w:val="auto"/>
              </w:rPr>
              <w:t>Options vested and expected to vest as of September 30, 2022</w:t>
            </w:r>
          </w:p>
        </w:tc>
        <w:tc>
          <w:tcPr>
            <w:tcW w:w="1040" w:type="dxa"/>
            <w:vAlign w:val="bottom"/>
          </w:tcPr>
          <w:p>
            <w:pPr>
              <w:jc w:val="right"/>
              <w:spacing w:after="0"/>
              <w:rPr>
                <w:sz w:val="20"/>
                <w:szCs w:val="20"/>
                <w:color w:val="auto"/>
              </w:rPr>
            </w:pPr>
            <w:r>
              <w:rPr>
                <w:rFonts w:ascii="Arial" w:cs="Arial" w:eastAsia="Arial" w:hAnsi="Arial"/>
                <w:sz w:val="18"/>
                <w:szCs w:val="18"/>
                <w:color w:val="auto"/>
              </w:rPr>
              <w:t>10,077,502</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vested and exercisable as of September 30, 2022</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3,202,049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-419100</wp:posOffset>
            </wp:positionV>
            <wp:extent cx="68580" cy="282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282575"/>
                    </a:xfrm>
                    <a:prstGeom prst="rect">
                      <a:avLst/>
                    </a:prstGeom>
                    <a:noFill/>
                  </pic:spPr>
                </pic:pic>
              </a:graphicData>
            </a:graphic>
          </wp:anchor>
        </w:drawing>
      </w:r>
    </w:p>
    <w:p>
      <w:pPr>
        <w:spacing w:after="0" w:line="209"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The weighted-average grant date fair value of options granted during the three and nine months ended September 30, 2022 was $0.98 and $1.81 per share, respectively, and during the three and nine months ended September 30, 2021 was $15.23 and $10.43 per share, respectively.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160" w:firstLine="509"/>
        <w:spacing w:after="0" w:line="325" w:lineRule="auto"/>
        <w:rPr>
          <w:sz w:val="20"/>
          <w:szCs w:val="20"/>
          <w:color w:val="auto"/>
        </w:rPr>
      </w:pPr>
      <w:r>
        <w:rPr>
          <w:rFonts w:ascii="Arial" w:cs="Arial" w:eastAsia="Arial" w:hAnsi="Arial"/>
          <w:sz w:val="16"/>
          <w:szCs w:val="16"/>
          <w:color w:val="auto"/>
        </w:rPr>
        <w:t>During the three and nine months ended September 30, 2022, the Company recorded total stock-based compensation expense related to restricted stock awards of $4,000 and $0.1 million, respectively. During the three and nine months ended September 30, 2021, the Company recorded total stock-based compensation expense related to restricted stock awards of $0.1 million and $0.3 million, respectively. As of September 30, 2022, there was no unrecognized stock-based compensation expense related to outstanding unvested shares of restricted stock awards remaining.</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the nine months ended September 30, 2022:</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Awards</w:t>
            </w:r>
          </w:p>
        </w:tc>
        <w:tc>
          <w:tcPr>
            <w:tcW w:w="160" w:type="dxa"/>
            <w:vAlign w:val="bottom"/>
          </w:tcPr>
          <w:p>
            <w:pPr>
              <w:spacing w:after="0"/>
              <w:rPr>
                <w:sz w:val="16"/>
                <w:szCs w:val="16"/>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Issued and unvested as of January 1, 2022</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89,054</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Restricted stock awards 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vested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(89,054 )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10"/>
        </w:trPr>
        <w:tc>
          <w:tcPr>
            <w:tcW w:w="51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Issued and unvested as of September 30, 2022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-170815</wp:posOffset>
            </wp:positionV>
            <wp:extent cx="6032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5143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During the nine months ended September 30, 2022, the Company did not issue shares of common stock, upon exercise of unvested stock options or purchases for unvested restricted stock awards. During the nine months ended September 30, 2021, the Company issued 262,982 shares of common stock, upon exercise of unvested stock options or purchases for unvested restricted stock awards. As of September 30, 2022 and December 31, 2021, there were 38,258 and 163,855 shares of Common Stock held by employees subject to repurchase at an aggregate price of approximately $0.1 million and $0.3 million, respectively. A corresponding liability was recorded and included in accrued expenses on the condensed consolidated balance sheet as of September 30, 2022 and December 31, 2021, respectively.</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460" w:firstLine="509"/>
        <w:spacing w:after="0" w:line="284" w:lineRule="auto"/>
        <w:rPr>
          <w:sz w:val="20"/>
          <w:szCs w:val="20"/>
          <w:color w:val="auto"/>
        </w:rPr>
      </w:pPr>
      <w:r>
        <w:rPr>
          <w:rFonts w:ascii="Arial" w:cs="Arial" w:eastAsia="Arial" w:hAnsi="Arial"/>
          <w:sz w:val="16"/>
          <w:szCs w:val="16"/>
          <w:color w:val="auto"/>
        </w:rPr>
        <w:t>During the three and nine months ended September 30, 2022, the Company recorded total stock-based compensation expense related to the employee stock purchase plan of $0.2 million and $1.0 million, respectively, and $0.3 million and $0.5 million in the three and nine months ended September 30, 2021. During the nine months ended September 30, 2022, 112,468 grants of awards under this plan have been made. No purchases of common stock were made during the first or third quarter of 2022, and during the three and nine months ended September 30, 2021.</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was allocated as follows for the three and nine months ended September 30, 2022 and 2021 (in thousands):</w:t>
      </w:r>
    </w:p>
    <w:p>
      <w:pPr>
        <w:spacing w:after="0" w:line="280"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r>
      <w:tr>
        <w:trPr>
          <w:trHeight w:val="201"/>
        </w:trPr>
        <w:tc>
          <w:tcPr>
            <w:tcW w:w="3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7"/>
                <w:szCs w:val="17"/>
                <w:color w:val="auto"/>
              </w:rPr>
            </w:pPr>
          </w:p>
        </w:tc>
      </w:tr>
      <w:tr>
        <w:trPr>
          <w:trHeight w:val="21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1,949</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80" w:type="dxa"/>
            <w:vAlign w:val="bottom"/>
            <w:shd w:val="clear" w:color="auto" w:fill="CFF0FC"/>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18"/>
                <w:szCs w:val="18"/>
                <w:color w:val="auto"/>
              </w:rPr>
            </w:pPr>
          </w:p>
        </w:tc>
      </w:tr>
      <w:tr>
        <w:trPr>
          <w:trHeight w:val="250"/>
        </w:trPr>
        <w:tc>
          <w:tcPr>
            <w:tcW w:w="35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3,491</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11,277</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8" w:lineRule="exact"/>
        <w:rPr>
          <w:sz w:val="20"/>
          <w:szCs w:val="20"/>
          <w:color w:val="auto"/>
        </w:rPr>
      </w:pPr>
    </w:p>
    <w:p>
      <w:pPr>
        <w:ind w:right="180" w:firstLine="509"/>
        <w:spacing w:after="0" w:line="288"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2" w:right="439" w:bottom="1440" w:gutter="0" w:footer="0" w:header="0"/>
        </w:sectPr>
      </w:pPr>
    </w:p>
    <w:bookmarkStart w:id="16" w:name="page17"/>
    <w:bookmarkEnd w:id="16"/>
    <w:p>
      <w:pPr>
        <w:ind w:left="520" w:right="20"/>
        <w:spacing w:after="0" w:line="25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67"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49"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following tables present the fair value of the Company’s financial instruments that are measured or disclosed at fair value on a recurring basis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90"/>
              </w:rPr>
              <w:t>as of September 30, 2022</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10"/>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86,440</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142,304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7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7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4"/>
                <w:szCs w:val="14"/>
                <w:b w:val="1"/>
                <w:bCs w:val="1"/>
                <w:color w:val="auto"/>
                <w:w w:val="90"/>
              </w:rPr>
              <w:t>as of December 31, 2021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09"/>
        </w:trPr>
        <w:tc>
          <w:tcPr>
            <w:tcW w:w="7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186,816</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U.S. Treasury bonds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205,844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-1362710</wp:posOffset>
            </wp:positionV>
            <wp:extent cx="7747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-1362710</wp:posOffset>
            </wp:positionV>
            <wp:extent cx="6858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643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43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Emory University (Emory)</w:t>
      </w:r>
    </w:p>
    <w:p>
      <w:pPr>
        <w:spacing w:after="0" w:line="104" w:lineRule="exact"/>
        <w:rPr>
          <w:sz w:val="20"/>
          <w:szCs w:val="20"/>
          <w:color w:val="auto"/>
        </w:rPr>
      </w:pPr>
    </w:p>
    <w:p>
      <w:pPr>
        <w:ind w:right="20" w:firstLine="666"/>
        <w:spacing w:after="0" w:line="258"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178" w:lineRule="exact"/>
        <w:rPr>
          <w:sz w:val="20"/>
          <w:szCs w:val="20"/>
          <w:color w:val="auto"/>
        </w:rPr>
      </w:pPr>
    </w:p>
    <w:p>
      <w:pPr>
        <w:jc w:val="both"/>
        <w:ind w:right="100" w:firstLine="666"/>
        <w:spacing w:after="0" w:line="248" w:lineRule="auto"/>
        <w:rPr>
          <w:sz w:val="20"/>
          <w:szCs w:val="20"/>
          <w:color w:val="auto"/>
        </w:rPr>
      </w:pPr>
      <w:r>
        <w:rPr>
          <w:rFonts w:ascii="Arial" w:cs="Arial" w:eastAsia="Arial" w:hAnsi="Arial"/>
          <w:sz w:val="18"/>
          <w:szCs w:val="18"/>
          <w:color w:val="auto"/>
        </w:rPr>
        <w:t>As consideration for the Emory License Agreement, the Company paid an upfront license fee of $0.3 million and issued a convertible note with a principal amount of $0.6 million. Upon issuance of the Series A in August 2018, the principal and unpaid accrued interest under this convertible note was cancelled and converted into shares of Series A at a conversion price of $9.32 per share.</w:t>
      </w:r>
    </w:p>
    <w:p>
      <w:pPr>
        <w:spacing w:after="0" w:line="19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The Company elected to extend the collaboration agreement by one year but not further. In connection with the extension of the collaboration agreement, the Company provided Emory funding of $0.3 million which was recorded as R&amp;D expenses.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7"/>
          <w:szCs w:val="17"/>
          <w:color w:val="auto"/>
        </w:rPr>
        <w:t>The Company has agreed to pay Emory up to an aggregate of $125.0 million upon the achievement of specified development, regulatory, and</w:t>
      </w:r>
    </w:p>
    <w:p>
      <w:pPr>
        <w:spacing w:after="0" w:line="3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commercial milestones, and all ongoing patent costs. During the three and nine months ended September 30, 2022 and 2021, the Company had no 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and nine months ended September 30, 2022 and 2021, the Company made no payments associated with royalties and recognized no expense or accruals.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04"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As consideration for this agreement, the Company paid an upfront license fee of $0.6 million, which was recorded as research and development expense during the period from inception through December 31, 2018 and the year ended December 31, 2019.</w:t>
      </w:r>
    </w:p>
    <w:p>
      <w:pPr>
        <w:spacing w:after="0" w:line="186"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 million in April 2020.</w:t>
      </w:r>
    </w:p>
    <w:p>
      <w:pPr>
        <w:spacing w:after="0" w:line="150" w:lineRule="exact"/>
        <w:rPr>
          <w:sz w:val="20"/>
          <w:szCs w:val="20"/>
          <w:color w:val="auto"/>
        </w:rPr>
      </w:pPr>
    </w:p>
    <w:p>
      <w:pPr>
        <w:ind w:right="360" w:firstLine="509"/>
        <w:spacing w:after="0" w:line="245" w:lineRule="auto"/>
        <w:rPr>
          <w:sz w:val="20"/>
          <w:szCs w:val="20"/>
          <w:color w:val="auto"/>
        </w:rPr>
      </w:pPr>
      <w:r>
        <w:rPr>
          <w:rFonts w:ascii="Arial" w:cs="Arial" w:eastAsia="Arial" w:hAnsi="Arial"/>
          <w:sz w:val="18"/>
          <w:szCs w:val="18"/>
          <w:color w:val="auto"/>
        </w:rPr>
        <w:t>The Company is obligated to make payments to Luxna, in aggregate, totaling up to but no more than $55.5 million upon the achievement of specified development, regulatory, and commercial milestones. During the three and nine months ended September 30, 2022 and 2021, the Company recognized no expenses related to milestone payments. The Company is also required to pay Luxna a low-single digit royalty percentage on net sale of applicable products, if any. During the three and nine months ended September 30, 2022 and 2021, the Company made no payments associated with royalties.</w:t>
      </w:r>
    </w:p>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04"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The Company is in talks with KU Leuven to extend the research term by another year into 2023 to work on protease inhibitors.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three and nine months ended September 30, 2022 and 2021, the Company recognized no expenses related to milestone payments.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Agreements with Merck</w:t>
      </w:r>
    </w:p>
    <w:p>
      <w:pPr>
        <w:spacing w:after="0" w:line="104" w:lineRule="exact"/>
        <w:rPr>
          <w:sz w:val="20"/>
          <w:szCs w:val="20"/>
          <w:color w:val="auto"/>
        </w:rPr>
      </w:pPr>
    </w:p>
    <w:p>
      <w:pPr>
        <w:ind w:firstLine="674"/>
        <w:spacing w:after="0" w:line="267" w:lineRule="auto"/>
        <w:rPr>
          <w:sz w:val="20"/>
          <w:szCs w:val="20"/>
          <w:color w:val="auto"/>
        </w:rPr>
      </w:pPr>
      <w:r>
        <w:rPr>
          <w:rFonts w:ascii="Arial" w:cs="Arial" w:eastAsia="Arial" w:hAnsi="Arial"/>
          <w:sz w:val="17"/>
          <w:szCs w:val="17"/>
          <w:color w:val="auto"/>
        </w:rPr>
        <w:t>In December 2020, the Company and Merck &amp; Co. entered into an exclusive License and Research Collaboration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 from Merck and may receive an additional upfront payment after finalization of a research plan for such additional target. With respect to each collaboration target, the Company will be eligible for up to $458.0 million in development and commercialization milestones as well as tiered royalties on net sales. The Company will be primarily responsible for designing, preparing and evaluating the oligonucleotide molecules and delivering optimized lead molecules, and Merck will be responsible for subsequent research, clinical development and commercialization efforts. The Company determined that the Merck agreement falls within the scope of ASC 808 and the Company analogized to ASC 606 for the accounting of payments such as upfront payments and other milestones. Revenue is recognized based on percentage of completion of the overall project. During the three and nine months ended September 30, 2022 the Company recognized $2.2 million and $5.8 million, respectively, and in the three and nine months ended September 30, 2021 the Company recognized $1.5 million and $4.0 million, respectively, of revenue from collaborative arrangements related to milestone payments.</w:t>
      </w:r>
    </w:p>
    <w:p>
      <w:pPr>
        <w:spacing w:after="0" w:line="63" w:lineRule="exact"/>
        <w:rPr>
          <w:sz w:val="20"/>
          <w:szCs w:val="20"/>
          <w:color w:val="auto"/>
        </w:rPr>
      </w:pPr>
    </w:p>
    <w:p>
      <w:pPr>
        <w:ind w:right="60" w:firstLine="674"/>
        <w:spacing w:after="0" w:line="257" w:lineRule="auto"/>
        <w:rPr>
          <w:sz w:val="20"/>
          <w:szCs w:val="20"/>
          <w:color w:val="auto"/>
        </w:rPr>
      </w:pPr>
      <w:r>
        <w:rPr>
          <w:rFonts w:ascii="Arial" w:cs="Arial" w:eastAsia="Arial" w:hAnsi="Arial"/>
          <w:sz w:val="17"/>
          <w:szCs w:val="17"/>
          <w:color w:val="auto"/>
        </w:rPr>
        <w:t>In January 2022, the Company and Merck &amp; Co. entered into a First Amendment to the License and Research Collaboration Agreement. The agreement was expanded to include the in-license by Merck of an early-stage program with respect to a second undisclosed NASH target, on which the Company had previously been working independently on. In addition, under this expanded arrangement, Merck has the ability to add an additional third target of interest in the cardiometabolic/fibrosis space to the collaboration. Under the expanded agreement, the Company will receive a payment from Merck for the in-license of the program directed at a second undisclosed NASH target. Moreover, the Company will receive an additional payment if a third target is designated for the collaboration. With respect to each target in the collaboration, the Company will be eligible to receive up to approximately $460.0 million in development and commercialization milestones as well as tiered royalties on net sales. The Company determined that the First Amendment to the Merck agreement also falls within the scope of ASC 808 and the Company analogized to ASC 606 for the accounting of payments such as upfront payments and other milestones. Revenue is recognized based on the percentage of completion of the amended agreement. During the three and nine months ended September 30, 2022 the Company recognized $1.9 million and $4.6 million, respectively, of revenue from the amended collaborative arrangement related to milestone payments.</w:t>
      </w:r>
    </w:p>
    <w:p>
      <w:pPr>
        <w:spacing w:after="0" w:line="11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September 30, 2022 and December 31, 2021. The Company enters into contracts in the normal course of business that includes arrangements with clinical research organizations, vendors for preclinical research and vendors for manufacturing. These agreements generally allow for cancellation with notice. As of September 30, 2022, the Company had no material non-cancellable purchase commitments.</w:t>
      </w:r>
    </w:p>
    <w:p>
      <w:pPr>
        <w:spacing w:after="0" w:line="2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0" w:firstLine="562"/>
        <w:spacing w:after="0" w:line="261" w:lineRule="auto"/>
        <w:rPr>
          <w:sz w:val="20"/>
          <w:szCs w:val="20"/>
          <w:color w:val="auto"/>
        </w:rPr>
      </w:pPr>
      <w:r>
        <w:rPr>
          <w:rFonts w:ascii="Arial" w:cs="Arial" w:eastAsia="Arial" w:hAnsi="Arial"/>
          <w:sz w:val="18"/>
          <w:szCs w:val="18"/>
          <w:color w:val="auto"/>
        </w:rPr>
        <w:t>The Company has a history of losses and projects losses for the full year 2022. The Company continues to maintain a full valuation allowance on its net deferred tax assets.</w:t>
      </w:r>
    </w:p>
    <w:p>
      <w:pPr>
        <w:spacing w:after="0" w:line="30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computation of basic and diluted net loss per share of the Company (in thousands, except share and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(18,621</w:t>
            </w:r>
          </w:p>
        </w:tc>
        <w:tc>
          <w:tcPr>
            <w:tcW w:w="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(33,124</w:t>
            </w:r>
          </w:p>
        </w:tc>
        <w:tc>
          <w:tcPr>
            <w:tcW w:w="3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(74,160</w:t>
            </w:r>
          </w:p>
        </w:tc>
        <w:tc>
          <w:tcPr>
            <w:tcW w:w="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2"/>
        </w:trPr>
        <w:tc>
          <w:tcPr>
            <w:tcW w:w="4240" w:type="dxa"/>
            <w:vAlign w:val="bottom"/>
          </w:tcPr>
          <w:p>
            <w:pPr>
              <w:spacing w:after="0" w:line="152" w:lineRule="exact"/>
              <w:rPr>
                <w:sz w:val="20"/>
                <w:szCs w:val="20"/>
                <w:color w:val="auto"/>
              </w:rPr>
            </w:pPr>
            <w:r>
              <w:rPr>
                <w:rFonts w:ascii="Arial" w:cs="Arial" w:eastAsia="Arial" w:hAnsi="Arial"/>
                <w:sz w:val="16"/>
                <w:szCs w:val="16"/>
                <w:color w:val="auto"/>
              </w:rPr>
              <w:t>Weighted average common stock outstanding,</w:t>
            </w: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42,761,928</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9"/>
              </w:rPr>
              <w:t>42,399,984</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42,647,732</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39,151,095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240" w:type="dxa"/>
            <w:vAlign w:val="bottom"/>
          </w:tcPr>
          <w:p>
            <w:pPr>
              <w:ind w:left="16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per share - basic and diluted</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(0.78</w:t>
            </w:r>
          </w:p>
        </w:tc>
        <w:tc>
          <w:tcPr>
            <w:tcW w:w="34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Company’s potentially dilutive securities, which include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9" w:name="page20"/>
    <w:bookmarkEnd w:id="19"/>
    <w:p>
      <w:pPr>
        <w:ind w:right="260"/>
        <w:spacing w:after="0" w:line="324" w:lineRule="auto"/>
        <w:rPr>
          <w:sz w:val="20"/>
          <w:szCs w:val="20"/>
          <w:color w:val="auto"/>
        </w:rPr>
      </w:pPr>
      <w:r>
        <w:rPr>
          <w:rFonts w:ascii="Arial" w:cs="Arial" w:eastAsia="Arial" w:hAnsi="Arial"/>
          <w:sz w:val="16"/>
          <w:szCs w:val="16"/>
          <w:color w:val="auto"/>
        </w:rPr>
        <w:t>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2140" w:type="dxa"/>
            <w:vAlign w:val="bottom"/>
            <w:gridSpan w:val="3"/>
          </w:tcPr>
          <w:p>
            <w:pPr>
              <w:jc w:val="center"/>
              <w:ind w:left="744"/>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3"/>
          </w:tcPr>
          <w:p>
            <w:pPr>
              <w:jc w:val="center"/>
              <w:ind w:left="804"/>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2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96"/>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Options to purchase common stock</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10,082,266</w:t>
            </w:r>
          </w:p>
        </w:tc>
        <w:tc>
          <w:tcPr>
            <w:tcW w:w="2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5,618,700</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10,082,266</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5,618,700</w:t>
            </w:r>
          </w:p>
        </w:tc>
        <w:tc>
          <w:tcPr>
            <w:tcW w:w="100" w:type="dxa"/>
            <w:vAlign w:val="bottom"/>
            <w:shd w:val="clear" w:color="auto" w:fill="CFF0FC"/>
          </w:tcPr>
          <w:p>
            <w:pPr>
              <w:spacing w:after="0"/>
              <w:rPr>
                <w:sz w:val="17"/>
                <w:szCs w:val="17"/>
                <w:color w:val="auto"/>
              </w:rPr>
            </w:pPr>
          </w:p>
        </w:tc>
      </w:tr>
      <w:tr>
        <w:trPr>
          <w:trHeight w:val="202"/>
        </w:trPr>
        <w:tc>
          <w:tcPr>
            <w:tcW w:w="4200" w:type="dxa"/>
            <w:vAlign w:val="bottom"/>
          </w:tcPr>
          <w:p>
            <w:pPr>
              <w:spacing w:after="0"/>
              <w:rPr>
                <w:sz w:val="20"/>
                <w:szCs w:val="20"/>
                <w:color w:val="auto"/>
              </w:rPr>
            </w:pPr>
            <w:r>
              <w:rPr>
                <w:rFonts w:ascii="Arial" w:cs="Arial" w:eastAsia="Arial" w:hAnsi="Arial"/>
                <w:sz w:val="16"/>
                <w:szCs w:val="16"/>
                <w:color w:val="auto"/>
              </w:rPr>
              <w:t>Unvested restricted stock</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156,837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156,837</w:t>
            </w:r>
          </w:p>
        </w:tc>
        <w:tc>
          <w:tcPr>
            <w:tcW w:w="10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10,082,266</w:t>
            </w:r>
          </w:p>
        </w:tc>
        <w:tc>
          <w:tcPr>
            <w:tcW w:w="22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5,775,537</w:t>
            </w:r>
          </w:p>
        </w:tc>
        <w:tc>
          <w:tcPr>
            <w:tcW w:w="32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10,082,266</w:t>
            </w:r>
          </w:p>
        </w:tc>
        <w:tc>
          <w:tcPr>
            <w:tcW w:w="26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5,775,537</w:t>
            </w:r>
          </w:p>
        </w:tc>
        <w:tc>
          <w:tcPr>
            <w:tcW w:w="100" w:type="dxa"/>
            <w:vAlign w:val="bottom"/>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8"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In preparing the interim financial statements for the three and nine months ended September 30, 2022, the Company evaluated subsequent events for recognition and measurement purposes during which time nothing has occurred outside of the normal course of business operations that requires disclosure.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We are a clinical-stage biopharmaceutical company focused on developing novel therapeutics to address unmet medical needs in viral and liver diseases, including in the areas of chronic hepatitis B (CHB), non-alcoholic steatohepatitis (NASH) and coronavirus (e.g., SARS-CoV-2 and related infections). We utilize our proprietary small molecule and oligonucleotide platforms to develop pharmacologically optimized drug candidates for use in combination regimens designed to achieve improved treatment outcomes.</w:t>
      </w:r>
    </w:p>
    <w:p>
      <w:pPr>
        <w:spacing w:after="0" w:line="93"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One of our areas of focus seeks to enhance the rate of functional cure for CHB, which often results in life-threatening conditions such as cirrhosis, and the most common form of liver cancer, hepatocellular carcinoma (HCC). The most widely used treatment for CHB, nucleos(t)ide analogs (NAs), suppress viral replication, but only achieve low rates of functional cure and often require long-term administration. To address this, we have developed a portfolio of differentiated drug candidates for CHB, including a small molecule Capsid Assembly Modulator that results in the production of empty viral capsids (CAM-E), and a small interfering RNA (siRNA), which is designed to suppress production of hepatitis B virus (HBV) surface antigen (HBsAg). Each of these drugs is designed against clinically validated targets in the HBV life cycle and is currently being evaluated in clinical trials.</w:t>
      </w:r>
    </w:p>
    <w:p>
      <w:pPr>
        <w:spacing w:after="0" w:line="67"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The initial Phase 1a study in healthy volunteers (HVs) for our CAM-E, ALG-000184, has been completed and a Phase 1b dose ranging study evaluating the safety, pharmacokinetics and antiviral activity of this drug candidate in CHB patients is ongoing. Preliminary data as of October 25, 2022, in both HVs and CHB subjects indicate ALG-000184 has a predictable, dose proportional PK profile and single doses up to 500 mg in HVs and multiple daily doses up to 300 mg x 28 days in CHB subjects have been well tolerated. Specifically, only two serious adverse events (hospitalizations for management of pre-existing back pain and a partially collapsed lung) have been reported and there have been no treatment emergent adverse events (TEAEs) leading to discontinuation. Additionally, no concerning TEAEs, laboratories, vital signs or EKG findings have been reported to date. Preliminary antiviral activity data at Day 28 are available in cohorts of hepatitis B E-antigen (HBeAg) negative subjects (100 mg (Cohort 1), 50 mg (Cohort 2), and 10 mg (Cohort 3)) and HBeAg positive subjects (100 mg (Cohort 4)): ALG-000184 was observed to have similar levels of activity at 10-100 mg doses in Cohorts 1-3, where all 3 doses achieved HBV DNA and HBV RNA reductions of approximately 3-4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and approximately 1-2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copies/mL, respectively.</w:t>
      </w:r>
    </w:p>
    <w:p>
      <w:pPr>
        <w:spacing w:after="0" w:line="1" w:lineRule="exact"/>
        <w:rPr>
          <w:sz w:val="20"/>
          <w:szCs w:val="20"/>
          <w:color w:val="auto"/>
        </w:rPr>
      </w:pPr>
    </w:p>
    <w:p>
      <w:pPr>
        <w:spacing w:after="0" w:line="212" w:lineRule="exact"/>
        <w:rPr>
          <w:sz w:val="20"/>
          <w:szCs w:val="20"/>
          <w:color w:val="auto"/>
        </w:rPr>
      </w:pPr>
      <w:r>
        <w:rPr>
          <w:rFonts w:ascii="Arial" w:cs="Arial" w:eastAsia="Arial" w:hAnsi="Arial"/>
          <w:sz w:val="18"/>
          <w:szCs w:val="18"/>
          <w:color w:val="auto"/>
        </w:rPr>
        <w:t>Maximal HBV DNA and HBV RNA reductions were observed in the 10 mg cohort (Cohort 3), where 100% of subjects had DNA and RNA levels below the lower limit of quantitation (LLOQ) at the completion of dosing. In Cohort 4 (HBeAg positive subjects receiving 100 mg ALG-000184), HBV DNA and HBV RNA declined by &gt;4 log</w:t>
      </w:r>
      <w:r>
        <w:rPr>
          <w:rFonts w:ascii="Arial" w:cs="Arial" w:eastAsia="Arial" w:hAnsi="Arial"/>
          <w:sz w:val="24"/>
          <w:szCs w:val="24"/>
          <w:color w:val="auto"/>
          <w:vertAlign w:val="subscript"/>
        </w:rPr>
        <w:t>10</w:t>
      </w:r>
      <w:r>
        <w:rPr>
          <w:rFonts w:ascii="Arial" w:cs="Arial" w:eastAsia="Arial" w:hAnsi="Arial"/>
          <w:sz w:val="18"/>
          <w:szCs w:val="18"/>
          <w:color w:val="auto"/>
        </w:rPr>
        <w:t xml:space="preserve"> IU/mL and &gt;3 log</w:t>
      </w:r>
      <w:r>
        <w:rPr>
          <w:rFonts w:ascii="Arial" w:cs="Arial" w:eastAsia="Arial" w:hAnsi="Arial"/>
          <w:sz w:val="24"/>
          <w:szCs w:val="24"/>
          <w:color w:val="auto"/>
          <w:vertAlign w:val="subscript"/>
        </w:rPr>
        <w:t>10</w:t>
      </w:r>
      <w:r>
        <w:rPr>
          <w:rFonts w:ascii="Arial" w:cs="Arial" w:eastAsia="Arial" w:hAnsi="Arial"/>
          <w:sz w:val="18"/>
          <w:szCs w:val="18"/>
          <w:color w:val="auto"/>
        </w:rPr>
        <w:t xml:space="preserve"> copies/mL, respectively, with no plateauing of the antiviral effect throughout dosing. With respect to ongoing cohorts in this part of the study, dosing in Cohorts 5 (300 mg for 28 days in HBeAg positive CHB) and 6 (10 mg for 28 days in HBeAg positive CHB) is complete and ongoing, respectively. Data, including antiviral activity, from Cohorts 4-5 will be presented at the American Association for the Study of Liver Diseases conference (AASLD) in November 2022. Additionally, enrollment and dosing in 12-week cohorts at the 100 mg and 300 mg dose levels in HBeAg positive CHB subjects is ongoing in Part 4 of the study. If emerging safety and efficacy data remain supportive, dosing in these Part 4 cohorts may be extended for up to 48 weeks, which would enable a preliminary assessment of the long-term risk-benefit profile of ALG</w:t>
      </w:r>
      <w:r>
        <w:rPr>
          <w:rFonts w:ascii="MS PGothic" w:cs="MS PGothic" w:eastAsia="MS PGothic" w:hAnsi="MS PGothic"/>
          <w:sz w:val="18"/>
          <w:szCs w:val="18"/>
          <w:color w:val="auto"/>
        </w:rPr>
        <w:t>‑</w:t>
      </w:r>
      <w:r>
        <w:rPr>
          <w:rFonts w:ascii="Arial" w:cs="Arial" w:eastAsia="Arial" w:hAnsi="Arial"/>
          <w:sz w:val="18"/>
          <w:szCs w:val="18"/>
          <w:color w:val="auto"/>
        </w:rPr>
        <w:t>000184 in HBeAg positive CHB subjects.</w:t>
      </w:r>
    </w:p>
    <w:p>
      <w:pPr>
        <w:spacing w:after="0" w:line="8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With respect to our siRNA drug candidate, ALG-125755, the Phase 1a study was recently initiated in New Zealand. This study is initially</w:t>
      </w:r>
    </w:p>
    <w:p>
      <w:pPr>
        <w:spacing w:after="0" w:line="1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evaluating single ascending doses (SAD) in healthy volunteers and, in the first quarter of 2023, will begin evaluating SAD in CHB subjects. We plan to share preliminary data from this study at scientific conferences in 2023.</w:t>
      </w:r>
    </w:p>
    <w:p>
      <w:pPr>
        <w:spacing w:after="0" w:line="6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We are also exploring small molecule approaches towards CAMs that produce aberrantly shaped viral particles (CAM-A) and boosting immune responses via small molecule antagonists of the programmed death 1 (ligand) PD1/PD-L1 interaction. Our small molecule CAM-A compounds have lowered levels of viral markers such as DNA and HBsAg in a mouse model and are not of the heteroaryl pyrimidine class, which is known to have a number of important liabilities. We have also rationally designed liver-targeted oral PD-L1 small molecule inhibitors to localize T cell activation in the liver and thereby potentially mitigate systemic toxicity in an effort to develop better tolerated PD1/PD-L1 inhibitors for CHB patients. Lead molecules developed to date show similar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to approved PD1/PD-L1 antibodies, but were more efficacious than antibodies in a liver metastatic tumor model. We believe that combination regimens utilizing our broad portfolio of CHB drug candidates, with or without other mechanisms of action, may lead to higher rates of functional cure.</w:t>
      </w:r>
    </w:p>
    <w:p>
      <w:pPr>
        <w:spacing w:after="0" w:line="92"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Our second area of focus is to develop drug candidates with pan-coronavirus activity, including against Severe Acute Respiratory Syndrome coronavirus 2 (SARS-CoV-2), the virus responsible for COVID-19. Our efforts to identify a coronavirus therapeutic are focused on a small molecule approach, where we are exploring coronavirus 3CL protease inhibitors in collaboration with Katholieke Universiteit Leuven (KU Leuven), the Center for Innovation and Stimulation of Drug Discovery (CISTIM) and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1" w:name="page22"/>
    <w:bookmarkEnd w:id="21"/>
    <w:p>
      <w:pPr>
        <w:ind w:right="80"/>
        <w:spacing w:after="0" w:line="260" w:lineRule="auto"/>
        <w:rPr>
          <w:sz w:val="20"/>
          <w:szCs w:val="20"/>
          <w:color w:val="auto"/>
        </w:rPr>
      </w:pPr>
      <w:r>
        <w:rPr>
          <w:rFonts w:ascii="Arial" w:cs="Arial" w:eastAsia="Arial" w:hAnsi="Arial"/>
          <w:sz w:val="16"/>
          <w:szCs w:val="16"/>
          <w:color w:val="auto"/>
        </w:rPr>
        <w:t>Centre for Drug Design and Discovery (CD3). Our drug candidate, ALG-097558, is at least 7-fold more potent in cell-based assays than nirmatrelvir and PBI-0451 against a panel of SARS-CoV-2 variants (including omicron), has broad pan-coronavirus activity, and is not projected to need ritonavir boosting. Evaluation of ALG-097558 in the hamster SARS-CoV-2 infection model indicates that when dosed prior to infection or up to 24 hours post-infection, the compound causes a significant reduction in the levels of infectious virus in the lungs. Further, we have begun to investigate the viral resistance profile of our 3CL protease inhibitors. A resistant mutant was derived by incubating SARS-CoV-2 infected cells with an early lead compound, ALG-097161. We identified a combination of 3 amino acid substitutions in the 3CL protease (L50F E166A L167F) that are associated with a greater than 50-fold increase in the EC</w:t>
      </w:r>
      <w:r>
        <w:rPr>
          <w:rFonts w:ascii="Arial" w:cs="Arial" w:eastAsia="Arial" w:hAnsi="Arial"/>
          <w:sz w:val="21"/>
          <w:szCs w:val="21"/>
          <w:color w:val="auto"/>
          <w:vertAlign w:val="subscript"/>
        </w:rPr>
        <w:t>50</w:t>
      </w:r>
      <w:r>
        <w:rPr>
          <w:rFonts w:ascii="Arial" w:cs="Arial" w:eastAsia="Arial" w:hAnsi="Arial"/>
          <w:sz w:val="16"/>
          <w:szCs w:val="16"/>
          <w:color w:val="auto"/>
        </w:rPr>
        <w:t xml:space="preserve"> values for ALG-097161 and PF-07321332 (nirmatrelvir) when assessed in a biochemical assay. In contrast, when ALG-097558 was profiled against the L50F E166A L167F resistant mutant, only a 3-fold shift in the EC</w:t>
      </w:r>
      <w:r>
        <w:rPr>
          <w:rFonts w:ascii="Arial" w:cs="Arial" w:eastAsia="Arial" w:hAnsi="Arial"/>
          <w:sz w:val="21"/>
          <w:szCs w:val="21"/>
          <w:color w:val="auto"/>
          <w:vertAlign w:val="subscript"/>
        </w:rPr>
        <w:t>50</w:t>
      </w:r>
      <w:r>
        <w:rPr>
          <w:rFonts w:ascii="Arial" w:cs="Arial" w:eastAsia="Arial" w:hAnsi="Arial"/>
          <w:sz w:val="16"/>
          <w:szCs w:val="16"/>
          <w:color w:val="auto"/>
        </w:rPr>
        <w:t>value was observed. Experiments to further evaluate the viral resistance</w:t>
      </w:r>
    </w:p>
    <w:p>
      <w:pPr>
        <w:spacing w:after="0" w:line="5"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profile of ALG-097558 are currently ongoing. Preclinical modelling indicates that an ALG-097558 dose of 350-600 mg PO BID (without the need for ritonavir) is sufficient to maintain exposures at or above the human serum shifted 5 x EC</w:t>
      </w:r>
      <w:r>
        <w:rPr>
          <w:rFonts w:ascii="Arial" w:cs="Arial" w:eastAsia="Arial" w:hAnsi="Arial"/>
          <w:sz w:val="21"/>
          <w:szCs w:val="21"/>
          <w:color w:val="auto"/>
          <w:vertAlign w:val="subscript"/>
        </w:rPr>
        <w:t>90</w:t>
      </w:r>
      <w:r>
        <w:rPr>
          <w:rFonts w:ascii="Arial" w:cs="Arial" w:eastAsia="Arial" w:hAnsi="Arial"/>
          <w:sz w:val="16"/>
          <w:szCs w:val="16"/>
          <w:color w:val="auto"/>
        </w:rPr>
        <w:t xml:space="preserve"> concentration throughout the dosing cycle. We plan to complete</w:t>
      </w:r>
    </w:p>
    <w:p>
      <w:pPr>
        <w:ind w:right="160"/>
        <w:spacing w:after="0" w:line="258" w:lineRule="auto"/>
        <w:rPr>
          <w:sz w:val="20"/>
          <w:szCs w:val="20"/>
          <w:color w:val="auto"/>
        </w:rPr>
      </w:pPr>
      <w:r>
        <w:rPr>
          <w:rFonts w:ascii="Arial" w:cs="Arial" w:eastAsia="Arial" w:hAnsi="Arial"/>
          <w:sz w:val="18"/>
          <w:szCs w:val="18"/>
          <w:color w:val="auto"/>
        </w:rPr>
        <w:t>first in human enabling nonclinical studies in the first quarter of 2023, leading to a phase 1 CTA filing and initiation of dosing in healthy volunteers in the second quarter of 2023.</w:t>
      </w:r>
    </w:p>
    <w:p>
      <w:pPr>
        <w:spacing w:after="0" w:line="6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Our third area of focus is NASH, a complex, chronic liver disease where combination regimens may prove beneficial. Our most advanced drug candidate for NASH is ALG-055009, a small molecule THR-ß agonist. This drug candidate was evaluated in a recently completed Phase 1a/1b study in HVs (oral single ascending doses) and subjects with hyperlipidemia (14 oral daily doses). Preliminary data after single doses up to 4 mg and multiple 0.3 mg doses were recently reported at the European Association for the Study of the Liver conference (EASL 2022), where ALG-055009 was found to be well tolerated, with dose proportional pharmacokinetics (PK) and low variability, and expected pharmacodynamic effects for a thyromimetic (i.e., generally dose proportional increases in sex hormone binding globulin and decreases in thyroid hormones and various atherogenic lipids). Complete multiple dose data in hyperlipidemic subjects will be shared at AASLD 2022. Based on the previously demonstrated effects of other thyromimetics on liver fat, noninvasive markers of nonalcoholic fatty liver disease (NAFLD)/NASH, and liver histology in NASH patients, we believe ALG-055009 has the potential to become an integral component of future combination regimens for NASH.</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our small molecule efforts in NASH, we are also progressing two oligonucleotide projects in collaboration with Merck.</w:t>
      </w:r>
    </w:p>
    <w:p>
      <w:pPr>
        <w:spacing w:after="0" w:line="104" w:lineRule="exact"/>
        <w:rPr>
          <w:sz w:val="20"/>
          <w:szCs w:val="20"/>
          <w:color w:val="auto"/>
        </w:rPr>
      </w:pPr>
    </w:p>
    <w:p>
      <w:pPr>
        <w:ind w:firstLine="666"/>
        <w:spacing w:after="0" w:line="259" w:lineRule="auto"/>
        <w:rPr>
          <w:sz w:val="20"/>
          <w:szCs w:val="20"/>
          <w:color w:val="auto"/>
        </w:rPr>
      </w:pPr>
      <w:r>
        <w:rPr>
          <w:rFonts w:ascii="Arial" w:cs="Arial" w:eastAsia="Arial" w:hAnsi="Arial"/>
          <w:sz w:val="17"/>
          <w:szCs w:val="17"/>
          <w:color w:val="auto"/>
        </w:rPr>
        <w:t>We have incurred net losses and negative cash flows from operations in each year since our formation in February 2018. Our net losses were $18.6 million and $74.2 million for the three and nine months ended September 30, 2022, respectively, and our net losses were $33.1 million and $90.6 million for the three and nine months ended September 30, 2021. We have had no revenue from product sales. As of September 30, 2022, we had an accumulated deficit of $377.2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salesforce and outsource a substantial portion of our clinical trial work to third parties.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78" w:lineRule="exact"/>
        <w:rPr>
          <w:sz w:val="20"/>
          <w:szCs w:val="20"/>
          <w:color w:val="auto"/>
        </w:rPr>
      </w:pPr>
    </w:p>
    <w:p>
      <w:pPr>
        <w:ind w:left="1020" w:right="4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03"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84"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161"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186"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auto"/>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04"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Interest and other income (expense), net comprises interest income, net and other (loss) income, net. Interest income, net primarily consists of interest earned on our cash, cash equivalents, and investments. Other (loss) income, net consists primarily of the change in fair value of our investments and foreign currency gains/losses.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2022 and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operating expenses for the three and nine months ended September 30, 2022 and 2021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tcPr>
          <w:p>
            <w:pPr>
              <w:jc w:val="center"/>
              <w:ind w:right="95"/>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28,132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(10,341 )</w:t>
            </w: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65,977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75,555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(9,578 )</w:t>
            </w: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-13 %</w:t>
            </w: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(1,210 )</w:t>
            </w: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-19 %</w:t>
            </w:r>
          </w:p>
        </w:tc>
        <w:tc>
          <w:tcPr>
            <w:tcW w:w="180" w:type="dxa"/>
            <w:vAlign w:val="bottom"/>
          </w:tcPr>
          <w:p>
            <w:pPr>
              <w:spacing w:after="0"/>
              <w:rPr>
                <w:sz w:val="18"/>
                <w:szCs w:val="18"/>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w w:val="90"/>
              </w:rPr>
              <w:t>19,291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23,054</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34,605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(11,551 )</w:t>
            </w: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85,268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94,365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(9,097 )</w:t>
            </w: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color w:val="auto"/>
                <w:highlight w:val="white"/>
              </w:rPr>
              <w:t>%</w:t>
            </w: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9"/>
        </w:trPr>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2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308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Research and development expenses decreased by $10.3 million during the three months ended September 30, 2022, compared to the same period in 2021. The decrease in the three-month period was primarily due to a decrease of $12.4 million in third-party expenses due to our continued winddown related to the discontinuation of our STOPS and ASO programs, and the manufacturing of drug supply in advance of our clinical trial activity for our CAM and siRNA programs. Additionally, there was a decrease of $0.2 million in depreciation expense and a decrease of $0.1 million in recruitment fees. This were partially offset by an increase of $0.6 million in employee-related costs, of which $0.1 million related to stock-based compensation, and an increase of $1.8 million in facilities and allocation expenses.</w:t>
      </w:r>
    </w:p>
    <w:p>
      <w:pPr>
        <w:spacing w:after="0" w:line="17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Research and development expenses decreased by $9.6 million during the nine months ended September 30, 2022, compared to the same period in 2021. The decrease in the nine-month period was primarily due to a decrease of $12.8 million in third-party expenses due to our reduced costs related to our discontinued STOPs and ASO programs, leading to charges for non-cancelable purchase obligations, and the manufacturing of drug supply in advance of our clinical trial activity for our CAM and siRNA programs, partially offset by our activities and related expenditures associated with our NASH program. There was also a $0.3 million decrease in recruitment costs, and a decrease of $0.6 million in depreciation expense. This was partially offset by a $1.2 million increase in facility expenses, an increase of $2.6 million of additional employee-related costs, of which $0.3 million related to stock-based compensation, and a $0.3 million increase in travel and other expenses.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General and administrative expenses decreased by $1.2 million during the three months ended September 30, 2022, compared to the same period in 2021. This was primarily due to a decrease of $1.7 million in facility costs and updated expense allocations, along with a decrease of $0.4 million in recruiting and travel costs. These decreases were partially offset by a $0.7 million increase in consulting and outside services, and a $0.2 million increase in employee-related costs.</w:t>
      </w:r>
    </w:p>
    <w:p>
      <w:pPr>
        <w:spacing w:after="0" w:line="73"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General and administrative expenses increased by $0.5 million during the nine months ended September 30, 2022, compared to the same period in 2021. The increase was primarily due to an increase of $1.3 million in additional employee-related costs, of which $0.8 million related to stock-based compensation, and a $0.1 million increase in depreciation. The increase was partially offset by a $0.9 million decrease in third-party expenses related to various general and administrative outside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333" w:lineRule="exact"/>
        <w:rPr>
          <w:sz w:val="20"/>
          <w:szCs w:val="20"/>
          <w:color w:val="auto"/>
        </w:rPr>
      </w:pPr>
    </w:p>
    <w:p>
      <w:pPr>
        <w:ind w:right="160" w:firstLine="469"/>
        <w:spacing w:after="0" w:line="261" w:lineRule="auto"/>
        <w:rPr>
          <w:sz w:val="20"/>
          <w:szCs w:val="20"/>
          <w:color w:val="auto"/>
        </w:rPr>
      </w:pPr>
      <w:r>
        <w:rPr>
          <w:rFonts w:ascii="Arial" w:cs="Arial" w:eastAsia="Arial" w:hAnsi="Arial"/>
          <w:sz w:val="18"/>
          <w:szCs w:val="18"/>
          <w:color w:val="auto"/>
        </w:rPr>
        <w:t>The following table summarizes our interest and other income (expense), net for the three and nine months ended September 30, 2022 and 2021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920" w:type="dxa"/>
            <w:vAlign w:val="bottom"/>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Nine Months Ended</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6"/>
                <w:szCs w:val="16"/>
                <w:color w:val="auto"/>
              </w:rPr>
            </w:pPr>
          </w:p>
        </w:tc>
        <w:tc>
          <w:tcPr>
            <w:tcW w:w="80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9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24"/>
                <w:szCs w:val="24"/>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2229 %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24"/>
                <w:szCs w:val="24"/>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567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(182 )</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(232 )</w:t>
            </w: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-464 %</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(241 )</w:t>
            </w: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380"/>
              <w:spacing w:after="0" w:line="189" w:lineRule="exact"/>
              <w:rPr>
                <w:sz w:val="20"/>
                <w:szCs w:val="20"/>
                <w:color w:val="auto"/>
              </w:rPr>
            </w:pPr>
            <w:r>
              <w:rPr>
                <w:rFonts w:ascii="Arial" w:cs="Arial" w:eastAsia="Arial" w:hAnsi="Arial"/>
                <w:sz w:val="18"/>
                <w:szCs w:val="18"/>
                <w:color w:val="auto"/>
              </w:rPr>
              <w:t>Total interest and other income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920" w:type="dxa"/>
            <w:vAlign w:val="bottom"/>
            <w:vMerge w:val="continue"/>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4"/>
                <w:szCs w:val="14"/>
                <w:color w:val="auto"/>
              </w:rPr>
            </w:pPr>
          </w:p>
        </w:tc>
        <w:tc>
          <w:tcPr>
            <w:tcW w:w="580" w:type="dxa"/>
            <w:vAlign w:val="bottom"/>
            <w:vMerge w:val="restart"/>
          </w:tcPr>
          <w:p>
            <w:pPr>
              <w:jc w:val="right"/>
              <w:ind w:right="396"/>
              <w:spacing w:after="0"/>
              <w:rPr>
                <w:sz w:val="20"/>
                <w:szCs w:val="20"/>
                <w:color w:val="auto"/>
              </w:rPr>
            </w:pPr>
            <w:r>
              <w:rPr>
                <w:rFonts w:ascii="Arial" w:cs="Arial" w:eastAsia="Arial" w:hAnsi="Arial"/>
                <w:sz w:val="18"/>
                <w:szCs w:val="18"/>
                <w:color w:val="auto"/>
                <w:w w:val="79"/>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70</w:t>
            </w:r>
          </w:p>
        </w:tc>
        <w:tc>
          <w:tcPr>
            <w:tcW w:w="220" w:type="dxa"/>
            <w:vAlign w:val="bottom"/>
            <w:vMerge w:val="restart"/>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305 %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795</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(44 )</w:t>
            </w:r>
          </w:p>
        </w:tc>
        <w:tc>
          <w:tcPr>
            <w:tcW w:w="440" w:type="dxa"/>
            <w:vAlign w:val="bottom"/>
            <w:vMerge w:val="restart"/>
          </w:tcPr>
          <w:p>
            <w:pPr>
              <w:jc w:val="right"/>
              <w:ind w:right="256"/>
              <w:spacing w:after="0"/>
              <w:rPr>
                <w:sz w:val="20"/>
                <w:szCs w:val="20"/>
                <w:color w:val="auto"/>
              </w:rPr>
            </w:pPr>
            <w:r>
              <w:rPr>
                <w:rFonts w:ascii="Arial" w:cs="Arial" w:eastAsia="Arial" w:hAnsi="Arial"/>
                <w:sz w:val="18"/>
                <w:szCs w:val="18"/>
                <w:color w:val="auto"/>
                <w:w w:val="79"/>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86"/>
              </w:rPr>
              <w:t>839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-1906 %</w:t>
            </w:r>
          </w:p>
        </w:tc>
        <w:tc>
          <w:tcPr>
            <w:tcW w:w="0" w:type="dxa"/>
            <w:vAlign w:val="bottom"/>
          </w:tcPr>
          <w:p>
            <w:pPr>
              <w:spacing w:after="0"/>
              <w:rPr>
                <w:sz w:val="1"/>
                <w:szCs w:val="1"/>
                <w:color w:val="auto"/>
              </w:rPr>
            </w:pPr>
          </w:p>
        </w:tc>
      </w:tr>
      <w:tr>
        <w:trPr>
          <w:trHeight w:val="190"/>
        </w:trPr>
        <w:tc>
          <w:tcPr>
            <w:tcW w:w="2920" w:type="dxa"/>
            <w:vAlign w:val="bottom"/>
          </w:tcPr>
          <w:p>
            <w:pPr>
              <w:ind w:left="380"/>
              <w:spacing w:after="0" w:line="190" w:lineRule="exact"/>
              <w:rPr>
                <w:sz w:val="20"/>
                <w:szCs w:val="20"/>
                <w:color w:val="auto"/>
              </w:rPr>
            </w:pPr>
            <w:r>
              <w:rPr>
                <w:rFonts w:ascii="Arial" w:cs="Arial" w:eastAsia="Arial" w:hAnsi="Arial"/>
                <w:sz w:val="18"/>
                <w:szCs w:val="18"/>
                <w:color w:val="auto"/>
              </w:rPr>
              <w:t>(expense), net</w:t>
            </w: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-539115</wp:posOffset>
            </wp:positionV>
            <wp:extent cx="698627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86270"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-256540</wp:posOffset>
            </wp:positionV>
            <wp:extent cx="698627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86270" cy="257175"/>
                    </a:xfrm>
                    <a:prstGeom prst="rect">
                      <a:avLst/>
                    </a:prstGeom>
                    <a:noFill/>
                  </pic:spPr>
                </pic:pic>
              </a:graphicData>
            </a:graphic>
          </wp:anchor>
        </w:drawing>
      </w:r>
    </w:p>
    <w:p>
      <w:pPr>
        <w:spacing w:after="0" w:line="168" w:lineRule="exact"/>
        <w:rPr>
          <w:sz w:val="20"/>
          <w:szCs w:val="20"/>
          <w:color w:val="auto"/>
        </w:rPr>
      </w:pPr>
    </w:p>
    <w:p>
      <w:pPr>
        <w:ind w:right="220" w:firstLine="509"/>
        <w:spacing w:after="0" w:line="291" w:lineRule="auto"/>
        <w:rPr>
          <w:sz w:val="20"/>
          <w:szCs w:val="20"/>
          <w:color w:val="auto"/>
        </w:rPr>
      </w:pPr>
      <w:r>
        <w:rPr>
          <w:rFonts w:ascii="Arial" w:cs="Arial" w:eastAsia="Arial" w:hAnsi="Arial"/>
          <w:sz w:val="17"/>
          <w:szCs w:val="17"/>
          <w:color w:val="auto"/>
        </w:rPr>
        <w:t>Interest income, net increased by $0.4 million for the three months ended September 30, 2022 compared to the three months ended September 30, 2021, primarily due to the change in our portfolio of cash equivalents and investments which resulted in a higher interest yield.</w:t>
      </w:r>
    </w:p>
    <w:p>
      <w:pPr>
        <w:spacing w:after="0" w:line="147" w:lineRule="exact"/>
        <w:rPr>
          <w:sz w:val="20"/>
          <w:szCs w:val="20"/>
          <w:color w:val="auto"/>
        </w:rPr>
      </w:pPr>
    </w:p>
    <w:p>
      <w:pPr>
        <w:ind w:right="320" w:firstLine="509"/>
        <w:spacing w:after="0" w:line="291" w:lineRule="auto"/>
        <w:rPr>
          <w:sz w:val="20"/>
          <w:szCs w:val="20"/>
          <w:color w:val="auto"/>
        </w:rPr>
      </w:pPr>
      <w:r>
        <w:rPr>
          <w:rFonts w:ascii="Arial" w:cs="Arial" w:eastAsia="Arial" w:hAnsi="Arial"/>
          <w:sz w:val="17"/>
          <w:szCs w:val="17"/>
          <w:color w:val="auto"/>
        </w:rPr>
        <w:t>Interest income, net increased by $0.6 million for the nine months ended September 30, 2022 compared to the nine months ended September 30, 2021, primarily due to the change in our portfolio of cash equivalents and investments which resulted in a higher interest yield.</w:t>
      </w:r>
    </w:p>
    <w:p>
      <w:pPr>
        <w:spacing w:after="0" w:line="52"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Other (loss) income, net increased for the three months ended September 30, 2022 compared to the three months ended September 30, 2021, due primarily to foreign currency exchange losses versus the U.S. dollar.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 w:name="page25"/>
    <w:bookmarkEnd w:id="24"/>
    <w:p>
      <w:pPr>
        <w:ind w:right="380" w:firstLine="509"/>
        <w:spacing w:after="0" w:line="277" w:lineRule="auto"/>
        <w:rPr>
          <w:sz w:val="20"/>
          <w:szCs w:val="20"/>
          <w:color w:val="auto"/>
        </w:rPr>
      </w:pPr>
      <w:r>
        <w:rPr>
          <w:rFonts w:ascii="Arial" w:cs="Arial" w:eastAsia="Arial" w:hAnsi="Arial"/>
          <w:sz w:val="18"/>
          <w:szCs w:val="18"/>
          <w:color w:val="auto"/>
        </w:rPr>
        <w:t>Other (loss) income, net increased for the nine months ended September 30, 2022 compared to the nine months ended September 30, 2021, due primarily to foreign currency exchange losses versus the U.S. dollar.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Since our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 To date, we have financed our operations through private placements of preferred stock, issuances of common stock and convertible debt. Through September 30, 2022, we had received gross proceeds of $269.1 million from sales of our preferred stock, issuances of common stock and our issuance of convertible debt. As of September 30, 2022, we had unrestricted cash, cash equivalents and investments of $142.3 million.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We have incurred net losses since inception. Our primary use of cash is to fund operating expenses, which consist primarily of research and development costs related to our drug candidates and our discovery programs, and to a lesser extent, general and administrative expenditures. Our expenses may increase substantially in connection with our ongoing clinical development activities related to our most advanced drug candidate ALG-000184, for which we have initiated clinical trials, as well as our research and development of our other drug candidates within our CHB, NASH and coronavirus programs.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incur costs associated with operating as a public company. We expect that our expenses will increase substantially to the extent we:</w:t>
      </w:r>
    </w:p>
    <w:p>
      <w:pPr>
        <w:spacing w:after="0" w:line="12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milestones triggering payments by us under our current and potential future licensing and/or collaboration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any future commercialization efforts.</w:t>
      </w:r>
    </w:p>
    <w:p>
      <w:pPr>
        <w:spacing w:after="0" w:line="15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As of September 30, 2022, we had unrestricted cash, cash equivalents and investments of $142.3 million. On October 20, 2020, we closed our IPO at a public offering price of $15.00 per share for net proceeds of $135.4 million, after deducting underwriting discounts and commissions. On November 5, 2020, the underwriters of the IPO partially exercised their overallotment, resulting in an additional $16.0 million in net proceeds, after deducting underwriting discounts and commissions. We believe that our existing unrestricted cash, cash equivalents and investments will enable us to fund our planned operating expenses and capital expenditure requirements through at least the next twelve months.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ind w:right="200" w:firstLine="509"/>
        <w:spacing w:after="0" w:line="249"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86" w:lineRule="exact"/>
        <w:rPr>
          <w:sz w:val="20"/>
          <w:szCs w:val="20"/>
          <w:color w:val="auto"/>
        </w:rPr>
      </w:pPr>
    </w:p>
    <w:p>
      <w:pPr>
        <w:ind w:left="1020" w:right="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28" w:lineRule="exact"/>
        <w:rPr>
          <w:rFonts w:ascii="Arial" w:cs="Arial" w:eastAsia="Arial" w:hAnsi="Arial"/>
          <w:sz w:val="17"/>
          <w:szCs w:val="17"/>
          <w:color w:val="auto"/>
        </w:rPr>
      </w:pPr>
    </w:p>
    <w:p>
      <w:pPr>
        <w:jc w:val="both"/>
        <w:ind w:left="1020" w:right="38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3" w:lineRule="exact"/>
        <w:rPr>
          <w:rFonts w:ascii="Arial" w:cs="Arial" w:eastAsia="Arial" w:hAnsi="Arial"/>
          <w:sz w:val="18"/>
          <w:szCs w:val="18"/>
          <w:color w:val="auto"/>
        </w:rPr>
      </w:pPr>
    </w:p>
    <w:p>
      <w:pPr>
        <w:ind w:left="1020" w:right="12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48"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76"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lawsuits related to our drug candidates or commenced against us, including the costs associated with our current litigation with Janssen;</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71"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your ownership interest.</w:t>
      </w:r>
    </w:p>
    <w:p>
      <w:pPr>
        <w:spacing w:after="0" w:line="173"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(in thousands):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(62,606</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(78,182</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(37,897 )</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19,501</w:t>
            </w:r>
          </w:p>
        </w:tc>
        <w:tc>
          <w:tcPr>
            <w:tcW w:w="8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78,125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w w:val="95"/>
              </w:rPr>
              <w:t>Net increase (decrease) in cash, cash equivalents, and restricted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(100,460 )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19,444</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-723265</wp:posOffset>
            </wp:positionV>
            <wp:extent cx="88265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2650" cy="15430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514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 xml:space="preserve">During the nine months ended September 30, 2022, operating activities used $62.6 million of cash, primarily resulting from our net loss of $74.2 million and net changes in operating assets and liabilities of $2.4 million, partially offset by non-cash charges of $14.0 million. Net cash used in operating activities resulted in changes in our operating assets and liabilities of $2.4 million, consisting of a decrease of $0.1 million in accounts payable, a decrease of $11.5 million in accrued liabilities, a decrease of $1.3 million in operating lease liabilities, and an increase of $0.3 million in right of use assets, partially offset by an increase of $4.6 million in deferred revenue from collaborations, and a decrease in other assets of $6.2 million. The increase in deferred revenue from collaborations was a result of our First Amendment to the License and Research Collaboration Agreement (refer to Note 8 </w:t>
      </w:r>
      <w:r>
        <w:rPr>
          <w:rFonts w:ascii="Arial" w:cs="Arial" w:eastAsia="Arial" w:hAnsi="Arial"/>
          <w:sz w:val="17"/>
          <w:szCs w:val="17"/>
          <w:i w:val="1"/>
          <w:iCs w:val="1"/>
          <w:color w:val="auto"/>
        </w:rPr>
        <w:t>License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collaboration agreements, </w:t>
      </w:r>
      <w:r>
        <w:rPr>
          <w:rFonts w:ascii="Arial" w:cs="Arial" w:eastAsia="Arial" w:hAnsi="Arial"/>
          <w:sz w:val="17"/>
          <w:szCs w:val="17"/>
          <w:color w:val="auto"/>
        </w:rPr>
        <w:t>for details), partially offset by the recognition of revenue from collaborations due to progress towards the completion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projects. The decrease in accrued liabilities was largely due to charges related to the discontinuation of our ASO and STOPs drug candidates, and payment of the annual bonus in 2022 that was accrued for in 2021.</w:t>
      </w:r>
    </w:p>
    <w:p>
      <w:pPr>
        <w:spacing w:after="0" w:line="188"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During the nine months ended September 30, 2021, operating activities used $78.2 million of cash, primarily resulting from our net loss of $90.6 million and cash used in changes in our operating assets and liabilities of $0.2 million, partially offset by non-cash charges of $12.6 million. Net cash used in operating activities resulted in changes in our operating assets and liabilities of $0.2 million consisting of an increase in other assets of $0.3 million, a decrease of $4.0 million in deferred revenue from collaborations, a decrease of $1.0 million in operating lease liabilities, a decrease of $0.7 million in accounts payable and a decrease of $0.1 million in other liabilities, partially offset by an increase in accrued liabilities of $5.9 million. The decrease in deferred revenue from collaborations was a result of recognition of revenue from collaborations due to progress towards the completion of the project. The decrease in the operating lease liability was a result of payments made on outstanding lease obligations.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During the nine months ended September 30, 2022, investing activities utilized $37.9 million of cash, primarily for $79.7 million of investment purchases, and $0.9 million of property and equipment purchases, partially offset by $42.7 million of investment maturities.</w:t>
      </w:r>
    </w:p>
    <w:p>
      <w:pPr>
        <w:spacing w:after="0" w:line="143" w:lineRule="exact"/>
        <w:rPr>
          <w:sz w:val="20"/>
          <w:szCs w:val="20"/>
          <w:color w:val="auto"/>
        </w:rPr>
      </w:pPr>
    </w:p>
    <w:p>
      <w:pPr>
        <w:ind w:right="360" w:firstLine="509"/>
        <w:spacing w:after="0" w:line="291" w:lineRule="auto"/>
        <w:rPr>
          <w:sz w:val="20"/>
          <w:szCs w:val="20"/>
          <w:color w:val="auto"/>
        </w:rPr>
      </w:pPr>
      <w:r>
        <w:rPr>
          <w:rFonts w:ascii="Arial" w:cs="Arial" w:eastAsia="Arial" w:hAnsi="Arial"/>
          <w:sz w:val="17"/>
          <w:szCs w:val="17"/>
          <w:color w:val="auto"/>
        </w:rPr>
        <w:t>During the nine months ended September 30, 2021, investing activities provided $19.5 million of cash, consisting primarily of $23.0 million of investment maturities, offset by $2.9 million of investment purchases and $0.6 million of purchases of property and equipment.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During the nine months ended September 30, 2022, net cash provided by financing activities was $0.1, consisting primarily of proceeds from the purchase of shares in our Employee Stock Purchase Plan, partially offset by payments of our finance leases.</w:t>
      </w:r>
    </w:p>
    <w:p>
      <w:pPr>
        <w:spacing w:after="0" w:line="184" w:lineRule="exact"/>
        <w:rPr>
          <w:sz w:val="20"/>
          <w:szCs w:val="20"/>
          <w:color w:val="auto"/>
        </w:rPr>
      </w:pPr>
    </w:p>
    <w:p>
      <w:pPr>
        <w:ind w:right="480" w:firstLine="509"/>
        <w:spacing w:after="0" w:line="291" w:lineRule="auto"/>
        <w:rPr>
          <w:sz w:val="20"/>
          <w:szCs w:val="20"/>
          <w:color w:val="auto"/>
        </w:rPr>
      </w:pPr>
      <w:r>
        <w:rPr>
          <w:rFonts w:ascii="Arial" w:cs="Arial" w:eastAsia="Arial" w:hAnsi="Arial"/>
          <w:sz w:val="17"/>
          <w:szCs w:val="17"/>
          <w:color w:val="auto"/>
        </w:rPr>
        <w:t>During the nine months ended September 30, 2021, net cash provided by financing activities was $78.1 million, consisting primarily of $77.9 million in proceeds from our follow-on offering, net of issuance costs, and $0.3 million from the exercise of stock options.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have no material changes to our contractual obligations and commitments as of September 30, 2022 as disclosed in the contractual obligations and commitment section in our Annual Report on Form 10-K filed with the SEC on March 10, 2022, except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 xml:space="preserve">for the amount disclosed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“Notes to Unaudited Condensed Consolidated Financial Statements” contained in Part I, Item 1 of this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6" w:lineRule="exact"/>
        <w:rPr>
          <w:sz w:val="20"/>
          <w:szCs w:val="20"/>
          <w:color w:val="auto"/>
        </w:rPr>
      </w:pPr>
    </w:p>
    <w:p>
      <w:pPr>
        <w:jc w:val="both"/>
        <w:ind w:right="220" w:firstLine="509"/>
        <w:spacing w:after="0" w:line="268" w:lineRule="auto"/>
        <w:rPr>
          <w:sz w:val="20"/>
          <w:szCs w:val="20"/>
          <w:color w:val="auto"/>
        </w:rPr>
      </w:pPr>
      <w:r>
        <w:rPr>
          <w:rFonts w:ascii="Arial" w:cs="Arial" w:eastAsia="Arial" w:hAnsi="Arial"/>
          <w:sz w:val="17"/>
          <w:szCs w:val="17"/>
          <w:color w:val="auto"/>
        </w:rPr>
        <w:t>For a discussion of our critical accounting estimates, see “Management’s discussion and analysis of financial condition and results of operations” and the notes to our audited financial statements in our annual report on Form 10-K, filed with the SEC on March 10, 2022 for the year ended December 31, 2021, and the notes to the financial statements appearing elsewhere in this Quarterly Report on Form 10-Q. There have been no material changes to these critical accounting policies and estimates through September 30, 2022 from those discussed in our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For a description of the expected impact of recently adopted accounting pronouncements, see Note 2. Summary of Significant Accounting Policies in the “Notes to Unaudited Condensed Consolidated Financial Statements” contained in Part I, Item 1 of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are exposed to market risk related to changes in interest rates applicable to our investment portfolio of cash equivalents and short-term investments. As of September 30, 2022, our cash equivalents consisted primarily of money market funds, and our investments consisted of certificates of deposit available-for-sale securities. Our primary exposure to market risk is interest income sensitivity, which is affected by changes in the general level of U.S. interest rates. Should U.S. interest rates decline, interest income would be reduced in future periods for short-term investments which mature and the proceeds of which are reinvested in similar instruments at lower interest rates. Additionally, the fair value of our short-term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September 30, 2022, we estimate that a hypothetical 100 basis point adverse movement would not result in a material impact on our financial position or results of operations or cash flows. As of September 30, 2022, we had no debt outstanding, besides short-term payables arising in the normal course of business, and are therefore not exposed to interest rate risk with respect to debt.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2022,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fiscal quarter ended September 30, 2022 that has materially affected, or is reasonably likely to materially affect, our internal control over financial reporting.</w:t>
      </w:r>
    </w:p>
    <w:p>
      <w:pPr>
        <w:spacing w:after="0" w:line="19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a result of the COVID-19 pandemic, in March 2020, substantially all of our employees began working remotely. Since the availability of COVID-19 vaccines in 2021, almost all of our employees have been fully vaccinated and as a result, we are allowing such employees to return to work subject to certain COVID-19 related protocols and policies we have in place which may be modified from time to time in response to the evolution of the pandemic.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From time to time, we may become involved in litigation or other legal proceedings. While the outcome of any such proceedings cannot be predicted with certainty, except as described below, we are not currently involved in any legal proceedings that we believe are, individually or in the aggregate, material to our business, results of operations or financial condition. However, regardless of the outcome, litigation can have an adverse impact on us because of associated cost and diversion of management time.</w:t>
      </w:r>
    </w:p>
    <w:p>
      <w:pPr>
        <w:spacing w:after="0" w:line="73"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w:t>
      </w:r>
    </w:p>
    <w:p>
      <w:pPr>
        <w:spacing w:after="0" w:line="50"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The Company filed a response to the Complaint of, and counterclaims against, Janssen on August 5, 2022, and August 22, 2022, respectively. The Company believes the allegations in the Complaint are without merit and intends to continue to defend itself vigorously. The counterclaims against Janssen allege that Janssen has engaged in unfair competition and promissory fraud. Aligos’ co-founders, Lawrence M. Blatt, Ph.D., MBA, and Leonid Beigelman, Ph.D., joined the Company in filing the counterclaims.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21"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9"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5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Since inception, we have incurred significant net losses. Our net losses were $18.6 million and $74.2 million for the three and nine months ended September 30, 2022, respectively, and $128.3 million for the year ended December 31, 2021. As of September 30, 2022, we had a total stockholders’ equity of $122.0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3"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completing clinical and nonclinical development of drug candidates and programs and identifying and developing new drug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117"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103" w:lineRule="exact"/>
        <w:rPr>
          <w:rFonts w:ascii="Arial" w:cs="Arial" w:eastAsia="Arial" w:hAnsi="Arial"/>
          <w:sz w:val="18"/>
          <w:szCs w:val="18"/>
          <w:color w:val="auto"/>
        </w:rPr>
      </w:pPr>
    </w:p>
    <w:p>
      <w:pPr>
        <w:ind w:left="1020" w:right="40" w:hanging="503"/>
        <w:spacing w:after="0" w:line="342"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2"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and market developments;</w:t>
      </w:r>
    </w:p>
    <w:p>
      <w:pPr>
        <w:spacing w:after="0" w:line="117"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290"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September 30, 2022, we had unrestricted cash, cash equivalents and investments of $142.3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1020" w:right="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1" w:name="page32"/>
    <w:bookmarkEnd w:id="31"/>
    <w:p>
      <w:pPr>
        <w:jc w:val="both"/>
        <w:ind w:left="1020" w:right="360" w:hanging="503"/>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6" w:lineRule="exact"/>
        <w:rPr>
          <w:rFonts w:ascii="Arial" w:cs="Arial" w:eastAsia="Arial" w:hAnsi="Arial"/>
          <w:sz w:val="18"/>
          <w:szCs w:val="18"/>
          <w:color w:val="auto"/>
        </w:rPr>
      </w:pPr>
    </w:p>
    <w:p>
      <w:pPr>
        <w:ind w:left="1020" w:right="124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48"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76"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lawsuits related to our drug candidates or commenced against us, including the costs associated with our current litigation with Janssen;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86"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For example, the COVID-19 pandemic, the current inflationary economic environment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8" w:lineRule="exact"/>
        <w:rPr>
          <w:sz w:val="20"/>
          <w:szCs w:val="20"/>
          <w:color w:val="auto"/>
        </w:rPr>
      </w:pPr>
    </w:p>
    <w:p>
      <w:pPr>
        <w:ind w:left="1020" w:right="22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76" w:lineRule="exact"/>
        <w:rPr>
          <w:rFonts w:ascii="Arial" w:cs="Arial" w:eastAsia="Arial" w:hAnsi="Arial"/>
          <w:sz w:val="18"/>
          <w:szCs w:val="18"/>
          <w:color w:val="auto"/>
        </w:rPr>
      </w:pPr>
    </w:p>
    <w:p>
      <w:pPr>
        <w:jc w:val="both"/>
        <w:ind w:left="1020" w:right="300" w:hanging="503"/>
        <w:spacing w:after="0" w:line="24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30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3" w:lineRule="exact"/>
        <w:rPr>
          <w:sz w:val="20"/>
          <w:szCs w:val="20"/>
          <w:color w:val="auto"/>
        </w:rPr>
      </w:pPr>
    </w:p>
    <w:p>
      <w:pPr>
        <w:ind w:right="640" w:firstLine="509"/>
        <w:spacing w:after="0" w:line="308"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25" w:lineRule="exact"/>
        <w:rPr>
          <w:sz w:val="20"/>
          <w:szCs w:val="20"/>
          <w:color w:val="auto"/>
        </w:rPr>
      </w:pPr>
    </w:p>
    <w:p>
      <w:pPr>
        <w:ind w:left="1020" w:right="18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03" w:lineRule="exact"/>
        <w:rPr>
          <w:rFonts w:ascii="Arial" w:cs="Arial" w:eastAsia="Arial" w:hAnsi="Arial"/>
          <w:sz w:val="18"/>
          <w:szCs w:val="18"/>
          <w:color w:val="auto"/>
        </w:rPr>
      </w:pPr>
    </w:p>
    <w:p>
      <w:pPr>
        <w:ind w:left="1020" w:right="520" w:hanging="503"/>
        <w:spacing w:after="0" w:line="308"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2" w:name="page33"/>
    <w:bookmarkEnd w:id="32"/>
    <w:p>
      <w:pPr>
        <w:ind w:left="1020" w:right="26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48"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76"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62"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24"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expenditures that we may incur in any lawsuits related to our drug candidates or commenced against us, including the costs associated with our current litigation with Janssen;</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03" w:lineRule="exact"/>
        <w:rPr>
          <w:rFonts w:ascii="Arial" w:cs="Arial" w:eastAsia="Arial" w:hAnsi="Arial"/>
          <w:sz w:val="18"/>
          <w:szCs w:val="18"/>
          <w:color w:val="auto"/>
        </w:rPr>
      </w:pPr>
    </w:p>
    <w:p>
      <w:pPr>
        <w:ind w:left="1020" w:right="140" w:hanging="503"/>
        <w:spacing w:after="0" w:line="308"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133"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258"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32"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Our business could be materially adversely affected by the effects of health pandemics or epidemics, including the current outbreak of COVID-19, which the World Health Organization declared a global pandemic and which has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almost all of our employees have been fully vaccinated and as a result, we are allowing such employees to return to work, subject to certain COVID-19 related protocols and policies we have put in place and which are modified from time to time as appropriate. However, as the global COVID-19 pandemic and orders and guidance from state and local governments continue to evolve, we may need to reverse course and again implement work-from-home policies as necessary. For example, given the Omicron variant of COVID-19, we again implemented work-from-home policies for our employees in January 2022. While we have allowed our employees to return to work at our U.S. facility as of March 2022, we continue to monitor the COVID-19 situation and may once again reverse course periodically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80" w:firstLine="749"/>
        <w:spacing w:after="0" w:line="249" w:lineRule="auto"/>
        <w:rPr>
          <w:sz w:val="20"/>
          <w:szCs w:val="20"/>
          <w:color w:val="auto"/>
        </w:rPr>
      </w:pPr>
      <w:r>
        <w:rPr>
          <w:rFonts w:ascii="Arial" w:cs="Arial" w:eastAsia="Arial" w:hAnsi="Arial"/>
          <w:sz w:val="18"/>
          <w:szCs w:val="18"/>
          <w:color w:val="auto"/>
        </w:rPr>
        <w:t>Quarantines, shutdowns and shelter-in-place and similar government orders related to COVID-19 or other infectious diseases, or the perception that such events, orders or other restrictions on the conduct of business operations could occur, could adversely impact personnel at third-party manufacturing facilities in the United States and other countries, or the availability or cost of materials, which would disrupt our supply chain. Restrictions resulting from the COVID-19 outbreak may at any time disrupt our supply chain and delay or limit our ability to obtain sufficient materials for our drug candidates.</w:t>
      </w:r>
    </w:p>
    <w:p>
      <w:pPr>
        <w:spacing w:after="0" w:line="74" w:lineRule="exact"/>
        <w:rPr>
          <w:sz w:val="20"/>
          <w:szCs w:val="20"/>
          <w:color w:val="auto"/>
        </w:rPr>
      </w:pPr>
    </w:p>
    <w:p>
      <w:pPr>
        <w:ind w:right="100" w:firstLine="749"/>
        <w:spacing w:after="0" w:line="283"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49" w:lineRule="exact"/>
        <w:rPr>
          <w:sz w:val="20"/>
          <w:szCs w:val="20"/>
          <w:color w:val="auto"/>
        </w:rPr>
      </w:pPr>
    </w:p>
    <w:p>
      <w:pPr>
        <w:ind w:right="20" w:firstLine="749"/>
        <w:spacing w:after="0" w:line="249"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86" w:lineRule="exact"/>
        <w:rPr>
          <w:sz w:val="20"/>
          <w:szCs w:val="20"/>
          <w:color w:val="auto"/>
        </w:rPr>
      </w:pPr>
    </w:p>
    <w:p>
      <w:pPr>
        <w:ind w:right="20" w:firstLine="749"/>
        <w:spacing w:after="0" w:line="249"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the COVID-19 pandemic or other health pandemics or epidemics could materially adversely affect the value of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08" w:lineRule="exact"/>
        <w:rPr>
          <w:sz w:val="20"/>
          <w:szCs w:val="20"/>
          <w:color w:val="auto"/>
        </w:rPr>
      </w:pPr>
    </w:p>
    <w:p>
      <w:pPr>
        <w:jc w:val="both"/>
        <w:ind w:right="80"/>
        <w:spacing w:after="0" w:line="303"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32"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w:t>
      </w:r>
    </w:p>
    <w:p>
      <w:pPr>
        <w:spacing w:after="0" w:line="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CHB portfolio previously included our STOPS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19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206"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spacing w:after="0" w:line="258" w:lineRule="auto"/>
        <w:rPr>
          <w:sz w:val="20"/>
          <w:szCs w:val="20"/>
          <w:color w:val="auto"/>
        </w:rPr>
      </w:pPr>
      <w:r>
        <w:rPr>
          <w:rFonts w:ascii="Arial" w:cs="Arial" w:eastAsia="Arial" w:hAnsi="Arial"/>
          <w:sz w:val="17"/>
          <w:szCs w:val="17"/>
          <w:color w:val="auto"/>
        </w:rPr>
        <w:t>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80"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04" w:lineRule="exact"/>
        <w:rPr>
          <w:sz w:val="20"/>
          <w:szCs w:val="20"/>
          <w:color w:val="auto"/>
        </w:rPr>
      </w:pPr>
    </w:p>
    <w:p>
      <w:pPr>
        <w:ind w:left="1020" w:right="2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03"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48" w:lineRule="exact"/>
        <w:rPr>
          <w:rFonts w:ascii="Arial" w:cs="Arial" w:eastAsia="Arial" w:hAnsi="Arial"/>
          <w:sz w:val="18"/>
          <w:szCs w:val="18"/>
          <w:color w:val="auto"/>
        </w:rPr>
      </w:pPr>
    </w:p>
    <w:p>
      <w:pPr>
        <w:ind w:left="1020" w:right="9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clinical trial applications (CTAs) and/or similar applications in other jurisdictions for our planned and future clinical trials;</w:t>
      </w:r>
    </w:p>
    <w:p>
      <w:pPr>
        <w:spacing w:after="0" w:line="76"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drug candidates in the intended populations;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76"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maintaining and expanding our portfolio of intellectual property rights, including patents, trade secrets and know-how;</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drug candidates following approval;</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5" w:name="page36"/>
    <w:bookmarkEnd w:id="35"/>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12" w:lineRule="exact"/>
        <w:rPr>
          <w:sz w:val="20"/>
          <w:szCs w:val="20"/>
          <w:color w:val="auto"/>
        </w:rPr>
      </w:pPr>
    </w:p>
    <w:p>
      <w:pPr>
        <w:ind w:right="260" w:firstLine="509"/>
        <w:spacing w:after="0" w:line="245"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30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178"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63" w:lineRule="exact"/>
        <w:rPr>
          <w:sz w:val="20"/>
          <w:szCs w:val="20"/>
          <w:color w:val="auto"/>
        </w:rPr>
      </w:pPr>
    </w:p>
    <w:p>
      <w:pPr>
        <w:ind w:left="1020" w:right="4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or failure by us or third parties to comply with regulatory requirements, including the requirements of good laboratory practice (GLP);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26"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sufficient quantities of our drug candidates for use in nonclinical studies and clinical trials from third-party suppliers on a timely basis;</w:t>
      </w:r>
    </w:p>
    <w:p>
      <w:pPr>
        <w:spacing w:after="0" w:line="76" w:lineRule="exact"/>
        <w:rPr>
          <w:rFonts w:ascii="Arial" w:cs="Arial" w:eastAsia="Arial" w:hAnsi="Arial"/>
          <w:sz w:val="18"/>
          <w:szCs w:val="18"/>
          <w:color w:val="auto"/>
        </w:rPr>
      </w:pPr>
    </w:p>
    <w:p>
      <w:pPr>
        <w:ind w:left="1020" w:right="140" w:hanging="503"/>
        <w:spacing w:after="0" w:line="270"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69" w:lineRule="exact"/>
        <w:rPr>
          <w:rFonts w:ascii="Arial" w:cs="Arial" w:eastAsia="Arial" w:hAnsi="Arial"/>
          <w:sz w:val="17"/>
          <w:szCs w:val="17"/>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due to other global-scale potentially catastrophic events, including other pandemics, terrorism, war, and climate changes.</w:t>
      </w:r>
    </w:p>
    <w:p>
      <w:pPr>
        <w:spacing w:after="0" w:line="212" w:lineRule="exact"/>
        <w:rPr>
          <w:sz w:val="20"/>
          <w:szCs w:val="20"/>
          <w:color w:val="auto"/>
        </w:rPr>
      </w:pPr>
    </w:p>
    <w:p>
      <w:pPr>
        <w:jc w:val="both"/>
        <w:ind w:right="40" w:firstLine="509"/>
        <w:spacing w:after="0" w:line="249"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300"/>
        <w:spacing w:after="0" w:line="356"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15"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17"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57"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18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w:t>
      </w:r>
    </w:p>
    <w:p>
      <w:pPr>
        <w:spacing w:after="0" w:line="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develop may not receive regulatory approval even if they are successful in clinical trials. If we do not receive regulatory approvals for our drug candidates, we may not be able to continue our operations.</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37" w:name="page38"/>
    <w:bookmarkEnd w:id="37"/>
    <w:p>
      <w:pPr>
        <w:ind w:right="220"/>
        <w:spacing w:after="0" w:line="331"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15" w:lineRule="exact"/>
        <w:rPr>
          <w:sz w:val="20"/>
          <w:szCs w:val="20"/>
          <w:color w:val="auto"/>
        </w:rPr>
      </w:pPr>
    </w:p>
    <w:p>
      <w:pPr>
        <w:ind w:right="120" w:firstLine="509"/>
        <w:spacing w:after="0" w:line="216" w:lineRule="exact"/>
        <w:rPr>
          <w:sz w:val="20"/>
          <w:szCs w:val="20"/>
          <w:color w:val="auto"/>
        </w:rPr>
      </w:pPr>
      <w:r>
        <w:rPr>
          <w:rFonts w:ascii="Arial" w:cs="Arial" w:eastAsia="Arial" w:hAnsi="Arial"/>
          <w:sz w:val="16"/>
          <w:szCs w:val="16"/>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6"/>
          <w:szCs w:val="16"/>
          <w:color w:val="auto"/>
        </w:rPr>
        <w:t>‑</w:t>
      </w:r>
      <w:r>
        <w:rPr>
          <w:rFonts w:ascii="Arial" w:cs="Arial" w:eastAsia="Arial" w:hAnsi="Arial"/>
          <w:sz w:val="16"/>
          <w:szCs w:val="16"/>
          <w:color w:val="auto"/>
        </w:rPr>
        <w:t>010133. This decision was based on emerging data from the Phase 1 Study ALG-010133-101, that indicated that at the projected efficacious dose (400 mg, estimated to achieve liver exposures &gt;3 x EC</w:t>
      </w:r>
      <w:r>
        <w:rPr>
          <w:rFonts w:ascii="Arial" w:cs="Arial" w:eastAsia="Arial" w:hAnsi="Arial"/>
          <w:sz w:val="21"/>
          <w:szCs w:val="21"/>
          <w:color w:val="auto"/>
          <w:vertAlign w:val="subscript"/>
        </w:rPr>
        <w:t>90</w:t>
      </w:r>
      <w:r>
        <w:rPr>
          <w:rFonts w:ascii="Arial" w:cs="Arial" w:eastAsia="Arial" w:hAnsi="Arial"/>
          <w:sz w:val="16"/>
          <w:szCs w:val="16"/>
          <w:color w:val="auto"/>
        </w:rPr>
        <w:t xml:space="preserve"> for HBsAg inhibition) there was</w:t>
      </w:r>
    </w:p>
    <w:p>
      <w:pPr>
        <w:spacing w:after="0" w:line="3"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no meaningful HBsAg reduction. Furthermore, higher doses levels (maximum feasible dose is 600 mg) that were planned to be evaluated in a subsequent cohort were very unlikely to reach the 1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HBsAg reduction level that we had previously defined as necessary to advance the program. As</w:t>
      </w:r>
    </w:p>
    <w:p>
      <w:pPr>
        <w:spacing w:after="0" w:line="1" w:lineRule="exact"/>
        <w:rPr>
          <w:sz w:val="20"/>
          <w:szCs w:val="20"/>
          <w:color w:val="auto"/>
        </w:rPr>
      </w:pPr>
    </w:p>
    <w:p>
      <w:pPr>
        <w:ind w:right="60"/>
        <w:spacing w:after="0" w:line="215" w:lineRule="exact"/>
        <w:rPr>
          <w:sz w:val="20"/>
          <w:szCs w:val="20"/>
          <w:color w:val="auto"/>
        </w:rPr>
      </w:pPr>
      <w:r>
        <w:rPr>
          <w:rFonts w:ascii="Arial" w:cs="Arial" w:eastAsia="Arial" w:hAnsi="Arial"/>
          <w:sz w:val="16"/>
          <w:szCs w:val="16"/>
          <w:color w:val="auto"/>
        </w:rPr>
        <w:t>another example, in March 2022, we discontinued further development of our ASO drug candidate for CHB, ALG</w:t>
      </w:r>
      <w:r>
        <w:rPr>
          <w:rFonts w:ascii="MS PGothic" w:cs="MS PGothic" w:eastAsia="MS PGothic" w:hAnsi="MS PGothic"/>
          <w:sz w:val="16"/>
          <w:szCs w:val="16"/>
          <w:color w:val="auto"/>
        </w:rPr>
        <w:t>‑</w:t>
      </w:r>
      <w:r>
        <w:rPr>
          <w:rFonts w:ascii="Arial" w:cs="Arial" w:eastAsia="Arial" w:hAnsi="Arial"/>
          <w:sz w:val="16"/>
          <w:szCs w:val="16"/>
          <w:color w:val="auto"/>
        </w:rPr>
        <w:t>020572, due to an unanticipated serious adverse event involving significant increase in ALT in one CHB subject and several other subjects experiencing ALT flares in the same study.</w:t>
      </w:r>
    </w:p>
    <w:p>
      <w:pPr>
        <w:spacing w:after="0" w:line="189"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67" w:lineRule="exact"/>
        <w:rPr>
          <w:sz w:val="20"/>
          <w:szCs w:val="20"/>
          <w:color w:val="auto"/>
        </w:rPr>
      </w:pPr>
    </w:p>
    <w:p>
      <w:pPr>
        <w:ind w:left="1020" w:right="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76"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03" w:lineRule="exact"/>
        <w:rPr>
          <w:rFonts w:ascii="Arial" w:cs="Arial" w:eastAsia="Arial" w:hAnsi="Arial"/>
          <w:sz w:val="18"/>
          <w:szCs w:val="18"/>
          <w:color w:val="auto"/>
        </w:rPr>
      </w:pPr>
    </w:p>
    <w:p>
      <w:pPr>
        <w:ind w:left="1020" w:right="120" w:hanging="503"/>
        <w:spacing w:after="0" w:line="342"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2" w:lineRule="exact"/>
        <w:rPr>
          <w:rFonts w:ascii="Arial" w:cs="Arial" w:eastAsia="Arial" w:hAnsi="Arial"/>
          <w:sz w:val="16"/>
          <w:szCs w:val="16"/>
          <w:color w:val="auto"/>
        </w:rPr>
      </w:pPr>
    </w:p>
    <w:p>
      <w:pPr>
        <w:ind w:left="1020" w:right="80" w:hanging="503"/>
        <w:spacing w:after="0" w:line="25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6"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76"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172"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Further, we are currently conducting clinical trials of in many countries (e.g., New Zealand, Hong Kong, the United Kingdom). We may also in the future conduct clinical trials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52" w:lineRule="exact"/>
        <w:rPr>
          <w:sz w:val="20"/>
          <w:szCs w:val="20"/>
          <w:color w:val="auto"/>
        </w:rPr>
      </w:pPr>
    </w:p>
    <w:p>
      <w:pPr>
        <w:ind w:right="520" w:firstLine="509"/>
        <w:spacing w:after="0" w:line="256" w:lineRule="auto"/>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8" w:name="page39"/>
    <w:bookmarkEnd w:id="38"/>
    <w:p>
      <w:pPr>
        <w:spacing w:after="0" w:line="256" w:lineRule="auto"/>
        <w:rPr>
          <w:sz w:val="20"/>
          <w:szCs w:val="20"/>
          <w:color w:val="auto"/>
        </w:rPr>
      </w:pPr>
      <w:r>
        <w:rPr>
          <w:rFonts w:ascii="Arial" w:cs="Arial" w:eastAsia="Arial" w:hAnsi="Arial"/>
          <w:sz w:val="18"/>
          <w:szCs w:val="18"/>
          <w:color w:val="auto"/>
        </w:rPr>
        <w:t>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75" w:lineRule="exact"/>
        <w:rPr>
          <w:sz w:val="20"/>
          <w:szCs w:val="20"/>
          <w:color w:val="auto"/>
        </w:rPr>
      </w:pPr>
    </w:p>
    <w:p>
      <w:pPr>
        <w:ind w:right="60" w:firstLine="509"/>
        <w:spacing w:after="0" w:line="210" w:lineRule="exact"/>
        <w:rPr>
          <w:sz w:val="20"/>
          <w:szCs w:val="20"/>
          <w:color w:val="auto"/>
        </w:rPr>
      </w:pPr>
      <w:r>
        <w:rPr>
          <w:rFonts w:ascii="Arial" w:cs="Arial" w:eastAsia="Arial" w:hAnsi="Arial"/>
          <w:sz w:val="18"/>
          <w:szCs w:val="18"/>
          <w:color w:val="auto"/>
        </w:rPr>
        <w:t>Specifically, the clinical trial sites for our current drug trials, including for ALG-000184, ALG</w:t>
      </w:r>
      <w:r>
        <w:rPr>
          <w:rFonts w:ascii="MS PGothic" w:cs="MS PGothic" w:eastAsia="MS PGothic" w:hAnsi="MS PGothic"/>
          <w:sz w:val="18"/>
          <w:szCs w:val="18"/>
          <w:color w:val="auto"/>
        </w:rPr>
        <w:t>‑</w:t>
      </w:r>
      <w:r>
        <w:rPr>
          <w:rFonts w:ascii="Arial" w:cs="Arial" w:eastAsia="Arial" w:hAnsi="Arial"/>
          <w:sz w:val="18"/>
          <w:szCs w:val="18"/>
          <w:color w:val="auto"/>
        </w:rPr>
        <w:t>055009 and ALG</w:t>
      </w:r>
      <w:r>
        <w:rPr>
          <w:rFonts w:ascii="MS PGothic" w:cs="MS PGothic" w:eastAsia="MS PGothic" w:hAnsi="MS PGothic"/>
          <w:sz w:val="18"/>
          <w:szCs w:val="18"/>
          <w:color w:val="auto"/>
        </w:rPr>
        <w:t>‑</w:t>
      </w:r>
      <w:r>
        <w:rPr>
          <w:rFonts w:ascii="Arial" w:cs="Arial" w:eastAsia="Arial" w:hAnsi="Arial"/>
          <w:sz w:val="18"/>
          <w:szCs w:val="18"/>
          <w:color w:val="auto"/>
        </w:rPr>
        <w:t>125755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193"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152" w:lineRule="exact"/>
        <w:rPr>
          <w:sz w:val="20"/>
          <w:szCs w:val="20"/>
          <w:color w:val="auto"/>
        </w:rPr>
      </w:pPr>
    </w:p>
    <w:p>
      <w:pPr>
        <w:ind w:right="420" w:firstLine="509"/>
        <w:spacing w:after="0" w:line="256"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283"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5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have invested, and will continue to invest, a significant portion of our time and financial resources in the pursuit of a treatment for NASH, including ALG-055009, our THR-b agonist which is currently in a Phase 1 trial.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187"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182" w:lineRule="exact"/>
        <w:rPr>
          <w:sz w:val="20"/>
          <w:szCs w:val="20"/>
          <w:color w:val="auto"/>
        </w:rPr>
      </w:pPr>
    </w:p>
    <w:p>
      <w:pPr>
        <w:jc w:val="both"/>
        <w:ind w:right="100" w:firstLine="509"/>
        <w:spacing w:after="0" w:line="303"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04"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w:t>
      </w:r>
    </w:p>
    <w:p>
      <w:pPr>
        <w:spacing w:after="0" w:line="19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For example, in June 2020, we entered into a Research, Licensing and Commercialization Agreement (the KU Leuven Agreement) with Katholieke Universiteit Leuven (KU Leuven) under which we are collaborating with KU Leuven’s Rega Institute 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spacing w:after="0" w:line="268" w:lineRule="auto"/>
        <w:rPr>
          <w:sz w:val="20"/>
          <w:szCs w:val="20"/>
          <w:color w:val="auto"/>
        </w:rPr>
      </w:pPr>
      <w:r>
        <w:rPr>
          <w:rFonts w:ascii="Arial" w:cs="Arial" w:eastAsia="Arial" w:hAnsi="Arial"/>
          <w:sz w:val="17"/>
          <w:szCs w:val="17"/>
          <w:color w:val="auto"/>
        </w:rPr>
        <w:t>Medical Research, as well as its Centre for Drug Design and Discovery, to research, develop, manufacture and commercialize potential protease inhibitors for the treatment of coronaviruses, including SARS-CoV-2.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180"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182"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69"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Also, Enanta Pharmaceuticals recently announced dosing of its first subject in a Phase 1 clinical trial for EDP-235 which is its lead oral protease inhibitor specifically designed for the treatment of COVID-19, and that EDP-235 received FDA Fast Track Designation. Additionally, Pardes Biosciences completed its first-in-human Phase 1 clinical study for its protease inhibitor, PBI-0451, where results showed potential for an unboosted oral regimen against COVID-19, indicated that dose selection for its planned global Phase 2/3 study is underway and announced commencement of a Phase 2 study. Furthermore, Novartis is working on a once a day, pan-coronavirus, main protease inhibitor pill and plans to start human testing in 2022; Shionogi filed for manufacture and sales approval in Japan for its oral therapeutic drug for COVID-19, S-217622, a 3CL protease inhibitor for which Shiongoi reported achievement of the primary endpoint in the Phase 3 part of the Phase 2/3 clinical trial in Asia; and Ascletis Pharma Inc. announced that is oral small molecule drug candidate ASC11, a 3CL protease inhibitor, demonstrated potential to be effective treatment for COVID-19 and expects to file an IND in the second half of 2022 and complete a Phase 1 clinical trial in healthy subjects by end of 2022. Faced with such competitor efforts, the value and/or market potential of our COVID-19 protease inhibitor program which is further behind in terms of the development process may be adversely impacted. Further, other therapies that are more affordable than our potential therapies may be used to treat COVID-19, including existing generic drugs, which could also hurt the funding of and demand for our potential therapies. In addition to BioNTech SE (together with Pfizer Inc.), Moderna, Inc., Janssen Pharmaceutical Companies of Johnson &amp; Johnson, and Novavax, Inc., there are efforts by several other public and private entities to develop a therapy or vaccine for COVID-19, including Alexion Pharmaceuticals Inc., Atea Pharmaceuticals, Inc. (together with Roche), Incyte Corporation, Sanofi S.A., Regeneron Pharmaceuticals, Inc., Amgen Inc. (together with Adaptive Biotechnologies Corporation), AbCellera Biologics, Inc. (together with Eli Lilly and Company), Vir Biotechnology, Inc. (together with Alnylam Pharmaceuticals, GSK, Biogen Inc. and WuXi Biologics Ltd.), Altimmune, Inc., AstraZeneca PLC (together with Oxford University), GlaxoSmithKline (GSK) (together with Sanofi S.A.), Heat Biologics, Inc., Inovio Pharmaceuticals, Inc., Regeneron Pharmaceuticals Inc., Synairgen plc, Takeda Pharmaceutical Company Limited, Vaxart, Inc., and Veru Inc., many of which are further along in the development process than we are.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120"/>
        <w:spacing w:after="0" w:line="277"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4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185"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Janssen Pharmaceutical Companies of Johnson &amp; Johnson and Novavax.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 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04" w:lineRule="exact"/>
        <w:rPr>
          <w:sz w:val="20"/>
          <w:szCs w:val="20"/>
          <w:color w:val="auto"/>
        </w:rPr>
      </w:pPr>
    </w:p>
    <w:p>
      <w:pPr>
        <w:ind w:firstLine="509"/>
        <w:spacing w:after="0" w:line="210" w:lineRule="exact"/>
        <w:rPr>
          <w:sz w:val="20"/>
          <w:szCs w:val="20"/>
          <w:color w:val="auto"/>
        </w:rPr>
      </w:pPr>
      <w:r>
        <w:rPr>
          <w:rFonts w:ascii="Arial" w:cs="Arial" w:eastAsia="Arial" w:hAnsi="Arial"/>
          <w:sz w:val="16"/>
          <w:szCs w:val="16"/>
          <w:color w:val="auto"/>
        </w:rPr>
        <w:t>From time to time, we may disclose interim data from our clinical trials, including the preliminary data with respect to our CAM candidate, ALG-000184, our THR-b agonist candidate ALG</w:t>
      </w:r>
      <w:r>
        <w:rPr>
          <w:rFonts w:ascii="MS PGothic" w:cs="MS PGothic" w:eastAsia="MS PGothic" w:hAnsi="MS PGothic"/>
          <w:sz w:val="16"/>
          <w:szCs w:val="16"/>
          <w:color w:val="auto"/>
        </w:rPr>
        <w:t>‑</w:t>
      </w:r>
      <w:r>
        <w:rPr>
          <w:rFonts w:ascii="Arial" w:cs="Arial" w:eastAsia="Arial" w:hAnsi="Arial"/>
          <w:sz w:val="16"/>
          <w:szCs w:val="16"/>
          <w:color w:val="auto"/>
        </w:rPr>
        <w:t>055009 and our siRNA candidate, ALG</w:t>
      </w:r>
      <w:r>
        <w:rPr>
          <w:rFonts w:ascii="MS PGothic" w:cs="MS PGothic" w:eastAsia="MS PGothic" w:hAnsi="MS PGothic"/>
          <w:sz w:val="16"/>
          <w:szCs w:val="16"/>
          <w:color w:val="auto"/>
        </w:rPr>
        <w:t>‑</w:t>
      </w:r>
      <w:r>
        <w:rPr>
          <w:rFonts w:ascii="Arial" w:cs="Arial" w:eastAsia="Arial" w:hAnsi="Arial"/>
          <w:sz w:val="16"/>
          <w:szCs w:val="16"/>
          <w:color w:val="auto"/>
        </w:rPr>
        <w:t>125755.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5"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1" w:name="page42"/>
    <w:bookmarkEnd w:id="41"/>
    <w:p>
      <w:pPr>
        <w:ind w:right="40"/>
        <w:spacing w:after="0" w:line="261" w:lineRule="auto"/>
        <w:rPr>
          <w:sz w:val="20"/>
          <w:szCs w:val="20"/>
          <w:color w:val="auto"/>
        </w:rPr>
      </w:pPr>
      <w:r>
        <w:rPr>
          <w:rFonts w:ascii="Arial" w:cs="Arial" w:eastAsia="Arial" w:hAnsi="Arial"/>
          <w:sz w:val="17"/>
          <w:szCs w:val="17"/>
          <w:color w:val="auto"/>
        </w:rPr>
        <w:t>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3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87"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48"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18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206"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1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15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42" w:name="page43"/>
    <w:bookmarkEnd w:id="42"/>
    <w:p>
      <w:pPr>
        <w:ind w:right="500"/>
        <w:spacing w:after="0" w:line="256"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9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202"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6"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19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3"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260" w:firstLine="509"/>
        <w:spacing w:after="0" w:line="268"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3" w:name="page44"/>
    <w:bookmarkEnd w:id="43"/>
    <w:p>
      <w:pPr>
        <w:ind w:right="20"/>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6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8" w:lineRule="exact"/>
        <w:rPr>
          <w:sz w:val="20"/>
          <w:szCs w:val="20"/>
          <w:color w:val="auto"/>
        </w:rPr>
      </w:pPr>
    </w:p>
    <w:p>
      <w:pPr>
        <w:ind w:right="80" w:firstLine="509"/>
        <w:spacing w:after="0" w:line="277"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76"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63"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4" w:name="page45"/>
    <w:bookmarkEnd w:id="44"/>
    <w:p>
      <w:pPr>
        <w:ind w:right="40"/>
        <w:spacing w:after="0" w:line="277"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4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185"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269" w:lineRule="exact"/>
        <w:rPr>
          <w:sz w:val="20"/>
          <w:szCs w:val="20"/>
          <w:color w:val="auto"/>
        </w:rPr>
      </w:pPr>
    </w:p>
    <w:p>
      <w:pPr>
        <w:ind w:right="700"/>
        <w:spacing w:after="0" w:line="291"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185"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28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69"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03"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5" w:name="page46"/>
    <w:bookmarkEnd w:id="45"/>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2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49"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193"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Further, clinical trials conducted in one country may not be accepted by regulatory authorities in other countries. For example, we are currently conducting clinical trials in multiple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28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49"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67" w:lineRule="exact"/>
        <w:rPr>
          <w:sz w:val="20"/>
          <w:szCs w:val="20"/>
          <w:color w:val="auto"/>
        </w:rPr>
      </w:pPr>
    </w:p>
    <w:p>
      <w:pPr>
        <w:ind w:left="1020" w:right="6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economic weakness, including inflation and increased interest rates or political instability in particular foreign economies and markets;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disruptions resulting from the impact of public health pandemics or epidemics (including, for example, the ongoing COVID-19 pandemic).</w:t>
      </w:r>
    </w:p>
    <w:p>
      <w:pPr>
        <w:spacing w:after="0" w:line="235"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292"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93" w:lineRule="exact"/>
        <w:rPr>
          <w:sz w:val="20"/>
          <w:szCs w:val="20"/>
          <w:color w:val="auto"/>
        </w:rPr>
      </w:pPr>
    </w:p>
    <w:p>
      <w:pPr>
        <w:ind w:firstLine="509"/>
        <w:spacing w:after="0" w:line="208" w:lineRule="exact"/>
        <w:rPr>
          <w:sz w:val="20"/>
          <w:szCs w:val="20"/>
          <w:color w:val="auto"/>
        </w:rPr>
      </w:pPr>
      <w:r>
        <w:rPr>
          <w:rFonts w:ascii="Arial" w:cs="Arial" w:eastAsia="Arial" w:hAnsi="Arial"/>
          <w:sz w:val="17"/>
          <w:szCs w:val="17"/>
          <w:color w:val="auto"/>
        </w:rPr>
        <w:t>Relatedly,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mission-critical inspections to resumption of all regulatory activities.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w:t>
      </w:r>
      <w:r>
        <w:rPr>
          <w:rFonts w:ascii="MS PGothic" w:cs="MS PGothic" w:eastAsia="MS PGothic" w:hAnsi="MS PGothic"/>
          <w:sz w:val="17"/>
          <w:szCs w:val="17"/>
          <w:color w:val="auto"/>
        </w:rPr>
        <w:t>‑</w:t>
      </w:r>
      <w:r>
        <w:rPr>
          <w:rFonts w:ascii="Arial" w:cs="Arial" w:eastAsia="Arial" w:hAnsi="Arial"/>
          <w:sz w:val="17"/>
          <w:szCs w:val="17"/>
          <w:color w:val="auto"/>
        </w:rPr>
        <w:t>19 pandemic. Regulatory authorities outside the United States may adopt similar restrictions or other policy measures in response to events such as the COVID</w:t>
      </w:r>
      <w:r>
        <w:rPr>
          <w:rFonts w:ascii="MS PGothic" w:cs="MS PGothic" w:eastAsia="MS PGothic" w:hAnsi="MS PGothic"/>
          <w:sz w:val="17"/>
          <w:szCs w:val="17"/>
          <w:color w:val="auto"/>
        </w:rPr>
        <w:t>‑</w:t>
      </w:r>
      <w:r>
        <w:rPr>
          <w:rFonts w:ascii="Arial" w:cs="Arial" w:eastAsia="Arial" w:hAnsi="Arial"/>
          <w:sz w:val="17"/>
          <w:szCs w:val="17"/>
          <w:color w:val="auto"/>
        </w:rPr>
        <w:t>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30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7" w:name="page48"/>
    <w:bookmarkEnd w:id="47"/>
    <w:p>
      <w:pPr>
        <w:ind w:right="20" w:firstLine="515"/>
        <w:spacing w:after="0" w:line="244"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172" w:lineRule="exact"/>
        <w:rPr>
          <w:sz w:val="20"/>
          <w:szCs w:val="20"/>
          <w:color w:val="auto"/>
        </w:rPr>
      </w:pPr>
    </w:p>
    <w:p>
      <w:pPr>
        <w:ind w:right="180" w:firstLine="515"/>
        <w:spacing w:after="0" w:line="256" w:lineRule="auto"/>
        <w:rPr>
          <w:sz w:val="20"/>
          <w:szCs w:val="20"/>
          <w:color w:val="auto"/>
        </w:rPr>
      </w:pPr>
      <w:r>
        <w:rPr>
          <w:rFonts w:ascii="Arial" w:cs="Arial" w:eastAsia="Arial" w:hAnsi="Arial"/>
          <w:sz w:val="16"/>
          <w:szCs w:val="16"/>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therapies, political roadblocks to approval and/or treatment in certain countries and the virus’s development of resistance to our potential treatments after long-term and persistent exposure to antiviral therapy.</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49"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180"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28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76"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84"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Antios Therapeutics, Inc., GSK, Janssen, Transgene SA, Dynavax Technologies,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ind w:right="20"/>
        <w:spacing w:after="0" w:line="257" w:lineRule="auto"/>
        <w:rPr>
          <w:sz w:val="20"/>
          <w:szCs w:val="20"/>
          <w:color w:val="auto"/>
        </w:rPr>
      </w:pPr>
      <w:r>
        <w:rPr>
          <w:rFonts w:ascii="Arial" w:cs="Arial" w:eastAsia="Arial" w:hAnsi="Arial"/>
          <w:sz w:val="17"/>
          <w:szCs w:val="17"/>
          <w:color w:val="auto"/>
        </w:rPr>
        <w:t>Merck and Replicor, Inc. 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Moderna Inc. and Novavax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 therefor.</w:t>
      </w:r>
    </w:p>
    <w:p>
      <w:pPr>
        <w:spacing w:after="0" w:line="73"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Blade Therapeutics, Inc., Cirius Therapeutics,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156"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18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5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175" w:lineRule="exact"/>
        <w:rPr>
          <w:sz w:val="20"/>
          <w:szCs w:val="20"/>
          <w:color w:val="auto"/>
        </w:rPr>
      </w:pPr>
    </w:p>
    <w:p>
      <w:pPr>
        <w:jc w:val="both"/>
        <w:ind w:right="300" w:firstLine="509"/>
        <w:spacing w:after="0" w:line="278"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2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76"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ind w:right="60"/>
        <w:spacing w:after="0" w:line="256" w:lineRule="auto"/>
        <w:rPr>
          <w:sz w:val="20"/>
          <w:szCs w:val="20"/>
          <w:color w:val="auto"/>
        </w:rPr>
      </w:pPr>
      <w:r>
        <w:rPr>
          <w:rFonts w:ascii="Arial" w:cs="Arial" w:eastAsia="Arial" w:hAnsi="Arial"/>
          <w:sz w:val="18"/>
          <w:szCs w:val="18"/>
          <w:color w:val="auto"/>
        </w:rPr>
        <w:t>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75"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168"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274"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76"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172"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1"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73"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right="360"/>
        <w:spacing w:after="0" w:line="277" w:lineRule="auto"/>
        <w:rPr>
          <w:sz w:val="20"/>
          <w:szCs w:val="20"/>
          <w:color w:val="auto"/>
        </w:rPr>
      </w:pPr>
      <w:r>
        <w:rPr>
          <w:rFonts w:ascii="Arial" w:cs="Arial" w:eastAsia="Arial" w:hAnsi="Arial"/>
          <w:sz w:val="18"/>
          <w:szCs w:val="18"/>
          <w:color w:val="auto"/>
        </w:rPr>
        <w:t>that we develop could have a material adverse effect on our operating results, our ability to raise capital needed to commercialize drugs and our overall financial condition.</w:t>
      </w:r>
    </w:p>
    <w:p>
      <w:pPr>
        <w:spacing w:after="0" w:line="26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76"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181" w:lineRule="exact"/>
        <w:rPr>
          <w:sz w:val="20"/>
          <w:szCs w:val="20"/>
          <w:color w:val="auto"/>
        </w:rPr>
      </w:pPr>
    </w:p>
    <w:p>
      <w:pPr>
        <w:ind w:right="20" w:firstLine="509"/>
        <w:spacing w:after="0" w:line="208" w:lineRule="exact"/>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risk/benefit profiles through Phase 1 clinical trials of our drug candidates ALG -000184, ALG</w:t>
      </w:r>
      <w:r>
        <w:rPr>
          <w:rFonts w:ascii="MS PGothic" w:cs="MS PGothic" w:eastAsia="MS PGothic" w:hAnsi="MS PGothic"/>
          <w:sz w:val="17"/>
          <w:szCs w:val="17"/>
          <w:color w:val="auto"/>
        </w:rPr>
        <w:t>‑</w:t>
      </w:r>
      <w:r>
        <w:rPr>
          <w:rFonts w:ascii="Arial" w:cs="Arial" w:eastAsia="Arial" w:hAnsi="Arial"/>
          <w:sz w:val="17"/>
          <w:szCs w:val="17"/>
          <w:color w:val="auto"/>
        </w:rPr>
        <w:t>055009 and ALG</w:t>
      </w:r>
      <w:r>
        <w:rPr>
          <w:rFonts w:ascii="MS PGothic" w:cs="MS PGothic" w:eastAsia="MS PGothic" w:hAnsi="MS PGothic"/>
          <w:sz w:val="17"/>
          <w:szCs w:val="17"/>
          <w:color w:val="auto"/>
        </w:rPr>
        <w:t>‑</w:t>
      </w:r>
      <w:r>
        <w:rPr>
          <w:rFonts w:ascii="Arial" w:cs="Arial" w:eastAsia="Arial" w:hAnsi="Arial"/>
          <w:sz w:val="17"/>
          <w:szCs w:val="17"/>
          <w:color w:val="auto"/>
        </w:rPr>
        <w:t>125755.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20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2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5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01"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right="80" w:firstLine="509"/>
        <w:spacing w:after="0" w:line="267"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16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76" w:lineRule="exact"/>
        <w:rPr>
          <w:sz w:val="20"/>
          <w:szCs w:val="20"/>
          <w:color w:val="auto"/>
        </w:rPr>
      </w:pPr>
    </w:p>
    <w:p>
      <w:pPr>
        <w:ind w:right="180" w:firstLine="509"/>
        <w:spacing w:after="0" w:line="261"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2"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182"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ind w:right="40"/>
        <w:spacing w:after="0" w:line="277" w:lineRule="auto"/>
        <w:rPr>
          <w:sz w:val="20"/>
          <w:szCs w:val="20"/>
          <w:color w:val="auto"/>
        </w:rPr>
      </w:pPr>
      <w:r>
        <w:rPr>
          <w:rFonts w:ascii="Arial" w:cs="Arial" w:eastAsia="Arial" w:hAnsi="Arial"/>
          <w:sz w:val="18"/>
          <w:szCs w:val="18"/>
          <w:color w:val="auto"/>
        </w:rPr>
        <w:t>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make significant payments under our license agreements with Emory University and KU Leuven</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entered into a License Agreement with Emory in June 2018 (the Emory License Agreement), and a Research, Licensing and Commercialization Agreement (KU Leuven Agreement) with KU Leuven in June 2020. Under the Emory License Agreement and KU Leuven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2021, previously filed with the Securities and Exchange Commission. If these payments become due under the terms of either the Emory University License Agreement or KU Leuven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2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76"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6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18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p>
    <w:p>
      <w:pPr>
        <w:spacing w:after="0" w:line="158"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will impact our business.</w:t>
      </w:r>
    </w:p>
    <w:p>
      <w:pPr>
        <w:spacing w:after="0" w:line="158"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These changes include the American Rescue Plan Act of 2021, which eliminates the statutory Medicaid drug rebate cap, currently set at 100% of a drug's average manufacturer price, beginning January 1, 2024.</w:t>
      </w:r>
    </w:p>
    <w:p>
      <w:pPr>
        <w:spacing w:after="0" w:line="175"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 For example, it is possible that additional governmental action will be taken to address the COVID-19 pandemic, which could impact our business in an as-yet unknown manner.</w:t>
      </w:r>
    </w:p>
    <w:p>
      <w:pPr>
        <w:spacing w:after="0" w:line="19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Any reduction in reimbursement from Medicare and other government programs may result in a similar reduction in payments from private payers.</w:t>
      </w:r>
    </w:p>
    <w:p>
      <w:pPr>
        <w:spacing w:after="0" w:line="28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6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4" w:name="page55"/>
    <w:bookmarkEnd w:id="54"/>
    <w:p>
      <w:pPr>
        <w:ind w:right="60" w:firstLine="509"/>
        <w:spacing w:after="0" w:line="261"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18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recently passed in California, which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or other domestic privacy and data protection laws, any liability from failure to comply with the requirements of these laws could adversely affect our financial condition.</w:t>
      </w:r>
    </w:p>
    <w:p>
      <w:pPr>
        <w:spacing w:after="0" w:line="56"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p>
    <w:p>
      <w:pPr>
        <w:spacing w:after="0" w:line="5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64"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spacing w:after="0" w:line="245" w:lineRule="auto"/>
        <w:rPr>
          <w:sz w:val="20"/>
          <w:szCs w:val="20"/>
          <w:color w:val="auto"/>
        </w:rPr>
      </w:pPr>
      <w:r>
        <w:rPr>
          <w:rFonts w:ascii="Arial" w:cs="Arial" w:eastAsia="Arial" w:hAnsi="Arial"/>
          <w:sz w:val="18"/>
          <w:szCs w:val="18"/>
          <w:color w:val="auto"/>
        </w:rPr>
        <w:t>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78" w:lineRule="exact"/>
        <w:rPr>
          <w:sz w:val="20"/>
          <w:szCs w:val="20"/>
          <w:color w:val="auto"/>
        </w:rPr>
      </w:pPr>
    </w:p>
    <w:p>
      <w:pPr>
        <w:ind w:right="220" w:firstLine="509"/>
        <w:spacing w:after="0" w:line="263"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129"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0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0" w:lineRule="exact"/>
        <w:rPr>
          <w:sz w:val="20"/>
          <w:szCs w:val="20"/>
          <w:color w:val="auto"/>
        </w:rPr>
      </w:pPr>
    </w:p>
    <w:p>
      <w:pPr>
        <w:ind w:right="220" w:firstLine="509"/>
        <w:spacing w:after="0" w:line="263" w:lineRule="auto"/>
        <w:rPr>
          <w:sz w:val="20"/>
          <w:szCs w:val="20"/>
          <w:color w:val="auto"/>
        </w:rPr>
      </w:pPr>
      <w:r>
        <w:rPr>
          <w:rFonts w:ascii="Arial" w:cs="Arial" w:eastAsia="Arial" w:hAnsi="Arial"/>
          <w:sz w:val="17"/>
          <w:szCs w:val="17"/>
          <w:color w:val="auto"/>
        </w:rPr>
        <w:t>We are currently collaborating with third parties to develop certain of our potential drug candidates. For example, we are collaborating with the Rega Institute and Centre for Drug Design and Discovery at KU Leuven with respect to potential protease inhibitors for the treatment of coronaviruses, including SARS-CoV-2, with Emory University with respect to certain aspects of our small molecule CHB program and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04" w:lineRule="exact"/>
        <w:rPr>
          <w:sz w:val="20"/>
          <w:szCs w:val="20"/>
          <w:color w:val="auto"/>
        </w:rPr>
      </w:pPr>
    </w:p>
    <w:p>
      <w:pPr>
        <w:jc w:val="center"/>
        <w:ind w:left="5540" w:right="1260" w:hanging="5023"/>
        <w:spacing w:after="0" w:line="512" w:lineRule="auto"/>
        <w:tabs>
          <w:tab w:leader="none" w:pos="10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ind w:left="1020" w:right="6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48"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76"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1020" w:right="80" w:hanging="503"/>
        <w:spacing w:after="0" w:line="25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6"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03"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29" w:lineRule="exact"/>
        <w:rPr>
          <w:rFonts w:ascii="Arial" w:cs="Arial" w:eastAsia="Arial" w:hAnsi="Arial"/>
          <w:sz w:val="16"/>
          <w:szCs w:val="16"/>
          <w:color w:val="auto"/>
        </w:rPr>
      </w:pPr>
    </w:p>
    <w:p>
      <w:pPr>
        <w:ind w:left="1020" w:right="180" w:hanging="503"/>
        <w:spacing w:after="0" w:line="291"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14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2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49"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186"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162"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right="260" w:firstLine="509"/>
        <w:spacing w:after="0" w:line="27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5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26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3"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175"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58" w:name="page59"/>
    <w:bookmarkEnd w:id="58"/>
    <w:p>
      <w:pPr>
        <w:ind w:right="180"/>
        <w:spacing w:after="0" w:line="331" w:lineRule="auto"/>
        <w:rPr>
          <w:sz w:val="20"/>
          <w:szCs w:val="20"/>
          <w:color w:val="auto"/>
        </w:rPr>
      </w:pPr>
      <w:r>
        <w:rPr>
          <w:rFonts w:ascii="Arial" w:cs="Arial" w:eastAsia="Arial" w:hAnsi="Arial"/>
          <w:sz w:val="15"/>
          <w:szCs w:val="15"/>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15" w:lineRule="exact"/>
        <w:rPr>
          <w:sz w:val="20"/>
          <w:szCs w:val="20"/>
          <w:color w:val="auto"/>
        </w:rPr>
      </w:pPr>
    </w:p>
    <w:p>
      <w:pPr>
        <w:ind w:right="80" w:firstLine="509"/>
        <w:spacing w:after="0" w:line="210" w:lineRule="exact"/>
        <w:rPr>
          <w:sz w:val="20"/>
          <w:szCs w:val="20"/>
          <w:color w:val="auto"/>
        </w:rPr>
      </w:pPr>
      <w:r>
        <w:rPr>
          <w:rFonts w:ascii="Arial" w:cs="Arial" w:eastAsia="Arial" w:hAnsi="Arial"/>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000184, ALG</w:t>
      </w:r>
      <w:r>
        <w:rPr>
          <w:rFonts w:ascii="MS PGothic" w:cs="MS PGothic" w:eastAsia="MS PGothic" w:hAnsi="MS PGothic"/>
          <w:sz w:val="18"/>
          <w:szCs w:val="18"/>
          <w:color w:val="auto"/>
        </w:rPr>
        <w:t>‑</w:t>
      </w:r>
      <w:r>
        <w:rPr>
          <w:rFonts w:ascii="Arial" w:cs="Arial" w:eastAsia="Arial" w:hAnsi="Arial"/>
          <w:sz w:val="18"/>
          <w:szCs w:val="18"/>
          <w:color w:val="auto"/>
        </w:rPr>
        <w:t>055009 and ALG</w:t>
      </w:r>
      <w:r>
        <w:rPr>
          <w:rFonts w:ascii="MS PGothic" w:cs="MS PGothic" w:eastAsia="MS PGothic" w:hAnsi="MS PGothic"/>
          <w:sz w:val="18"/>
          <w:szCs w:val="18"/>
          <w:color w:val="auto"/>
        </w:rPr>
        <w:t>‑</w:t>
      </w:r>
      <w:r>
        <w:rPr>
          <w:rFonts w:ascii="Arial" w:cs="Arial" w:eastAsia="Arial" w:hAnsi="Arial"/>
          <w:sz w:val="18"/>
          <w:szCs w:val="18"/>
          <w:color w:val="auto"/>
        </w:rPr>
        <w:t>125755,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193"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7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98"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186"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9" w:name="page60"/>
    <w:bookmarkEnd w:id="59"/>
    <w:p>
      <w:pPr>
        <w:spacing w:after="0" w:line="290" w:lineRule="auto"/>
        <w:rPr>
          <w:sz w:val="20"/>
          <w:szCs w:val="20"/>
          <w:color w:val="auto"/>
        </w:rPr>
      </w:pPr>
      <w:r>
        <w:rPr>
          <w:rFonts w:ascii="Arial" w:cs="Arial" w:eastAsia="Arial" w:hAnsi="Arial"/>
          <w:sz w:val="16"/>
          <w:szCs w:val="16"/>
          <w:color w:val="auto"/>
        </w:rPr>
        <w:t>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27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69"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161"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171" w:lineRule="exact"/>
        <w:rPr>
          <w:sz w:val="20"/>
          <w:szCs w:val="20"/>
          <w:color w:val="auto"/>
        </w:rPr>
      </w:pPr>
    </w:p>
    <w:p>
      <w:pPr>
        <w:ind w:right="460" w:firstLine="509"/>
        <w:spacing w:after="0" w:line="270"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177" w:lineRule="exact"/>
        <w:rPr>
          <w:sz w:val="20"/>
          <w:szCs w:val="20"/>
          <w:color w:val="auto"/>
        </w:rPr>
      </w:pPr>
    </w:p>
    <w:p>
      <w:pPr>
        <w:jc w:val="both"/>
        <w:ind w:right="160" w:firstLine="509"/>
        <w:spacing w:after="0" w:line="243"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201"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24"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86"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2" w:lineRule="exact"/>
        <w:rPr>
          <w:sz w:val="20"/>
          <w:szCs w:val="20"/>
          <w:color w:val="auto"/>
        </w:rPr>
      </w:pPr>
    </w:p>
    <w:p>
      <w:pPr>
        <w:ind w:right="280" w:firstLine="509"/>
        <w:spacing w:after="0" w:line="290"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firstLine="509"/>
        <w:spacing w:after="0" w:line="342" w:lineRule="auto"/>
        <w:rPr>
          <w:sz w:val="20"/>
          <w:szCs w:val="20"/>
          <w:color w:val="auto"/>
        </w:rPr>
      </w:pPr>
      <w:r>
        <w:rPr>
          <w:rFonts w:ascii="Arial" w:cs="Arial" w:eastAsia="Arial" w:hAnsi="Arial"/>
          <w:sz w:val="16"/>
          <w:szCs w:val="16"/>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10"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199"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18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283" w:lineRule="exact"/>
        <w:rPr>
          <w:sz w:val="20"/>
          <w:szCs w:val="20"/>
          <w:color w:val="auto"/>
        </w:rPr>
      </w:pPr>
    </w:p>
    <w:p>
      <w:pPr>
        <w:jc w:val="both"/>
        <w:ind w:right="200"/>
        <w:spacing w:after="0" w:line="303"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32"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78" w:lineRule="exact"/>
        <w:rPr>
          <w:sz w:val="20"/>
          <w:szCs w:val="20"/>
          <w:color w:val="auto"/>
        </w:rPr>
      </w:pPr>
    </w:p>
    <w:p>
      <w:pPr>
        <w:ind w:left="1020" w:right="100" w:hanging="503"/>
        <w:spacing w:after="0" w:line="24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97" w:lineRule="exact"/>
        <w:rPr>
          <w:rFonts w:ascii="Arial" w:cs="Arial" w:eastAsia="Arial" w:hAnsi="Arial"/>
          <w:sz w:val="18"/>
          <w:szCs w:val="18"/>
          <w:color w:val="auto"/>
        </w:rPr>
      </w:pPr>
    </w:p>
    <w:p>
      <w:pPr>
        <w:ind w:left="1020" w:right="80" w:hanging="503"/>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7" w:lineRule="exact"/>
        <w:rPr>
          <w:rFonts w:ascii="Arial" w:cs="Arial" w:eastAsia="Arial" w:hAnsi="Arial"/>
          <w:sz w:val="18"/>
          <w:szCs w:val="18"/>
          <w:color w:val="auto"/>
        </w:rPr>
      </w:pPr>
    </w:p>
    <w:p>
      <w:pPr>
        <w:ind w:left="1020" w:right="40" w:hanging="503"/>
        <w:spacing w:after="0" w:line="244"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left="1020" w:right="140" w:hanging="503"/>
        <w:spacing w:after="0" w:line="283"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48" w:lineRule="exact"/>
        <w:rPr>
          <w:rFonts w:ascii="Arial" w:cs="Arial" w:eastAsia="Arial" w:hAnsi="Arial"/>
          <w:sz w:val="16"/>
          <w:szCs w:val="16"/>
          <w:color w:val="auto"/>
        </w:rPr>
      </w:pPr>
    </w:p>
    <w:p>
      <w:pPr>
        <w:ind w:left="1020" w:right="22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48" w:lineRule="exact"/>
        <w:rPr>
          <w:rFonts w:ascii="Arial" w:cs="Arial" w:eastAsia="Arial" w:hAnsi="Arial"/>
          <w:sz w:val="18"/>
          <w:szCs w:val="18"/>
          <w:color w:val="auto"/>
        </w:rPr>
      </w:pPr>
    </w:p>
    <w:p>
      <w:pPr>
        <w:ind w:left="1020" w:right="20" w:hanging="503"/>
        <w:spacing w:after="0" w:line="244"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187"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7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0" w:lineRule="exact"/>
        <w:rPr>
          <w:sz w:val="20"/>
          <w:szCs w:val="20"/>
          <w:color w:val="auto"/>
        </w:rPr>
      </w:pPr>
    </w:p>
    <w:p>
      <w:pPr>
        <w:ind w:right="80" w:firstLine="509"/>
        <w:spacing w:after="0" w:line="210" w:lineRule="exact"/>
        <w:rPr>
          <w:sz w:val="20"/>
          <w:szCs w:val="20"/>
          <w:color w:val="auto"/>
        </w:rPr>
      </w:pPr>
      <w:r>
        <w:rPr>
          <w:rFonts w:ascii="Arial" w:cs="Arial" w:eastAsia="Arial" w:hAnsi="Arial"/>
          <w:sz w:val="17"/>
          <w:szCs w:val="17"/>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w:t>
      </w:r>
      <w:r>
        <w:rPr>
          <w:rFonts w:ascii="MS PGothic" w:cs="MS PGothic" w:eastAsia="MS PGothic" w:hAnsi="MS PGothic"/>
          <w:sz w:val="17"/>
          <w:szCs w:val="17"/>
          <w:color w:val="auto"/>
        </w:rPr>
        <w:t>‑</w:t>
      </w:r>
      <w:r>
        <w:rPr>
          <w:rFonts w:ascii="Arial" w:cs="Arial" w:eastAsia="Arial" w:hAnsi="Arial"/>
          <w:sz w:val="17"/>
          <w:szCs w:val="17"/>
          <w:color w:val="auto"/>
        </w:rPr>
        <w:t>125755 or ALG-097558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20"/>
        <w:spacing w:after="0" w:line="249" w:lineRule="auto"/>
        <w:rPr>
          <w:sz w:val="20"/>
          <w:szCs w:val="20"/>
          <w:color w:val="auto"/>
        </w:rPr>
      </w:pPr>
      <w:r>
        <w:rPr>
          <w:rFonts w:ascii="Arial" w:cs="Arial" w:eastAsia="Arial" w:hAnsi="Arial"/>
          <w:sz w:val="18"/>
          <w:szCs w:val="18"/>
          <w:color w:val="auto"/>
        </w:rPr>
        <w:t>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182"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187"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auto"/>
        </w:rPr>
        <w:t>We currently are the assignee of a number of U.S. provisional patent applications.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156"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72"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18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right="20" w:firstLine="509"/>
        <w:spacing w:after="0" w:line="26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28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3"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KU Leuven.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184"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9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KU Leuven Agreement, the licensor may have the right to terminate the license. Under some of our in-license agreements, as a sublicensee, we may be obligated to comply with applicable requirements, limitations or obligations of our sublicensors to other third parties. Further, under in-licenses under which we sublicense certain rights, we rely on our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7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4" w:name="page65"/>
    <w:bookmarkEnd w:id="64"/>
    <w:p>
      <w:pPr>
        <w:ind w:right="60" w:firstLine="509"/>
        <w:spacing w:after="0" w:line="260"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73" w:lineRule="exact"/>
        <w:rPr>
          <w:sz w:val="20"/>
          <w:szCs w:val="20"/>
          <w:color w:val="auto"/>
        </w:rPr>
      </w:pPr>
    </w:p>
    <w:p>
      <w:pPr>
        <w:jc w:val="both"/>
        <w:ind w:right="400" w:firstLine="509"/>
        <w:spacing w:after="0" w:line="256"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7"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03"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1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186"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194" w:lineRule="exact"/>
        <w:rPr>
          <w:sz w:val="20"/>
          <w:szCs w:val="20"/>
          <w:color w:val="auto"/>
        </w:rPr>
      </w:pPr>
    </w:p>
    <w:p>
      <w:pPr>
        <w:ind w:right="160" w:firstLine="509"/>
        <w:spacing w:after="0" w:line="268" w:lineRule="auto"/>
        <w:rPr>
          <w:sz w:val="20"/>
          <w:szCs w:val="20"/>
          <w:color w:val="auto"/>
        </w:rPr>
      </w:pPr>
      <w:r>
        <w:rPr>
          <w:rFonts w:ascii="Arial" w:cs="Arial" w:eastAsia="Arial" w:hAnsi="Arial"/>
          <w:sz w:val="17"/>
          <w:szCs w:val="17"/>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2021, previously filed with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04"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20"/>
        <w:spacing w:after="0" w:line="260" w:lineRule="auto"/>
        <w:rPr>
          <w:sz w:val="20"/>
          <w:szCs w:val="20"/>
          <w:color w:val="auto"/>
        </w:rPr>
      </w:pPr>
      <w:r>
        <w:rPr>
          <w:rFonts w:ascii="Arial" w:cs="Arial" w:eastAsia="Arial" w:hAnsi="Arial"/>
          <w:sz w:val="17"/>
          <w:szCs w:val="17"/>
          <w:color w:val="auto"/>
        </w:rPr>
        <w:t>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2021, previously filed with the SEC on March 10, 2022. Any of the foregoing could harm our competitive position, business, financial condition, results of operations and prospects.</w:t>
      </w:r>
    </w:p>
    <w:p>
      <w:pPr>
        <w:spacing w:after="0" w:line="281"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52"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164" w:lineRule="exact"/>
        <w:rPr>
          <w:sz w:val="20"/>
          <w:szCs w:val="20"/>
          <w:color w:val="auto"/>
        </w:rPr>
      </w:pPr>
    </w:p>
    <w:p>
      <w:pPr>
        <w:ind w:right="60" w:firstLine="509"/>
        <w:spacing w:after="0" w:line="210" w:lineRule="exact"/>
        <w:rPr>
          <w:sz w:val="20"/>
          <w:szCs w:val="20"/>
          <w:color w:val="auto"/>
        </w:rPr>
      </w:pPr>
      <w:r>
        <w:rPr>
          <w:rFonts w:ascii="Arial" w:cs="Arial" w:eastAsia="Arial" w:hAnsi="Arial"/>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055009 and ALG</w:t>
      </w:r>
      <w:r>
        <w:rPr>
          <w:rFonts w:ascii="MS PGothic" w:cs="MS PGothic" w:eastAsia="MS PGothic" w:hAnsi="MS PGothic"/>
          <w:sz w:val="18"/>
          <w:szCs w:val="18"/>
          <w:color w:val="auto"/>
        </w:rPr>
        <w:t>‑</w:t>
      </w:r>
      <w:r>
        <w:rPr>
          <w:rFonts w:ascii="Arial" w:cs="Arial" w:eastAsia="Arial" w:hAnsi="Arial"/>
          <w:sz w:val="18"/>
          <w:szCs w:val="18"/>
          <w:color w:val="auto"/>
        </w:rPr>
        <w:t>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193"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10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ind w:right="40" w:firstLine="509"/>
        <w:spacing w:after="0" w:line="257"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181"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1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87"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17"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82" w:lineRule="exact"/>
        <w:rPr>
          <w:sz w:val="20"/>
          <w:szCs w:val="20"/>
          <w:color w:val="auto"/>
        </w:rPr>
      </w:pPr>
    </w:p>
    <w:p>
      <w:pPr>
        <w:ind w:right="360"/>
        <w:spacing w:after="0" w:line="356"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61"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8" w:name="page69"/>
    <w:bookmarkEnd w:id="68"/>
    <w:p>
      <w:pPr>
        <w:ind w:right="100"/>
        <w:spacing w:after="0" w:line="249" w:lineRule="auto"/>
        <w:rPr>
          <w:sz w:val="20"/>
          <w:szCs w:val="20"/>
          <w:color w:val="auto"/>
        </w:rPr>
      </w:pPr>
      <w:r>
        <w:rPr>
          <w:rFonts w:ascii="Arial" w:cs="Arial" w:eastAsia="Arial" w:hAnsi="Arial"/>
          <w:sz w:val="18"/>
          <w:szCs w:val="18"/>
          <w:color w:val="auto"/>
        </w:rPr>
        <w:t>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182"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28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3"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58"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4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77"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As another example, in March 2022, Janssen Biopharma, LLC (Janssen) brought an action against our company, Lawrence M. Blatt, Ph.D., Chairman, Chief Executive Officer and Director of our company, and Leonid Beigelman, Ph.D., President and Director of our company, which generally concerns an alleged breach by certain our employees of their obligations to Janssen as prior employees of Janssen by purporting to assign to Aligos various inventions allegedly owned by Janssen. As a result, Janssen is seeking, among other things, injunctive relief (including declaratory judgment of ownership of certain of our intellectual property) and monetary damages.</w:t>
      </w:r>
    </w:p>
    <w:p>
      <w:pPr>
        <w:spacing w:after="0" w:line="78"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Janssen has considerable resources available to it; we, on the other hand, are an early-stage company with comparatively few resources available to us to engage in costly and protracted litigation. Such intellectual property related claims asserted against us could be costly to defend and could limit our ability to use some technologies in the future. They will be time consuming, will divert our chief executive officer’s, our president’s, management’s and scientific personnel’s attention, may be used by Janssen in an effort to generate negative publicity with our investors, and may result in liability for substantial damages. For example, we may incur significant expense and substantial time in defending against our current intellectual property dispute with Janssen. We anticipate that Janssen may use litigation, including filing amended or new complaints, other court filings, public statements and press releases, regardless of merit in an attempt to disrupt our business and create uncertainty about our future prospects, which could create volatility in the trading price of our common stock or damage to our reputation. In addition, in the event of an unfavorable judgment, Janssen could obtain an injunction against the use of any alleged Janssen intellectual property that could affect our ability to develop or commercialize our drug candidates.</w:t>
      </w:r>
    </w:p>
    <w:p>
      <w:pPr>
        <w:spacing w:after="0" w:line="53"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An adverse judgment in the Janssen proceeding could require us to pay damages, attorneys’ fees, costs and expenses, or result in injunctive relief and the assignment of intellectual property from us to Janssen, or generate negative publicity, any of which could materially adversely affect our business, financial condition, results of operations and prospects. For more information on our current legal and regulatory proceedings, see Part II, Item 1 — “Legal Proceedings.”</w:t>
      </w:r>
    </w:p>
    <w:p>
      <w:pPr>
        <w:spacing w:after="0" w:line="181"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If we fail in prosecuting or defending any such claims described above,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right="30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48"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76"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6"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1020" w:right="680" w:hanging="503"/>
        <w:spacing w:after="0" w:line="291"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0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49"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6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29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76"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71" w:name="page72"/>
    <w:bookmarkEnd w:id="71"/>
    <w:p>
      <w:pPr>
        <w:ind w:right="100"/>
        <w:spacing w:after="0" w:line="245" w:lineRule="auto"/>
        <w:rPr>
          <w:sz w:val="20"/>
          <w:szCs w:val="20"/>
          <w:color w:val="auto"/>
        </w:rPr>
      </w:pPr>
      <w:r>
        <w:rPr>
          <w:rFonts w:ascii="Arial" w:cs="Arial" w:eastAsia="Arial" w:hAnsi="Arial"/>
          <w:sz w:val="18"/>
          <w:szCs w:val="18"/>
          <w:color w:val="auto"/>
        </w:rPr>
        <w:t>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As of September 30, 2022, we had 89 full-time employees, including 72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3"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225"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1"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158" w:lineRule="exact"/>
        <w:rPr>
          <w:sz w:val="20"/>
          <w:szCs w:val="20"/>
          <w:color w:val="auto"/>
        </w:rPr>
      </w:pPr>
    </w:p>
    <w:p>
      <w:pPr>
        <w:ind w:right="20" w:firstLine="509"/>
        <w:spacing w:after="0" w:line="278"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26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76" w:lineRule="exact"/>
        <w:rPr>
          <w:sz w:val="20"/>
          <w:szCs w:val="20"/>
          <w:color w:val="auto"/>
        </w:rPr>
      </w:pPr>
    </w:p>
    <w:p>
      <w:pPr>
        <w:ind w:right="240" w:firstLine="509"/>
        <w:spacing w:after="0" w:line="279"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175"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2" w:name="page73"/>
    <w:bookmarkEnd w:id="72"/>
    <w:p>
      <w:pPr>
        <w:ind w:right="260"/>
        <w:spacing w:after="0" w:line="277" w:lineRule="auto"/>
        <w:rPr>
          <w:sz w:val="20"/>
          <w:szCs w:val="20"/>
          <w:color w:val="auto"/>
        </w:rPr>
      </w:pPr>
      <w:r>
        <w:rPr>
          <w:rFonts w:ascii="Arial" w:cs="Arial" w:eastAsia="Arial" w:hAnsi="Arial"/>
          <w:sz w:val="18"/>
          <w:szCs w:val="18"/>
          <w:color w:val="auto"/>
        </w:rPr>
        <w:t>with our storage or disposal of biological, hazardous or radioactive materials, and as such we would have to pay the full amount of any resultant liability out of pocket, which could significantly impair our financial condition.</w:t>
      </w:r>
    </w:p>
    <w:p>
      <w:pPr>
        <w:spacing w:after="0" w:line="26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8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25"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73"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left="1020" w:right="38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including the Janssen litigation, and our ability to obtain intellectual property protection for our technologies;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1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5"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04"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175"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04"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30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9"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4" w:name="page75"/>
    <w:bookmarkEnd w:id="74"/>
    <w:p>
      <w:pPr>
        <w:ind w:right="60"/>
        <w:spacing w:after="0" w:line="267" w:lineRule="auto"/>
        <w:rPr>
          <w:sz w:val="20"/>
          <w:szCs w:val="20"/>
          <w:color w:val="auto"/>
        </w:rPr>
      </w:pPr>
      <w:r>
        <w:rPr>
          <w:rFonts w:ascii="Arial" w:cs="Arial" w:eastAsia="Arial" w:hAnsi="Arial"/>
          <w:sz w:val="17"/>
          <w:szCs w:val="17"/>
          <w:color w:val="auto"/>
        </w:rPr>
        <w:t>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168"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15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28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76"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As of September 30, 2022, our executive officers, directors and their affiliates beneficially own, in the aggregate, approximately 41.2%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49"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2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76"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September 30, 2022,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17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As of September 30, 2022, approximately 10.9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9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the holders of approximately 42.8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an IRC Section 382 analysis in 2021 and determined there was an ownership change that resulted in Section 382 limitations. The ownership change limited our ability to utilize net operating losses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2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49"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9" w:lineRule="exact"/>
        <w:rPr>
          <w:sz w:val="20"/>
          <w:szCs w:val="20"/>
          <w:color w:val="auto"/>
        </w:rPr>
      </w:pPr>
    </w:p>
    <w:p>
      <w:pPr>
        <w:ind w:right="60"/>
        <w:spacing w:after="0" w:line="362"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6"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18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6" w:name="page77"/>
    <w:bookmarkEnd w:id="76"/>
    <w:p>
      <w:pPr>
        <w:ind w:right="60"/>
        <w:spacing w:after="0" w:line="277" w:lineRule="auto"/>
        <w:rPr>
          <w:sz w:val="20"/>
          <w:szCs w:val="20"/>
          <w:color w:val="auto"/>
        </w:rPr>
      </w:pPr>
      <w:r>
        <w:rPr>
          <w:rFonts w:ascii="Arial" w:cs="Arial" w:eastAsia="Arial" w:hAnsi="Arial"/>
          <w:sz w:val="18"/>
          <w:szCs w:val="18"/>
          <w:color w:val="auto"/>
        </w:rPr>
        <w:t>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6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76"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9" w:lineRule="exact"/>
        <w:rPr>
          <w:sz w:val="20"/>
          <w:szCs w:val="20"/>
          <w:color w:val="auto"/>
        </w:rPr>
      </w:pPr>
    </w:p>
    <w:p>
      <w:pPr>
        <w:ind w:left="1020" w:right="26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jc w:val="both"/>
        <w:ind w:left="1020" w:right="10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03" w:lineRule="exact"/>
        <w:rPr>
          <w:rFonts w:ascii="Arial" w:cs="Arial" w:eastAsia="Arial" w:hAnsi="Arial"/>
          <w:sz w:val="18"/>
          <w:szCs w:val="18"/>
          <w:color w:val="auto"/>
        </w:rPr>
      </w:pPr>
    </w:p>
    <w:p>
      <w:pPr>
        <w:ind w:left="1020" w:right="140" w:hanging="503"/>
        <w:spacing w:after="0" w:line="256"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6"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6"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87"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2"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4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8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3" w:lineRule="exact"/>
        <w:rPr>
          <w:sz w:val="20"/>
          <w:szCs w:val="20"/>
          <w:color w:val="auto"/>
        </w:rPr>
      </w:pPr>
    </w:p>
    <w:p>
      <w:pPr>
        <w:ind w:left="1020" w:right="100" w:hanging="503"/>
        <w:spacing w:after="0" w:line="26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Arial" w:cs="Arial" w:eastAsia="Arial" w:hAnsi="Arial"/>
          <w:sz w:val="17"/>
          <w:szCs w:val="17"/>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7" w:name="page78"/>
    <w:bookmarkEnd w:id="77"/>
    <w:p>
      <w:pPr>
        <w:jc w:val="both"/>
        <w:ind w:left="1020" w:right="180" w:hanging="503"/>
        <w:spacing w:after="0" w:line="342"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 w:lineRule="exact"/>
        <w:rPr>
          <w:rFonts w:ascii="Arial" w:cs="Arial" w:eastAsia="Arial" w:hAnsi="Arial"/>
          <w:sz w:val="16"/>
          <w:szCs w:val="16"/>
          <w:color w:val="auto"/>
        </w:rPr>
      </w:pPr>
    </w:p>
    <w:p>
      <w:pPr>
        <w:ind w:left="1020" w:right="340" w:hanging="503"/>
        <w:spacing w:after="0" w:line="291"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2" w:lineRule="exact"/>
        <w:rPr>
          <w:rFonts w:ascii="Arial" w:cs="Arial" w:eastAsia="Arial" w:hAnsi="Arial"/>
          <w:sz w:val="17"/>
          <w:szCs w:val="17"/>
          <w:color w:val="auto"/>
        </w:rPr>
      </w:pPr>
    </w:p>
    <w:p>
      <w:pPr>
        <w:ind w:left="1020" w:right="540" w:hanging="503"/>
        <w:spacing w:after="0" w:line="324"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16" w:lineRule="exact"/>
        <w:rPr>
          <w:rFonts w:ascii="Arial" w:cs="Arial" w:eastAsia="Arial" w:hAnsi="Arial"/>
          <w:sz w:val="16"/>
          <w:szCs w:val="16"/>
          <w:color w:val="auto"/>
        </w:rPr>
      </w:pPr>
    </w:p>
    <w:p>
      <w:pPr>
        <w:ind w:left="1020" w:right="14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65"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8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27"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right="40" w:firstLine="509"/>
        <w:spacing w:after="0" w:line="27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including due to the current inflationary economic environment and rising interest rates. For example, the 2008 global financial crisis caused extreme volatility and disruptions in the capital and credit markets. In addition,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armed conflict between Russia and Ukraine could adversely affect our business, financial condition, and results of operations.</w:t>
      </w:r>
    </w:p>
    <w:p>
      <w:pPr>
        <w:spacing w:after="0" w:line="127"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42"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3" w:lineRule="exact"/>
        <w:rPr>
          <w:sz w:val="20"/>
          <w:szCs w:val="20"/>
          <w:color w:val="auto"/>
        </w:rPr>
      </w:pPr>
    </w:p>
    <w:p>
      <w:pPr>
        <w:ind w:left="1020" w:right="140" w:hanging="503"/>
        <w:spacing w:after="0" w:line="25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66"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48"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76"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79"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We are actively monitoring the situation in Ukraine and Russia and assessing its impact on our business, including our business partners and customers. For example, we originally planned to have trial sites in Ukraine and Moldova for the conduct of our current and future clinical studies. However, given the conflict between Ukraine and Russia, conducting studies in Ukraine and Moldova has not been possible thereby impacting our ability to conduct clinical trials despite our efforts to mitigate its impact. Such impact on our ability to conduct our clinical trials as planned could consequently materially impact our development programs and business.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157"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United Kingdom’s withdrawal from the EU may have a negative effect on global economic conditions, financial markets and our business.</w:t>
      </w:r>
    </w:p>
    <w:p>
      <w:pPr>
        <w:spacing w:after="0" w:line="140" w:lineRule="exact"/>
        <w:rPr>
          <w:sz w:val="20"/>
          <w:szCs w:val="20"/>
          <w:color w:val="auto"/>
        </w:rPr>
      </w:pPr>
    </w:p>
    <w:p>
      <w:pPr>
        <w:ind w:right="180" w:firstLine="509"/>
        <w:spacing w:after="0" w:line="279"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 and ratified a trade and cooperation agreement (TCA) governing its future relationship with the EU, including ensuring tariff-free trade for certain goods and services. Since the regulatory framework for pharmaceutical products in the United Kingdom relating to quality, safety and efficacy of pharmaceutical products, clinical trials, marketing authorization, commercial sales and distribution of pharmaceutical products is derived from EU directives and regulations, Brexit will materially impact the future regulatory regime which applies to products and the approval of product candidates in the United Kingdom. Longer term, the United Kingdom is likely to develop its own legislation that diverges from that in the EU.</w:t>
      </w:r>
    </w:p>
    <w:p>
      <w:pPr>
        <w:spacing w:after="0" w:line="67"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auto"/>
        </w:rPr>
        <w:t>The TCA provides details on how some aspects of the United Kingdom’s and EU’s relationship will operate going forwards, however there are still many uncertainties. The uncertainty concerning the United Kingdom’s legal, political and economic relationship with the EU since Brexit may be a source of instability in the international markets, create significant currency fluctuations, and/or otherwise adversely affect trading agreements or similar cross-border co-operation arrangements (whether economic, tax, fiscal, legal, regulatory or otherwise). 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w:t>
      </w:r>
    </w:p>
    <w:p>
      <w:pPr>
        <w:spacing w:after="0" w:line="29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3"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28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67"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0" w:name="page81"/>
    <w:bookmarkEnd w:id="80"/>
    <w:p>
      <w:pPr>
        <w:ind w:right="120"/>
        <w:spacing w:after="0" w:line="256" w:lineRule="auto"/>
        <w:rPr>
          <w:sz w:val="20"/>
          <w:szCs w:val="20"/>
          <w:color w:val="auto"/>
        </w:rPr>
      </w:pPr>
      <w:r>
        <w:rPr>
          <w:rFonts w:ascii="Arial" w:cs="Arial" w:eastAsia="Arial" w:hAnsi="Arial"/>
          <w:sz w:val="18"/>
          <w:szCs w:val="18"/>
          <w:color w:val="auto"/>
        </w:rPr>
        <w:t>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175"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9"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ind w:right="540"/>
        <w:spacing w:after="0" w:line="291"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5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171"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26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8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27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7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24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75"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66"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82" w:name="page83"/>
    <w:bookmarkEnd w:id="82"/>
    <w:p>
      <w:pPr>
        <w:ind w:right="280"/>
        <w:spacing w:after="0" w:line="277" w:lineRule="auto"/>
        <w:rPr>
          <w:sz w:val="20"/>
          <w:szCs w:val="20"/>
          <w:color w:val="auto"/>
        </w:rPr>
      </w:pPr>
      <w:r>
        <w:rPr>
          <w:rFonts w:ascii="Arial" w:cs="Arial" w:eastAsia="Arial" w:hAnsi="Arial"/>
          <w:sz w:val="18"/>
          <w:szCs w:val="18"/>
          <w:color w:val="auto"/>
        </w:rPr>
        <w:t>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1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280"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7"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4"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8"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IPO</w:t>
      </w:r>
    </w:p>
    <w:p>
      <w:pPr>
        <w:spacing w:after="0" w:line="90"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On October 15, 2020, our registration statement on Form S-1 (File No. 333-249077) relating to our IPO of Common Stock became effective. The IPO closed on October 20, 2020 at which time we issued 10,000,000 shares of common stock at a public offering price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us at the IPO price, resulting in an additional $16.0 million in net proceeds after deducting the underwriting discounts and commissions. J.P. Morgan Securities LLC, Jefferies LLC, Piper Sandler &amp; Co. acted as joint book-running managers for the offering.</w:t>
      </w:r>
    </w:p>
    <w:p>
      <w:pPr>
        <w:spacing w:after="0" w:line="15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19, 2020.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purchasers of equity securities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89" w:lineRule="exact"/>
        <w:rPr>
          <w:sz w:val="20"/>
          <w:szCs w:val="20"/>
          <w:color w:val="auto"/>
        </w:rPr>
      </w:pPr>
    </w:p>
    <w:p>
      <w:pPr>
        <w:jc w:val="center"/>
        <w:ind w:right="9100"/>
        <w:spacing w:after="0"/>
        <w:rPr>
          <w:sz w:val="20"/>
          <w:szCs w:val="20"/>
          <w:color w:val="auto"/>
        </w:rPr>
      </w:pPr>
      <w:r>
        <w:rPr>
          <w:rFonts w:ascii="Arial" w:cs="Arial" w:eastAsia="Arial" w:hAnsi="Arial"/>
          <w:sz w:val="17"/>
          <w:szCs w:val="17"/>
          <w:b w:val="1"/>
          <w:bCs w:val="1"/>
          <w:color w:val="auto"/>
        </w:rPr>
        <w:t>Item 5. Other Information.</w:t>
      </w:r>
    </w:p>
    <w:p>
      <w:pPr>
        <w:spacing w:after="0" w:line="92" w:lineRule="exact"/>
        <w:rPr>
          <w:sz w:val="20"/>
          <w:szCs w:val="20"/>
          <w:color w:val="auto"/>
        </w:rPr>
      </w:pPr>
    </w:p>
    <w:p>
      <w:pPr>
        <w:jc w:val="center"/>
        <w:ind w:right="90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0" w:right="39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620" w:type="dxa"/>
            <w:vAlign w:val="bottom"/>
            <w:tcBorders>
              <w:bottom w:val="single" w:sz="8" w:color="auto"/>
            </w:tcBorders>
          </w:tcPr>
          <w:p>
            <w:pPr>
              <w:spacing w:after="0"/>
              <w:rPr>
                <w:sz w:val="16"/>
                <w:szCs w:val="16"/>
                <w:color w:val="auto"/>
              </w:rPr>
            </w:pPr>
          </w:p>
        </w:tc>
      </w:tr>
      <w:tr>
        <w:trPr>
          <w:trHeight w:val="169"/>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4"/>
                <w:szCs w:val="14"/>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Form</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304"/>
        </w:trPr>
        <w:tc>
          <w:tcPr>
            <w:tcW w:w="9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780" w:type="dxa"/>
            <w:vAlign w:val="bottom"/>
            <w:tcBorders>
              <w:bottom w:val="single" w:sz="8" w:color="0000EE"/>
            </w:tcBorders>
            <w:gridSpan w:val="8"/>
          </w:tcPr>
          <w:p>
            <w:pPr>
              <w:spacing w:after="0"/>
              <w:rPr>
                <w:rFonts w:ascii="Arial" w:cs="Arial" w:eastAsia="Arial" w:hAnsi="Arial"/>
                <w:sz w:val="18"/>
                <w:szCs w:val="18"/>
                <w:color w:val="0000FF"/>
                <w:w w:val="91"/>
              </w:rPr>
            </w:pPr>
            <w:hyperlink r:id="rId212">
              <w:r>
                <w:rPr>
                  <w:rFonts w:ascii="Arial" w:cs="Arial" w:eastAsia="Arial" w:hAnsi="Arial"/>
                  <w:sz w:val="18"/>
                  <w:szCs w:val="18"/>
                  <w:color w:val="0000FF"/>
                  <w:w w:val="91"/>
                </w:rPr>
                <w:t>Amended and Restated Certificate of Incorporation.</w:t>
              </w:r>
            </w:hyperlink>
          </w:p>
        </w:tc>
        <w:tc>
          <w:tcPr>
            <w:tcW w:w="21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11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331"/>
        </w:trPr>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360" w:type="dxa"/>
            <w:vAlign w:val="bottom"/>
            <w:tcBorders>
              <w:bottom w:val="single" w:sz="8" w:color="0000EE"/>
            </w:tcBorders>
            <w:gridSpan w:val="2"/>
          </w:tcPr>
          <w:p>
            <w:pPr>
              <w:spacing w:after="0"/>
              <w:rPr>
                <w:rFonts w:ascii="Arial" w:cs="Arial" w:eastAsia="Arial" w:hAnsi="Arial"/>
                <w:sz w:val="18"/>
                <w:szCs w:val="18"/>
                <w:color w:val="0000FF"/>
                <w:w w:val="91"/>
              </w:rPr>
            </w:pPr>
            <w:hyperlink r:id="rId213">
              <w:r>
                <w:rPr>
                  <w:rFonts w:ascii="Arial" w:cs="Arial" w:eastAsia="Arial" w:hAnsi="Arial"/>
                  <w:sz w:val="18"/>
                  <w:szCs w:val="18"/>
                  <w:color w:val="0000FF"/>
                  <w:w w:val="91"/>
                </w:rPr>
                <w:t>Amended and Restated Bylaws.</w:t>
              </w:r>
            </w:hyperlink>
          </w:p>
        </w:tc>
        <w:tc>
          <w:tcPr>
            <w:tcW w:w="356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115"/>
              <w:spacing w:after="0"/>
              <w:rPr>
                <w:sz w:val="20"/>
                <w:szCs w:val="20"/>
                <w:color w:val="auto"/>
              </w:rPr>
            </w:pPr>
            <w:r>
              <w:rPr>
                <w:rFonts w:ascii="Arial" w:cs="Arial" w:eastAsia="Arial" w:hAnsi="Arial"/>
                <w:sz w:val="18"/>
                <w:szCs w:val="18"/>
                <w:color w:val="auto"/>
                <w:w w:val="90"/>
              </w:rPr>
              <w:t>10/20/2020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3.2</w:t>
            </w:r>
          </w:p>
        </w:tc>
      </w:tr>
      <w:tr>
        <w:trPr>
          <w:trHeight w:val="331"/>
        </w:trPr>
        <w:tc>
          <w:tcPr>
            <w:tcW w:w="9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92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12">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213">
              <w:r>
                <w:rPr>
                  <w:rFonts w:ascii="Arial" w:cs="Arial" w:eastAsia="Arial" w:hAnsi="Arial"/>
                  <w:sz w:val="18"/>
                  <w:szCs w:val="18"/>
                  <w:color w:val="0000FF"/>
                </w:rPr>
                <w:t>3.2</w:t>
              </w:r>
            </w:hyperlink>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1"/>
        </w:trPr>
        <w:tc>
          <w:tcPr>
            <w:tcW w:w="9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2620" w:type="dxa"/>
            <w:vAlign w:val="bottom"/>
            <w:tcBorders>
              <w:bottom w:val="single" w:sz="8" w:color="0000FF"/>
            </w:tcBorders>
            <w:gridSpan w:val="4"/>
          </w:tcPr>
          <w:p>
            <w:pPr>
              <w:spacing w:after="0"/>
              <w:rPr>
                <w:rFonts w:ascii="Arial" w:cs="Arial" w:eastAsia="Arial" w:hAnsi="Arial"/>
                <w:sz w:val="18"/>
                <w:szCs w:val="18"/>
                <w:color w:val="0000FF"/>
                <w:w w:val="92"/>
              </w:rPr>
            </w:pPr>
            <w:hyperlink r:id="rId214">
              <w:r>
                <w:rPr>
                  <w:rFonts w:ascii="Arial" w:cs="Arial" w:eastAsia="Arial" w:hAnsi="Arial"/>
                  <w:sz w:val="18"/>
                  <w:szCs w:val="18"/>
                  <w:color w:val="0000FF"/>
                  <w:w w:val="92"/>
                </w:rPr>
                <w:t>Form of Common Stock Certificate.</w:t>
              </w:r>
            </w:hyperlink>
          </w:p>
        </w:tc>
        <w:tc>
          <w:tcPr>
            <w:tcW w:w="330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20" w:type="dxa"/>
            <w:vAlign w:val="bottom"/>
            <w:gridSpan w:val="3"/>
          </w:tcPr>
          <w:p>
            <w:pPr>
              <w:jc w:val="center"/>
              <w:ind w:left="115"/>
              <w:spacing w:after="0"/>
              <w:rPr>
                <w:sz w:val="20"/>
                <w:szCs w:val="20"/>
                <w:color w:val="auto"/>
              </w:rPr>
            </w:pPr>
            <w:r>
              <w:rPr>
                <w:rFonts w:ascii="Arial" w:cs="Arial" w:eastAsia="Arial" w:hAnsi="Arial"/>
                <w:sz w:val="18"/>
                <w:szCs w:val="18"/>
                <w:color w:val="auto"/>
                <w:w w:val="92"/>
              </w:rPr>
              <w:t>10/9/2020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 15d-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89"/>
              </w:rPr>
              <w:t>14(a) under the Securities Exchange Act of 1934, as Adopted Pursuant to Section</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00" w:type="dxa"/>
            <w:vAlign w:val="bottom"/>
            <w:gridSpan w:val="14"/>
          </w:tcPr>
          <w:p>
            <w:pPr>
              <w:spacing w:after="0" w:line="169"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0000FF"/>
                <w:w w:val="93"/>
              </w:rPr>
              <w:t>Certification of Principal Financial Officer Pursuant to Rules 13a-14(a) and 15d-</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2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89"/>
              </w:rPr>
              <w:t>14(a) under the Securities Exchange Act of 1934, as Adopted Pursuant to Section</w:t>
            </w: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9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302 of the Sarbanes-Oxley Act of 2002.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Borders>
              <w:right w:val="single" w:sz="8" w:color="0000EE"/>
            </w:tcBorders>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94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0000FF"/>
                <w:w w:val="94"/>
              </w:rPr>
              <w:t>Certification of Principal Executive Officer Pursuant to 18 U.S.C. Section 1350,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20" w:type="dxa"/>
            <w:vAlign w:val="bottom"/>
            <w:tcBorders>
              <w:top w:val="single" w:sz="8" w:color="0000FF"/>
              <w:bottom w:val="single" w:sz="8" w:color="0000EE"/>
            </w:tcBorders>
            <w:gridSpan w:val="9"/>
          </w:tcPr>
          <w:p>
            <w:pPr>
              <w:spacing w:after="0" w:line="169" w:lineRule="exact"/>
              <w:rPr>
                <w:sz w:val="20"/>
                <w:szCs w:val="20"/>
                <w:color w:val="auto"/>
              </w:rPr>
            </w:pPr>
            <w:r>
              <w:rPr>
                <w:rFonts w:ascii="Arial" w:cs="Arial" w:eastAsia="Arial" w:hAnsi="Arial"/>
                <w:sz w:val="18"/>
                <w:szCs w:val="18"/>
                <w:color w:val="0000FF"/>
                <w:w w:val="90"/>
              </w:rPr>
              <w:t>as Adopted Pursuant to Section 906 of the Sarbanes-Oxley Act of 2002.</w:t>
            </w:r>
          </w:p>
        </w:tc>
        <w:tc>
          <w:tcPr>
            <w:tcW w:w="620" w:type="dxa"/>
            <w:vAlign w:val="bottom"/>
            <w:tcBorders>
              <w:top w:val="single" w:sz="8" w:color="0000FF"/>
            </w:tcBorders>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18"/>
        </w:trPr>
        <w:tc>
          <w:tcPr>
            <w:tcW w:w="94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0000FF"/>
                <w:w w:val="95"/>
              </w:rPr>
              <w:t>Certification of Principal Financial Officer Pursuant to 18 U.S.C. Section 1350,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9"/>
        </w:trPr>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20" w:type="dxa"/>
            <w:vAlign w:val="bottom"/>
            <w:tcBorders>
              <w:top w:val="single" w:sz="8" w:color="0000FF"/>
              <w:bottom w:val="single" w:sz="8" w:color="0000EE"/>
            </w:tcBorders>
            <w:gridSpan w:val="9"/>
          </w:tcPr>
          <w:p>
            <w:pPr>
              <w:spacing w:after="0" w:line="169" w:lineRule="exact"/>
              <w:rPr>
                <w:sz w:val="20"/>
                <w:szCs w:val="20"/>
                <w:color w:val="auto"/>
              </w:rPr>
            </w:pPr>
            <w:r>
              <w:rPr>
                <w:rFonts w:ascii="Arial" w:cs="Arial" w:eastAsia="Arial" w:hAnsi="Arial"/>
                <w:sz w:val="18"/>
                <w:szCs w:val="18"/>
                <w:color w:val="0000FF"/>
                <w:w w:val="90"/>
              </w:rPr>
              <w:t>as Adopted Pursuant to Section 906 of the Sarbanes-Oxley Act of 2002.</w:t>
            </w:r>
          </w:p>
        </w:tc>
        <w:tc>
          <w:tcPr>
            <w:tcW w:w="560" w:type="dxa"/>
            <w:vAlign w:val="bottom"/>
            <w:tcBorders>
              <w:top w:val="single" w:sz="8" w:color="0000FF"/>
            </w:tcBorders>
          </w:tcPr>
          <w:p>
            <w:pPr>
              <w:spacing w:after="0"/>
              <w:rPr>
                <w:sz w:val="14"/>
                <w:szCs w:val="14"/>
                <w:color w:val="auto"/>
              </w:rPr>
            </w:pPr>
          </w:p>
        </w:tc>
        <w:tc>
          <w:tcPr>
            <w:tcW w:w="140" w:type="dxa"/>
            <w:vAlign w:val="bottom"/>
            <w:gridSpan w:val="5"/>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58"/>
        </w:trPr>
        <w:tc>
          <w:tcPr>
            <w:tcW w:w="94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Instance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94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94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94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94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8"/>
        </w:trPr>
        <w:tc>
          <w:tcPr>
            <w:tcW w:w="94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592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07" w:lineRule="exact"/>
        <w:rPr>
          <w:sz w:val="20"/>
          <w:szCs w:val="20"/>
          <w:color w:val="auto"/>
        </w:rPr>
      </w:pPr>
    </w:p>
    <w:p>
      <w:pPr>
        <w:ind w:left="1080" w:right="3480" w:hanging="1059"/>
        <w:spacing w:after="0" w:line="182" w:lineRule="auto"/>
        <w:tabs>
          <w:tab w:leader="none" w:pos="1080" w:val="left"/>
        </w:tabs>
        <w:numPr>
          <w:ilvl w:val="0"/>
          <w:numId w:val="55"/>
        </w:numPr>
        <w:rPr>
          <w:rFonts w:ascii="Arial" w:cs="Arial" w:eastAsia="Arial" w:hAnsi="Arial"/>
          <w:sz w:val="32"/>
          <w:szCs w:val="32"/>
          <w:color w:val="auto"/>
          <w:vertAlign w:val="subscript"/>
        </w:rPr>
      </w:pPr>
      <w:r>
        <w:rPr>
          <w:rFonts w:ascii="Arial" w:cs="Arial" w:eastAsia="Arial" w:hAnsi="Arial"/>
          <w:sz w:val="16"/>
          <w:szCs w:val="16"/>
          <w:color w:val="auto"/>
        </w:rPr>
        <w:t>The cover page from the Company’s Quarterly Report on Form 10-Q for the quarter ended September 30, 2022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9512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firstLine="8"/>
        <w:spacing w:after="0" w:line="342" w:lineRule="auto"/>
        <w:rPr>
          <w:sz w:val="20"/>
          <w:szCs w:val="20"/>
          <w:color w:val="auto"/>
        </w:rPr>
      </w:pPr>
      <w:r>
        <w:rPr>
          <w:rFonts w:ascii="Arial" w:cs="Arial" w:eastAsia="Arial" w:hAnsi="Arial"/>
          <w:sz w:val="12"/>
          <w:szCs w:val="12"/>
          <w:b w:val="1"/>
          <w:bCs w:val="1"/>
          <w:color w:val="auto"/>
        </w:rPr>
        <w:t>Provided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-37465</wp:posOffset>
            </wp:positionV>
            <wp:extent cx="6686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317" w:lineRule="exact"/>
        <w:rPr>
          <w:sz w:val="20"/>
          <w:szCs w:val="20"/>
          <w:color w:val="auto"/>
        </w:rPr>
      </w:pPr>
    </w:p>
    <w:p>
      <w:pPr>
        <w:sectPr>
          <w:pgSz w:w="11900" w:h="16838" w:orient="portrait"/>
          <w:cols w:equalWidth="0" w:num="2">
            <w:col w:w="10060" w:space="440"/>
            <w:col w:w="560"/>
          </w:cols>
          <w:pgMar w:left="320" w:top="324" w:right="519" w:bottom="1440" w:gutter="0" w:footer="0" w:header="0"/>
        </w:sectPr>
      </w:pPr>
    </w:p>
    <w:p>
      <w:pPr>
        <w:spacing w:after="0" w:line="286" w:lineRule="exact"/>
        <w:rPr>
          <w:sz w:val="20"/>
          <w:szCs w:val="20"/>
          <w:color w:val="auto"/>
        </w:rPr>
      </w:pPr>
    </w:p>
    <w:p>
      <w:pPr>
        <w:jc w:val="both"/>
        <w:ind w:right="100" w:firstLine="8"/>
        <w:spacing w:after="0" w:line="249" w:lineRule="auto"/>
        <w:tabs>
          <w:tab w:leader="none" w:pos="1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type w:val="continuous"/>
        </w:sectPr>
      </w:pPr>
    </w:p>
    <w:bookmarkStart w:id="85" w:name="page86"/>
    <w:bookmarkEnd w:id="8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ALIGOS THERAPEUTICS, INC.</w:t>
      </w:r>
    </w:p>
    <w:p>
      <w:pPr>
        <w:spacing w:after="0" w:line="225" w:lineRule="exact"/>
        <w:rPr>
          <w:sz w:val="20"/>
          <w:szCs w:val="20"/>
          <w:color w:val="auto"/>
        </w:rPr>
      </w:pPr>
    </w:p>
    <w:p>
      <w:pPr>
        <w:ind w:left="20"/>
        <w:spacing w:after="0"/>
        <w:tabs>
          <w:tab w:leader="none" w:pos="5600" w:val="left"/>
          <w:tab w:leader="none" w:pos="794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2, 2022</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/s/ Lesley Ann Calhoun</w:t>
            </w:r>
          </w:p>
        </w:tc>
      </w:tr>
      <w:tr>
        <w:trPr>
          <w:trHeight w:val="191"/>
        </w:trPr>
        <w:tc>
          <w:tcPr>
            <w:tcW w:w="3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Pr>
          <w:p>
            <w:pPr>
              <w:ind w:left="1900"/>
              <w:spacing w:after="0" w:line="191" w:lineRule="exact"/>
              <w:rPr>
                <w:sz w:val="20"/>
                <w:szCs w:val="20"/>
                <w:color w:val="auto"/>
              </w:rPr>
            </w:pPr>
            <w:r>
              <w:rPr>
                <w:rFonts w:ascii="Arial" w:cs="Arial" w:eastAsia="Arial" w:hAnsi="Arial"/>
                <w:sz w:val="18"/>
                <w:szCs w:val="18"/>
                <w:b w:val="1"/>
                <w:bCs w:val="1"/>
                <w:color w:val="auto"/>
              </w:rPr>
              <w:t>Lesley Ann Calhoun</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780"/>
              <w:spacing w:after="0"/>
              <w:rPr>
                <w:sz w:val="20"/>
                <w:szCs w:val="20"/>
                <w:color w:val="auto"/>
              </w:rPr>
            </w:pPr>
            <w:r>
              <w:rPr>
                <w:rFonts w:ascii="Arial" w:cs="Arial" w:eastAsia="Arial" w:hAnsi="Arial"/>
                <w:sz w:val="18"/>
                <w:szCs w:val="18"/>
                <w:b w:val="1"/>
                <w:bCs w:val="1"/>
                <w:color w:val="auto"/>
              </w:rPr>
              <w:t>Chief Financial Officer</w:t>
            </w:r>
          </w:p>
        </w:tc>
      </w:tr>
      <w:tr>
        <w:trPr>
          <w:trHeight w:val="635"/>
        </w:trPr>
        <w:tc>
          <w:tcPr>
            <w:tcW w:w="3660" w:type="dxa"/>
            <w:vAlign w:val="bottom"/>
          </w:tcPr>
          <w:p>
            <w:pPr>
              <w:spacing w:after="0"/>
              <w:rPr>
                <w:sz w:val="24"/>
                <w:szCs w:val="24"/>
                <w:color w:val="auto"/>
              </w:rPr>
            </w:pP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524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5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Lawrence Blatt, certify that:</w:t>
      </w:r>
    </w:p>
    <w:p>
      <w:pPr>
        <w:spacing w:after="0" w:line="104"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03" w:lineRule="exact"/>
        <w:rPr>
          <w:rFonts w:ascii="Arial" w:cs="Arial" w:eastAsia="Arial" w:hAnsi="Arial"/>
          <w:sz w:val="18"/>
          <w:szCs w:val="18"/>
          <w:color w:val="auto"/>
        </w:rPr>
      </w:pPr>
    </w:p>
    <w:p>
      <w:pPr>
        <w:jc w:val="both"/>
        <w:ind w:left="520" w:right="220" w:hanging="512"/>
        <w:spacing w:after="0" w:line="256"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520" w:right="180" w:hanging="512"/>
        <w:spacing w:after="0" w:line="291" w:lineRule="auto"/>
        <w:tabs>
          <w:tab w:leader="none" w:pos="5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jc w:val="both"/>
        <w:ind w:left="520" w:right="220" w:hanging="512"/>
        <w:spacing w:after="0" w:line="248"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140" w:right="40" w:hanging="504"/>
        <w:spacing w:after="0" w:line="248"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140" w:right="160" w:hanging="504"/>
        <w:spacing w:after="0" w:line="248"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1140" w:right="320" w:hanging="504"/>
        <w:spacing w:after="0" w:line="324"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40" w:hanging="504"/>
        <w:spacing w:after="0" w:line="256"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520" w:right="180" w:hanging="512"/>
        <w:spacing w:after="0" w:line="324" w:lineRule="auto"/>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140" w:right="580" w:hanging="504"/>
        <w:spacing w:after="0" w:line="324"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260" w:hanging="504"/>
        <w:spacing w:after="0" w:line="277"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5640" w:val="left"/>
          <w:tab w:leader="none" w:pos="79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104"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Aligos Therapeutics, Inc.;</w:t>
      </w:r>
    </w:p>
    <w:p>
      <w:pPr>
        <w:spacing w:after="0" w:line="103" w:lineRule="exact"/>
        <w:rPr>
          <w:rFonts w:ascii="Arial" w:cs="Arial" w:eastAsia="Arial" w:hAnsi="Arial"/>
          <w:sz w:val="18"/>
          <w:szCs w:val="18"/>
          <w:color w:val="auto"/>
        </w:rPr>
      </w:pPr>
    </w:p>
    <w:p>
      <w:pPr>
        <w:jc w:val="both"/>
        <w:ind w:left="520" w:right="220" w:hanging="512"/>
        <w:spacing w:after="0" w:line="256"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520" w:right="180" w:hanging="512"/>
        <w:spacing w:after="0" w:line="291" w:lineRule="auto"/>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7"/>
          <w:szCs w:val="17"/>
          <w:color w:val="auto"/>
        </w:rPr>
      </w:pPr>
    </w:p>
    <w:p>
      <w:pPr>
        <w:jc w:val="both"/>
        <w:ind w:left="520" w:right="220" w:hanging="512"/>
        <w:spacing w:after="0" w:line="248"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1140" w:right="40" w:hanging="504"/>
        <w:spacing w:after="0" w:line="248"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140" w:right="160" w:hanging="504"/>
        <w:spacing w:after="0" w:line="248"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jc w:val="both"/>
        <w:ind w:left="1140" w:right="320" w:hanging="504"/>
        <w:spacing w:after="0" w:line="324" w:lineRule="auto"/>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40" w:hanging="504"/>
        <w:spacing w:after="0" w:line="256"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520" w:right="180" w:hanging="512"/>
        <w:spacing w:after="0" w:line="324"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140" w:right="580" w:hanging="504"/>
        <w:spacing w:after="0" w:line="324" w:lineRule="auto"/>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260" w:hanging="504"/>
        <w:spacing w:after="0" w:line="277"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5640" w:val="left"/>
          <w:tab w:leader="none" w:pos="772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ind w:left="3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87" w:lineRule="exact"/>
        <w:rPr>
          <w:sz w:val="20"/>
          <w:szCs w:val="20"/>
          <w:color w:val="auto"/>
        </w:rPr>
      </w:pPr>
    </w:p>
    <w:p>
      <w:pPr>
        <w:ind w:left="1140" w:hanging="504"/>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140" w:right="460" w:hanging="504"/>
        <w:spacing w:after="0" w:line="26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1" w:lineRule="exact"/>
        <w:rPr>
          <w:sz w:val="20"/>
          <w:szCs w:val="20"/>
          <w:color w:val="auto"/>
        </w:rPr>
      </w:pPr>
    </w:p>
    <w:p>
      <w:pPr>
        <w:ind w:left="20"/>
        <w:spacing w:after="0"/>
        <w:tabs>
          <w:tab w:leader="none" w:pos="5920" w:val="left"/>
          <w:tab w:leader="none" w:pos="808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Lawrence Blatt</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ind w:left="3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In connection with the Quarterly Report of Aligos Therapeutics, Inc.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87" w:lineRule="exact"/>
        <w:rPr>
          <w:sz w:val="20"/>
          <w:szCs w:val="20"/>
          <w:color w:val="auto"/>
        </w:rPr>
      </w:pPr>
    </w:p>
    <w:p>
      <w:pPr>
        <w:ind w:left="1140" w:hanging="504"/>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140" w:right="460" w:hanging="504"/>
        <w:spacing w:after="0" w:line="261"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1" w:lineRule="exact"/>
        <w:rPr>
          <w:sz w:val="20"/>
          <w:szCs w:val="20"/>
          <w:color w:val="auto"/>
        </w:rPr>
      </w:pPr>
    </w:p>
    <w:p>
      <w:pPr>
        <w:ind w:left="20"/>
        <w:spacing w:after="0"/>
        <w:tabs>
          <w:tab w:leader="none" w:pos="5920" w:val="left"/>
          <w:tab w:leader="none" w:pos="7900" w:val="left"/>
        </w:tabs>
        <w:rPr>
          <w:sz w:val="20"/>
          <w:szCs w:val="20"/>
          <w:color w:val="auto"/>
        </w:rPr>
      </w:pPr>
      <w:r>
        <w:rPr>
          <w:rFonts w:ascii="Arial" w:cs="Arial" w:eastAsia="Arial" w:hAnsi="Arial"/>
          <w:sz w:val="18"/>
          <w:szCs w:val="18"/>
          <w:color w:val="auto"/>
        </w:rPr>
        <w:t>Date: November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Lesley Ann Calhoun</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1."/>
      <w:numFmt w:val="decimal"/>
      <w:start w:val="5"/>
    </w:lvl>
  </w:abstractNum>
  <w:abstractNum w:abstractNumId="8">
    <w:nsid w:val="419AC241"/>
    <w:multiLevelType w:val="hybridMultilevel"/>
    <w:lvl w:ilvl="0">
      <w:lvlJc w:val="left"/>
      <w:lvlText w:val="%1."/>
      <w:numFmt w:val="decimal"/>
      <w:start w:val="6"/>
    </w:lvl>
  </w:abstractNum>
  <w:abstractNum w:abstractNumId="9">
    <w:nsid w:val="5577F8E1"/>
    <w:multiLevelType w:val="hybridMultilevel"/>
    <w:lvl w:ilvl="0">
      <w:lvlJc w:val="left"/>
      <w:lvlText w:val="%1."/>
      <w:numFmt w:val="decimal"/>
      <w:start w:val="7"/>
    </w:lvl>
  </w:abstractNum>
  <w:abstractNum w:abstractNumId="10">
    <w:nsid w:val="440BADFC"/>
    <w:multiLevelType w:val="hybridMultilevel"/>
    <w:lvl w:ilvl="0">
      <w:lvlJc w:val="left"/>
      <w:lvlText w:val="%1."/>
      <w:numFmt w:val="decimal"/>
      <w:start w:val="8"/>
    </w:lvl>
  </w:abstractNum>
  <w:abstractNum w:abstractNumId="11">
    <w:nsid w:val="5072367"/>
    <w:multiLevelType w:val="hybridMultilevel"/>
    <w:lvl w:ilvl="0">
      <w:lvlJc w:val="left"/>
      <w:lvlText w:val="%1."/>
      <w:numFmt w:val="decimal"/>
      <w:start w:val="9"/>
    </w:lvl>
  </w:abstractNum>
  <w:abstractNum w:abstractNumId="12">
    <w:nsid w:val="3804823E"/>
    <w:multiLevelType w:val="hybridMultilevel"/>
    <w:lvl w:ilvl="0">
      <w:lvlJc w:val="left"/>
      <w:lvlText w:val="%1."/>
      <w:numFmt w:val="decimal"/>
      <w:start w:val="10"/>
    </w:lvl>
  </w:abstractNum>
  <w:abstractNum w:abstractNumId="13">
    <w:nsid w:val="77465F01"/>
    <w:multiLevelType w:val="hybridMultilevel"/>
    <w:lvl w:ilvl="0">
      <w:lvlJc w:val="left"/>
      <w:lvlText w:val="%1."/>
      <w:numFmt w:val="decimal"/>
      <w:start w:val="11"/>
    </w:lvl>
  </w:abstractNum>
  <w:abstractNum w:abstractNumId="14">
    <w:nsid w:val="7724C67E"/>
    <w:multiLevelType w:val="hybridMultilevel"/>
    <w:lvl w:ilvl="0">
      <w:lvlJc w:val="left"/>
      <w:lvlText w:val="%1."/>
      <w:numFmt w:val="decimal"/>
      <w:start w:val="12"/>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04"/>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12" Type="http://schemas.openxmlformats.org/officeDocument/2006/relationships/hyperlink" Target="https://www.sec.gov/Archives/edgar/data/1799448/000119312520272852/d46540dex31.htm" TargetMode="External"/><Relationship Id="rId213" Type="http://schemas.openxmlformats.org/officeDocument/2006/relationships/hyperlink" Target="https://www.sec.gov/Archives/edgar/data/1799448/000119312520272852/d46540dex32.htm" TargetMode="External"/><Relationship Id="rId214" Type="http://schemas.openxmlformats.org/officeDocument/2006/relationships/hyperlink" Target="https://www.sec.gov/Archives/edgar/data/1799448/000119312520267346/d3140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2022-11-02T15:52:23Z</dcterms:created>
  <dcterms:modified xsi:type="dcterms:W3CDTF">2022-11-02T15:52:23Z</dcterms:modified>
</cp:coreProperties>
</file>