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74295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60" w:hanging="452"/>
        <w:spacing w:after="0" w:line="233" w:lineRule="auto"/>
        <w:tabs>
          <w:tab w:leader="none" w:pos="460"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460" w:right="760" w:hanging="452"/>
        <w:spacing w:after="0"/>
        <w:tabs>
          <w:tab w:leader="none" w:pos="46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68580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Aligos Therapeutics,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2"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4120" w:type="dxa"/>
            <w:vAlign w:val="bottom"/>
          </w:tcPr>
          <w:p>
            <w:pPr>
              <w:jc w:val="center"/>
              <w:ind w:right="1973"/>
              <w:spacing w:after="0"/>
              <w:rPr>
                <w:sz w:val="20"/>
                <w:szCs w:val="20"/>
                <w:color w:val="auto"/>
              </w:rPr>
            </w:pPr>
            <w:r>
              <w:rPr>
                <w:rFonts w:ascii="Arial" w:cs="Arial" w:eastAsia="Arial" w:hAnsi="Arial"/>
                <w:sz w:val="14"/>
                <w:szCs w:val="14"/>
                <w:color w:val="auto"/>
                <w:w w:val="94"/>
              </w:rPr>
              <w:t>Delaware</w:t>
            </w:r>
          </w:p>
        </w:tc>
        <w:tc>
          <w:tcPr>
            <w:tcW w:w="3020" w:type="dxa"/>
            <w:vAlign w:val="bottom"/>
          </w:tcPr>
          <w:p>
            <w:pPr>
              <w:jc w:val="right"/>
              <w:ind w:right="73"/>
              <w:spacing w:after="0"/>
              <w:rPr>
                <w:sz w:val="20"/>
                <w:szCs w:val="20"/>
                <w:color w:val="auto"/>
              </w:rPr>
            </w:pPr>
            <w:r>
              <w:rPr>
                <w:rFonts w:ascii="Arial" w:cs="Arial" w:eastAsia="Arial" w:hAnsi="Arial"/>
                <w:sz w:val="14"/>
                <w:szCs w:val="14"/>
                <w:color w:val="auto"/>
              </w:rPr>
              <w:t>82-4724808</w:t>
            </w:r>
          </w:p>
        </w:tc>
      </w:tr>
      <w:tr>
        <w:trPr>
          <w:trHeight w:val="135"/>
        </w:trPr>
        <w:tc>
          <w:tcPr>
            <w:tcW w:w="4120" w:type="dxa"/>
            <w:vAlign w:val="bottom"/>
          </w:tcPr>
          <w:p>
            <w:pPr>
              <w:jc w:val="center"/>
              <w:ind w:right="199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3"/>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20" w:type="dxa"/>
            <w:vAlign w:val="bottom"/>
          </w:tcPr>
          <w:p>
            <w:pPr>
              <w:jc w:val="center"/>
              <w:ind w:right="1973"/>
              <w:spacing w:after="0" w:line="134"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3"/>
              <w:spacing w:after="0" w:line="134" w:lineRule="exact"/>
              <w:rPr>
                <w:sz w:val="20"/>
                <w:szCs w:val="20"/>
                <w:color w:val="auto"/>
              </w:rPr>
            </w:pPr>
            <w:r>
              <w:rPr>
                <w:rFonts w:ascii="Arial" w:cs="Arial" w:eastAsia="Arial" w:hAnsi="Arial"/>
                <w:sz w:val="13"/>
                <w:szCs w:val="13"/>
                <w:b w:val="1"/>
                <w:bCs w:val="1"/>
                <w:color w:val="auto"/>
                <w:w w:val="89"/>
              </w:rPr>
              <w:t>Identification No.)</w:t>
            </w:r>
          </w:p>
        </w:tc>
      </w:tr>
      <w:tr>
        <w:trPr>
          <w:trHeight w:val="148"/>
        </w:trPr>
        <w:tc>
          <w:tcPr>
            <w:tcW w:w="4120" w:type="dxa"/>
            <w:vAlign w:val="bottom"/>
          </w:tcPr>
          <w:p>
            <w:pPr>
              <w:jc w:val="center"/>
              <w:ind w:right="1973"/>
              <w:spacing w:after="0" w:line="149" w:lineRule="exact"/>
              <w:rPr>
                <w:sz w:val="20"/>
                <w:szCs w:val="20"/>
                <w:color w:val="auto"/>
              </w:rPr>
            </w:pPr>
            <w:r>
              <w:rPr>
                <w:rFonts w:ascii="Arial" w:cs="Arial" w:eastAsia="Arial" w:hAnsi="Arial"/>
                <w:sz w:val="14"/>
                <w:szCs w:val="14"/>
                <w:color w:val="auto"/>
                <w:w w:val="94"/>
              </w:rPr>
              <w:t>One Corporate Drive, 2</w:t>
            </w:r>
            <w:r>
              <w:rPr>
                <w:rFonts w:ascii="Arial" w:cs="Arial" w:eastAsia="Arial" w:hAnsi="Arial"/>
                <w:sz w:val="12"/>
                <w:szCs w:val="12"/>
                <w:color w:val="auto"/>
                <w:w w:val="94"/>
              </w:rPr>
              <w:t>nd</w:t>
            </w:r>
            <w:r>
              <w:rPr>
                <w:rFonts w:ascii="Arial" w:cs="Arial" w:eastAsia="Arial" w:hAnsi="Arial"/>
                <w:sz w:val="14"/>
                <w:szCs w:val="14"/>
                <w:color w:val="auto"/>
                <w:w w:val="94"/>
              </w:rPr>
              <w:t xml:space="preserve"> Floor</w:t>
            </w:r>
          </w:p>
        </w:tc>
        <w:tc>
          <w:tcPr>
            <w:tcW w:w="3020" w:type="dxa"/>
            <w:vAlign w:val="bottom"/>
          </w:tcPr>
          <w:p>
            <w:pPr>
              <w:spacing w:after="0"/>
              <w:rPr>
                <w:sz w:val="12"/>
                <w:szCs w:val="12"/>
                <w:color w:val="auto"/>
              </w:rPr>
            </w:pPr>
          </w:p>
        </w:tc>
      </w:tr>
      <w:tr>
        <w:trPr>
          <w:trHeight w:val="149"/>
        </w:trPr>
        <w:tc>
          <w:tcPr>
            <w:tcW w:w="4120" w:type="dxa"/>
            <w:vAlign w:val="bottom"/>
          </w:tcPr>
          <w:p>
            <w:pPr>
              <w:jc w:val="center"/>
              <w:ind w:right="1973"/>
              <w:spacing w:after="0" w:line="149" w:lineRule="exact"/>
              <w:rPr>
                <w:sz w:val="20"/>
                <w:szCs w:val="20"/>
                <w:color w:val="auto"/>
              </w:rPr>
            </w:pPr>
            <w:r>
              <w:rPr>
                <w:rFonts w:ascii="Arial" w:cs="Arial" w:eastAsia="Arial" w:hAnsi="Arial"/>
                <w:sz w:val="14"/>
                <w:szCs w:val="14"/>
                <w:color w:val="auto"/>
                <w:w w:val="93"/>
              </w:rPr>
              <w:t>South San Francisco, California</w:t>
            </w:r>
          </w:p>
        </w:tc>
        <w:tc>
          <w:tcPr>
            <w:tcW w:w="30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94080</w:t>
            </w:r>
          </w:p>
        </w:tc>
      </w:tr>
      <w:tr>
        <w:trPr>
          <w:trHeight w:val="164"/>
        </w:trPr>
        <w:tc>
          <w:tcPr>
            <w:tcW w:w="4120" w:type="dxa"/>
            <w:vAlign w:val="bottom"/>
          </w:tcPr>
          <w:p>
            <w:pPr>
              <w:jc w:val="center"/>
              <w:ind w:right="197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3"/>
              <w:spacing w:after="0"/>
              <w:rPr>
                <w:sz w:val="20"/>
                <w:szCs w:val="20"/>
                <w:color w:val="auto"/>
              </w:rPr>
            </w:pPr>
            <w:r>
              <w:rPr>
                <w:rFonts w:ascii="Arial" w:cs="Arial" w:eastAsia="Arial" w:hAnsi="Arial"/>
                <w:sz w:val="13"/>
                <w:szCs w:val="13"/>
                <w:b w:val="1"/>
                <w:bCs w:val="1"/>
                <w:color w:val="auto"/>
                <w:w w:val="90"/>
              </w:rPr>
              <w:t>(Zip Code)</w:t>
            </w:r>
          </w:p>
        </w:tc>
      </w:tr>
    </w:tbl>
    <w:p>
      <w:pPr>
        <w:spacing w:after="0" w:line="2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68580</wp:posOffset>
            </wp:positionV>
            <wp:extent cx="548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Trading Symbol(s)</w:t>
            </w:r>
          </w:p>
        </w:tc>
        <w:tc>
          <w:tcPr>
            <w:tcW w:w="43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23"/>
        </w:trPr>
        <w:tc>
          <w:tcPr>
            <w:tcW w:w="44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Common Stock, par value, $0.0001 per share</w:t>
            </w:r>
          </w:p>
        </w:tc>
        <w:tc>
          <w:tcPr>
            <w:tcW w:w="120" w:type="dxa"/>
            <w:vAlign w:val="bottom"/>
          </w:tcPr>
          <w:p>
            <w:pPr>
              <w:spacing w:after="0"/>
              <w:rPr>
                <w:sz w:val="10"/>
                <w:szCs w:val="10"/>
                <w:color w:val="auto"/>
              </w:rPr>
            </w:pPr>
          </w:p>
        </w:tc>
        <w:tc>
          <w:tcPr>
            <w:tcW w:w="22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ALGS</w:t>
            </w:r>
          </w:p>
        </w:tc>
        <w:tc>
          <w:tcPr>
            <w:tcW w:w="100" w:type="dxa"/>
            <w:vAlign w:val="bottom"/>
          </w:tcPr>
          <w:p>
            <w:pPr>
              <w:spacing w:after="0"/>
              <w:rPr>
                <w:sz w:val="10"/>
                <w:szCs w:val="10"/>
                <w:color w:val="auto"/>
              </w:rPr>
            </w:pPr>
          </w:p>
        </w:tc>
        <w:tc>
          <w:tcPr>
            <w:tcW w:w="43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r>
      <w:tr>
        <w:trPr>
          <w:trHeight w:val="182"/>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r>
        <w:trPr>
          <w:trHeight w:val="216"/>
        </w:trPr>
        <w:tc>
          <w:tcPr>
            <w:tcW w:w="452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bl>
    <w:p>
      <w:pPr>
        <w:spacing w:after="0" w:line="6" w:lineRule="exact"/>
        <w:rPr>
          <w:sz w:val="24"/>
          <w:szCs w:val="24"/>
          <w:color w:val="auto"/>
        </w:rPr>
      </w:pPr>
    </w:p>
    <w:p>
      <w:pPr>
        <w:ind w:right="35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9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rPr>
              <w:t>☐</w:t>
            </w:r>
          </w:p>
        </w:tc>
        <w:tc>
          <w:tcPr>
            <w:tcW w:w="5020" w:type="dxa"/>
            <w:vAlign w:val="bottom"/>
          </w:tcPr>
          <w:p>
            <w:pPr>
              <w:ind w:left="300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1940" w:type="dxa"/>
            <w:vAlign w:val="bottom"/>
          </w:tcPr>
          <w:p>
            <w:pPr>
              <w:spacing w:after="0"/>
              <w:rPr>
                <w:sz w:val="20"/>
                <w:szCs w:val="20"/>
                <w:color w:val="auto"/>
              </w:rPr>
            </w:pPr>
            <w:r>
              <w:rPr>
                <w:rFonts w:ascii="Arial" w:cs="Arial" w:eastAsia="Arial" w:hAnsi="Arial"/>
                <w:sz w:val="15"/>
                <w:szCs w:val="15"/>
                <w:color w:val="auto"/>
              </w:rPr>
              <w:t>Non-accelerated filer</w:t>
            </w:r>
          </w:p>
        </w:tc>
        <w:tc>
          <w:tcPr>
            <w:tcW w:w="3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00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5020" w:type="dxa"/>
            <w:vAlign w:val="bottom"/>
          </w:tcPr>
          <w:p>
            <w:pPr>
              <w:ind w:left="3000"/>
              <w:spacing w:after="0"/>
              <w:rPr>
                <w:sz w:val="20"/>
                <w:szCs w:val="20"/>
                <w:color w:val="auto"/>
              </w:rPr>
            </w:pPr>
            <w:r>
              <w:rPr>
                <w:rFonts w:ascii="Arial" w:cs="Arial" w:eastAsia="Arial" w:hAnsi="Arial"/>
                <w:sz w:val="15"/>
                <w:szCs w:val="15"/>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The registrant’s common stock was not publicly traded as of the last business day of the registrant’s most recently completed second fiscal quarter.</w:t>
      </w:r>
    </w:p>
    <w:p>
      <w:pPr>
        <w:spacing w:after="0" w:line="42" w:lineRule="exact"/>
        <w:rPr>
          <w:sz w:val="24"/>
          <w:szCs w:val="24"/>
          <w:color w:val="auto"/>
        </w:rPr>
      </w:pPr>
    </w:p>
    <w:p>
      <w:pPr>
        <w:ind w:right="260"/>
        <w:spacing w:after="0" w:line="311" w:lineRule="auto"/>
        <w:rPr>
          <w:sz w:val="20"/>
          <w:szCs w:val="20"/>
          <w:color w:val="auto"/>
        </w:rPr>
      </w:pPr>
      <w:r>
        <w:rPr>
          <w:rFonts w:ascii="Arial" w:cs="Arial" w:eastAsia="Arial" w:hAnsi="Arial"/>
          <w:sz w:val="14"/>
          <w:szCs w:val="14"/>
          <w:color w:val="auto"/>
        </w:rPr>
        <w:t>As of March 18, 2021, the registrant had 38,143,228 shares of common stock, $0.0001 par value per share, outstanding, comprised of 35,050,890 shares of voting common stock, $0.0001 par value per share and 3,092,338 shares of non-voting common stock, $0.0001 par value per share.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42" w:lineRule="exact"/>
        <w:rPr>
          <w:sz w:val="24"/>
          <w:szCs w:val="24"/>
          <w:color w:val="auto"/>
        </w:rPr>
      </w:pPr>
    </w:p>
    <w:p>
      <w:pPr>
        <w:ind w:right="140"/>
        <w:spacing w:after="0" w:line="253" w:lineRule="auto"/>
        <w:rPr>
          <w:sz w:val="20"/>
          <w:szCs w:val="20"/>
          <w:color w:val="auto"/>
        </w:rPr>
      </w:pPr>
      <w:r>
        <w:rPr>
          <w:rFonts w:ascii="Arial" w:cs="Arial" w:eastAsia="Arial" w:hAnsi="Arial"/>
          <w:sz w:val="14"/>
          <w:szCs w:val="14"/>
          <w:color w:val="auto"/>
        </w:rPr>
        <w:t>Portions of the Registrant’s Definitive Proxy Statement relating to the 2021 Annual Meeting of Stockholders, which will be filed with the Securities and Exchange Commission within 120 days after the end of the Registrant’s fiscal year ended December 31, 2020,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392430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8660" w:type="dxa"/>
            <w:vAlign w:val="bottom"/>
            <w:gridSpan w:val="1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Properties</w:t>
              </w:r>
            </w:hyperlink>
          </w:p>
        </w:tc>
        <w:tc>
          <w:tcPr>
            <w:tcW w:w="72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line="190" w:lineRule="exact"/>
              <w:rPr>
                <w:rFonts w:ascii="Arial" w:cs="Arial" w:eastAsia="Arial" w:hAnsi="Arial"/>
                <w:sz w:val="18"/>
                <w:szCs w:val="18"/>
                <w:color w:val="0000EE"/>
              </w:rPr>
            </w:pPr>
            <w:hyperlink w:anchor="page109">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Selected Financial Data</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21">
              <w:r>
                <w:rPr>
                  <w:rFonts w:ascii="Arial" w:cs="Arial" w:eastAsia="Arial" w:hAnsi="Arial"/>
                  <w:sz w:val="18"/>
                  <w:szCs w:val="18"/>
                  <w:color w:val="0000EE"/>
                  <w:w w:val="92"/>
                </w:rPr>
                <w:t>Quantitative and Qualitative Disclosures About Market Risk</w:t>
              </w:r>
            </w:hyperlink>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2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60">
              <w:r>
                <w:rPr>
                  <w:rFonts w:ascii="Arial" w:cs="Arial" w:eastAsia="Arial" w:hAnsi="Arial"/>
                  <w:sz w:val="18"/>
                  <w:szCs w:val="18"/>
                  <w:color w:val="0000EE"/>
                  <w:w w:val="90"/>
                </w:rPr>
                <w:t>Changes in and Disagreements with Accountants on Accounting and Financial Disclosure</w:t>
              </w:r>
            </w:hyperlink>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300" w:type="dxa"/>
            <w:vAlign w:val="bottom"/>
            <w:gridSpan w:val="20"/>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line="190" w:lineRule="exact"/>
              <w:rPr>
                <w:rFonts w:ascii="Arial" w:cs="Arial" w:eastAsia="Arial" w:hAnsi="Arial"/>
                <w:sz w:val="18"/>
                <w:szCs w:val="18"/>
                <w:color w:val="0000EE"/>
              </w:rPr>
            </w:pPr>
            <w:hyperlink w:anchor="page161">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6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0"/>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Exhibits, Financial Statement Schedules</w:t>
              </w:r>
            </w:hyperlink>
          </w:p>
        </w:tc>
        <w:tc>
          <w:tcPr>
            <w:tcW w:w="6400" w:type="dxa"/>
            <w:vAlign w:val="bottom"/>
            <w:gridSpan w:val="9"/>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300" w:type="dxa"/>
            <w:vAlign w:val="bottom"/>
            <w:gridSpan w:val="20"/>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116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9" w:lineRule="exact"/>
        <w:rPr>
          <w:sz w:val="20"/>
          <w:szCs w:val="20"/>
          <w:color w:val="auto"/>
        </w:rPr>
      </w:pPr>
    </w:p>
    <w:p>
      <w:pPr>
        <w:ind w:left="1160" w:right="2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drug candidates or any other future drug candidates, and conducting nonclinical studies and clinical trials, including our ALG-010133 and ALG-000184 Phase 1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44"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our current or future drug candidates, and any related restrictions or limitations;</w:t>
      </w:r>
    </w:p>
    <w:p>
      <w:pPr>
        <w:spacing w:after="0" w:line="62"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 including clinical trials, manufacturing suppliers, collaborators, use of contract research organizations and employees;</w:t>
      </w:r>
    </w:p>
    <w:p>
      <w:pPr>
        <w:spacing w:after="0" w:line="62"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ALG-010133 and ALG-000184, our other drug candidates and any future drug candidates, if approved for commercial use;</w:t>
      </w:r>
    </w:p>
    <w:p>
      <w:pPr>
        <w:spacing w:after="0" w:line="62"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44" w:lineRule="exact"/>
        <w:rPr>
          <w:rFonts w:ascii="Arial" w:cs="Arial" w:eastAsia="Arial" w:hAnsi="Arial"/>
          <w:sz w:val="18"/>
          <w:szCs w:val="18"/>
          <w:color w:val="auto"/>
        </w:rPr>
      </w:pPr>
    </w:p>
    <w:p>
      <w:pPr>
        <w:ind w:left="1160" w:right="5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drug candidates, as well as the pricing and reimbursement of our drug candidates, if approved;</w:t>
      </w:r>
    </w:p>
    <w:p>
      <w:pPr>
        <w:spacing w:after="0" w:line="62" w:lineRule="exact"/>
        <w:rPr>
          <w:rFonts w:ascii="Arial" w:cs="Arial" w:eastAsia="Arial" w:hAnsi="Arial"/>
          <w:sz w:val="18"/>
          <w:szCs w:val="18"/>
          <w:color w:val="auto"/>
        </w:rPr>
      </w:pPr>
    </w:p>
    <w:p>
      <w:pPr>
        <w:ind w:left="1160" w:right="5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 candidates and technology, including additional indications for which we may pursue;</w:t>
      </w:r>
    </w:p>
    <w:p>
      <w:pPr>
        <w:spacing w:after="0" w:line="62"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including the projected term of patent protection;</w:t>
      </w:r>
    </w:p>
    <w:p>
      <w:pPr>
        <w:spacing w:after="0" w:line="62" w:lineRule="exact"/>
        <w:rPr>
          <w:rFonts w:ascii="Arial" w:cs="Arial" w:eastAsia="Arial" w:hAnsi="Arial"/>
          <w:sz w:val="18"/>
          <w:szCs w:val="18"/>
          <w:color w:val="auto"/>
        </w:rPr>
      </w:pPr>
    </w:p>
    <w:p>
      <w:pPr>
        <w:ind w:left="1160" w:right="4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management, scientific and medical personnel;</w:t>
      </w:r>
    </w:p>
    <w:p>
      <w:pPr>
        <w:spacing w:after="0" w:line="144"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enforce and defend our intellectual property protection for our drug candidates;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based these forward-looking statements largely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on Form 10-K, whether as a result of any new information, future events or otherwise.</w:t>
      </w:r>
    </w:p>
    <w:p>
      <w:pPr>
        <w:spacing w:after="0" w:line="16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our members and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17" w:lineRule="exact"/>
        <w:rPr>
          <w:sz w:val="20"/>
          <w:szCs w:val="20"/>
          <w:color w:val="auto"/>
        </w:rPr>
      </w:pPr>
    </w:p>
    <w:p>
      <w:pPr>
        <w:ind w:left="1160" w:right="320" w:hanging="572"/>
        <w:spacing w:after="0" w:line="311"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40" w:lineRule="exact"/>
        <w:rPr>
          <w:rFonts w:ascii="Arial" w:cs="Arial" w:eastAsia="Arial" w:hAnsi="Arial"/>
          <w:sz w:val="16"/>
          <w:szCs w:val="16"/>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44" w:lineRule="exact"/>
        <w:rPr>
          <w:rFonts w:ascii="Arial" w:cs="Arial" w:eastAsia="Arial" w:hAnsi="Arial"/>
          <w:sz w:val="18"/>
          <w:szCs w:val="18"/>
          <w:color w:val="auto"/>
        </w:rPr>
      </w:pPr>
    </w:p>
    <w:p>
      <w:pPr>
        <w:jc w:val="both"/>
        <w:ind w:left="1160" w:right="20" w:hanging="572"/>
        <w:spacing w:after="0" w:line="263"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75" w:lineRule="exact"/>
        <w:rPr>
          <w:rFonts w:ascii="Arial" w:cs="Arial" w:eastAsia="Arial" w:hAnsi="Arial"/>
          <w:sz w:val="18"/>
          <w:szCs w:val="18"/>
          <w:color w:val="auto"/>
        </w:rPr>
      </w:pPr>
    </w:p>
    <w:p>
      <w:pPr>
        <w:ind w:left="1160" w:right="340" w:hanging="572"/>
        <w:spacing w:after="0" w:line="259"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78" w:lineRule="exact"/>
        <w:rPr>
          <w:rFonts w:ascii="Arial" w:cs="Arial" w:eastAsia="Arial" w:hAnsi="Arial"/>
          <w:sz w:val="18"/>
          <w:szCs w:val="18"/>
          <w:color w:val="auto"/>
        </w:rPr>
      </w:pPr>
    </w:p>
    <w:p>
      <w:pPr>
        <w:jc w:val="both"/>
        <w:ind w:left="1160" w:right="80" w:hanging="572"/>
        <w:spacing w:after="0" w:line="263"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5"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collaborations with third parties for the development of certain of our potential drug candidates, and we may depend on additional collaborations in the future for the development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ind w:left="1160" w:right="180"/>
        <w:spacing w:after="0" w:line="277" w:lineRule="auto"/>
        <w:rPr>
          <w:sz w:val="20"/>
          <w:szCs w:val="20"/>
          <w:color w:val="auto"/>
        </w:rPr>
      </w:pPr>
      <w:r>
        <w:rPr>
          <w:rFonts w:ascii="Arial" w:cs="Arial" w:eastAsia="Arial" w:hAnsi="Arial"/>
          <w:sz w:val="18"/>
          <w:szCs w:val="18"/>
          <w:color w:val="auto"/>
        </w:rPr>
        <w:t>commercialization of these or other potential candidates. If our collaborations are not successful, we may not be able to capitalize on the market potential of these drug candidates.</w:t>
      </w:r>
    </w:p>
    <w:p>
      <w:pPr>
        <w:spacing w:after="0" w:line="62" w:lineRule="exact"/>
        <w:rPr>
          <w:sz w:val="20"/>
          <w:szCs w:val="20"/>
          <w:color w:val="auto"/>
        </w:rPr>
      </w:pPr>
    </w:p>
    <w:p>
      <w:pPr>
        <w:ind w:left="1160" w:right="2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intend to develop our current drug candidates, and expect to develop other future drug candidates, in combination with other therapies, which exposes us to additional risks.</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2" w:lineRule="exact"/>
        <w:rPr>
          <w:rFonts w:ascii="Arial" w:cs="Arial" w:eastAsia="Arial" w:hAnsi="Arial"/>
          <w:sz w:val="18"/>
          <w:szCs w:val="18"/>
          <w:color w:val="auto"/>
        </w:rPr>
      </w:pPr>
    </w:p>
    <w:p>
      <w:pPr>
        <w:ind w:left="1160" w:right="40" w:hanging="572"/>
        <w:spacing w:after="0" w:line="286"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and our collaborators are unable to obtain and maintain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57" w:lineRule="exact"/>
        <w:rPr>
          <w:rFonts w:ascii="Arial" w:cs="Arial" w:eastAsia="Arial" w:hAnsi="Arial"/>
          <w:sz w:val="17"/>
          <w:szCs w:val="17"/>
          <w:color w:val="auto"/>
        </w:rPr>
      </w:pPr>
    </w:p>
    <w:p>
      <w:pPr>
        <w:ind w:left="1160" w:right="480" w:hanging="572"/>
        <w:spacing w:after="0" w:line="308"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38" w:lineRule="exact"/>
        <w:rPr>
          <w:rFonts w:ascii="Arial" w:cs="Arial" w:eastAsia="Arial" w:hAnsi="Arial"/>
          <w:sz w:val="17"/>
          <w:szCs w:val="17"/>
          <w:color w:val="auto"/>
        </w:rPr>
      </w:pPr>
    </w:p>
    <w:p>
      <w:pPr>
        <w:ind w:left="1160" w:hanging="572"/>
        <w:spacing w:after="0" w:line="259"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8" w:lineRule="exact"/>
        <w:rPr>
          <w:rFonts w:ascii="Arial" w:cs="Arial" w:eastAsia="Arial" w:hAnsi="Arial"/>
          <w:sz w:val="18"/>
          <w:szCs w:val="18"/>
          <w:color w:val="auto"/>
        </w:rPr>
      </w:pPr>
    </w:p>
    <w:p>
      <w:pPr>
        <w:ind w:left="1160" w:right="600" w:hanging="572"/>
        <w:spacing w:after="0" w:line="232" w:lineRule="auto"/>
        <w:tabs>
          <w:tab w:leader="none" w:pos="116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20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We are a clinical-stage biopharmaceutical company currently focused on developing novel therapeutics to address unmet medical needs in viral and liver diseases. We utilize our proprietary oligonucleotide and small molecule platforms to develop pharmacologically optimized drug candidates for use in combination regimens designed to achieve improved treatment outcomes. Our lead effort is to develop a functional cure for Chronic Hepatitis B (CHB), which often results in other life-threatening conditions such as cirrhosis, end-stage liver disease (ESLD) and the most common form of liver cancer, hepatocellular carcinoma (HCC). The most widely used treatment for CHB, nucleos(t)ide analogs, suppresses viral replication but only achieves low rates of functional cure and often requires long-term administration. To address this issue, we have developed a portfolio of differentiated drug candidates for CHB, including an S-antigen Transport-inhibiting Oligonucleotide Polymers (STOPS) molecule, a small molecule Capsid Assembly Modulator (CAM), and oligonucleotides (ASO and siRNA), each of which is designed against clinically validated targets in the Hepatitis B Virus (HBV) life cycle. We believe that combination regimens utilizing our portfolio of CHB drug candidates may lead to higher rates of functional cure. Phase 1 proof of concept trials evaluating the properties of our STOPS molecule and CAM are ongoing in New Zealand and each of such candidates has been approved to commence clinical trials in Hong Kong and Moldova. We may also in the future conduct clinical trials for our STOPS molecule and CAM and other drug candidates in other countries and territories, including South Korea, the United Kingdom, and China. Our second area of focus is in non-alcoholic steatohepatitis (NASH), a complex, chronic liver disease where combination regimens may likewise prove beneficial. Our most advanced drug candidate for NASH</w:t>
      </w:r>
    </w:p>
    <w:p>
      <w:pPr>
        <w:spacing w:after="0" w:line="2" w:lineRule="exact"/>
        <w:rPr>
          <w:sz w:val="20"/>
          <w:szCs w:val="20"/>
          <w:color w:val="auto"/>
        </w:rPr>
      </w:pPr>
    </w:p>
    <w:p>
      <w:pPr>
        <w:ind w:right="140"/>
        <w:spacing w:after="0" w:line="216" w:lineRule="exact"/>
        <w:rPr>
          <w:sz w:val="20"/>
          <w:szCs w:val="20"/>
          <w:color w:val="auto"/>
        </w:rPr>
      </w:pPr>
      <w:r>
        <w:rPr>
          <w:rFonts w:ascii="Arial" w:cs="Arial" w:eastAsia="Arial" w:hAnsi="Arial"/>
          <w:sz w:val="17"/>
          <w:szCs w:val="17"/>
          <w:color w:val="auto"/>
        </w:rPr>
        <w:t>is ALG</w:t>
      </w:r>
      <w:r>
        <w:rPr>
          <w:rFonts w:ascii="MS PGothic" w:cs="MS PGothic" w:eastAsia="MS PGothic" w:hAnsi="MS PGothic"/>
          <w:sz w:val="17"/>
          <w:szCs w:val="17"/>
          <w:color w:val="auto"/>
        </w:rPr>
        <w:t>‑</w:t>
      </w:r>
      <w:r>
        <w:rPr>
          <w:rFonts w:ascii="Arial" w:cs="Arial" w:eastAsia="Arial" w:hAnsi="Arial"/>
          <w:sz w:val="17"/>
          <w:szCs w:val="17"/>
          <w:color w:val="auto"/>
        </w:rPr>
        <w:t>055009, a small molecule THR-ß agonist currently in nonclinical studies to enable a first-in-human clinical trial. We believe ALG</w:t>
      </w:r>
      <w:r>
        <w:rPr>
          <w:rFonts w:ascii="MS PGothic" w:cs="MS PGothic" w:eastAsia="MS PGothic" w:hAnsi="MS PGothic"/>
          <w:sz w:val="17"/>
          <w:szCs w:val="17"/>
          <w:color w:val="auto"/>
        </w:rPr>
        <w:t>‑</w:t>
      </w:r>
      <w:r>
        <w:rPr>
          <w:rFonts w:ascii="Arial" w:cs="Arial" w:eastAsia="Arial" w:hAnsi="Arial"/>
          <w:sz w:val="17"/>
          <w:szCs w:val="17"/>
          <w:color w:val="auto"/>
        </w:rPr>
        <w:t>055009 has the potential to become an integral component of future combination regimens for NASH. Our third area of focus is to develop drug candidates with pan-coronavirus activity, including Severe Acute Respiratory Syndrome coronavirus 2 (SARS-CoV-2), the virus responsible for COVID-19.</w:t>
      </w:r>
    </w:p>
    <w:p>
      <w:pPr>
        <w:spacing w:after="0" w:line="20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Our team’s collective experience and success in discovering and developing drugs targeting viruses and liver diseases, combined with our in-house expertise in oligonucleotide and small molecule drug discovery, gives us a differentiated set of capabilities, which has enabled us to rapidly establish a robust pipeline of multiple novel drug candidates, as summarized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125730</wp:posOffset>
            </wp:positionV>
            <wp:extent cx="5340350" cy="2297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035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ind w:right="20" w:firstLine="589"/>
        <w:spacing w:after="0" w:line="271" w:lineRule="auto"/>
        <w:rPr>
          <w:sz w:val="20"/>
          <w:szCs w:val="20"/>
          <w:color w:val="auto"/>
        </w:rPr>
      </w:pPr>
      <w:r>
        <w:rPr>
          <w:rFonts w:ascii="Arial" w:cs="Arial" w:eastAsia="Arial" w:hAnsi="Arial"/>
          <w:sz w:val="17"/>
          <w:szCs w:val="17"/>
          <w:color w:val="auto"/>
        </w:rPr>
        <w:t>Our most advanced drug candidates are for the treatment of CHB, a disease that affects more than 290 million people worldwide with approximately 30 million people becoming newly infected every year, despite the availability of an efficacious prophylactic vaccine. Approximately 900,000 people worldwide died from complications of CHB in 2015, according to the World Health Organization, and CHB is the primary cause of liver cancer worldwide. Currently approved therapies for CHB include pegylated forms of interferon-alfa (peg-IFNα) and nucleos(t)ide analogs, which are designed to boost the body’s immune response to the virus or inhibit viral replication, respectively. While these therapies have improved treatment outcomes for some patients with CHB, they have not been able to achieve meaningful rates of functional cure, which is the consensus goal of treatment and defined as a sustained loss of HBsAg with or without hepatitis B surface antibody seroconversion. Functional cure has been shown to greatly reduce the risk of developing certain other more serious downstream liver conditions, such as cirrhosis and ESLD.</w:t>
      </w:r>
    </w:p>
    <w:p>
      <w:pPr>
        <w:spacing w:after="0" w:line="178"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clinical development strategy involves evaluating both Hepatitis B E-antigen (HBeAg) positive and HBeAg negative CHB patient populations. HBeAg is typically present in earlier stages of the disease and is associated with higher rates of viral replication. During the natural course of the disease, HBeAg can be cleared and antibodies develop, resulting in an HBeAg negative state where viral replication is often lower. Patients with HBeAg negative CHB are typically older and have more progressive disease-related complications (e.g., fibrosis of the liver). In addition, their immune system is likely to be more exhausted by chronic exposure to HBsAg, which makes viral clearance more difficult. Although we plan to ultimately study both populations, due to the greater availability of patients with HBeAg negative CHB at investigational sites, we intend to study this population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113665</wp:posOffset>
            </wp:positionV>
            <wp:extent cx="4997450" cy="2468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745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Multiple steps in the HBV life cycle, including those involving capsid assembly and production and secretion of HBsAg, are known to be essential to sustain HBV infection. We have built a portfolio of CHB drug candidates directed against clinically validated targets at several critical stages of the HBV life cycle. Our CHB portfolio includes:</w:t>
      </w:r>
    </w:p>
    <w:p>
      <w:pPr>
        <w:spacing w:after="0" w:line="72" w:lineRule="exact"/>
        <w:rPr>
          <w:sz w:val="20"/>
          <w:szCs w:val="20"/>
          <w:color w:val="auto"/>
        </w:rPr>
      </w:pPr>
    </w:p>
    <w:p>
      <w:pPr>
        <w:ind w:left="1160" w:right="60" w:hanging="572"/>
        <w:spacing w:after="0" w:line="258"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STOPS </w:t>
      </w:r>
      <w:r>
        <w:rPr>
          <w:rFonts w:ascii="Arial" w:cs="Arial" w:eastAsia="Arial" w:hAnsi="Arial"/>
          <w:sz w:val="18"/>
          <w:szCs w:val="18"/>
          <w:color w:val="auto"/>
        </w:rPr>
        <w:t>are protein-binding oligonucleotides that share structural similarity with nucleic acid polymers (NAPs), which have been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in clinical trials to significantly reduce circulating HBsAg and result in high rates of functional cure when used in combination with nucleos(t)ide analogs and peg-IFNα. Our most advanced STOPS molecule is ALG-010133, which is currently being evaluated in a Phase 1 clinical trial, including in CHB patients. In nonclinical studies, ALG-010133 has demonstrated higher inhibitory activity than a reference NAP compound that is currently in clinical development.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 w:name="page8"/>
    <w:bookmarkEnd w:id="7"/>
    <w:p>
      <w:pPr>
        <w:ind w:left="1160" w:right="160" w:hanging="572"/>
        <w:spacing w:after="0" w:line="219" w:lineRule="exact"/>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CAMs </w:t>
      </w:r>
      <w:r>
        <w:rPr>
          <w:rFonts w:ascii="Arial" w:cs="Arial" w:eastAsia="Arial" w:hAnsi="Arial"/>
          <w:sz w:val="18"/>
          <w:szCs w:val="18"/>
          <w:color w:val="auto"/>
        </w:rPr>
        <w:t>are small molecule antiviral agents that accelerate HBV capsid assembly and inhibit pregenomic RNA (pgRNA) encapsidation,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reduces production of new virions capable of infecting other cells. CAMs may also inhibit the de novo establishment of covalently closed circular DNA (cccDNA), a major factor for the persistence of HBV infection, when introduced at the onset of infection. In clinical trials, other CAM drug candidates have demonstrated significant reductions in HBV DNA and pgRNA. However, it is likely that CAMs will need to be combined with other modalities that affect HBsAg in order to achieve functional cure. Our most advanced CAM drug candidate is ALG</w:t>
      </w:r>
      <w:r>
        <w:rPr>
          <w:rFonts w:ascii="MS PGothic" w:cs="MS PGothic" w:eastAsia="MS PGothic" w:hAnsi="MS PGothic"/>
          <w:sz w:val="18"/>
          <w:szCs w:val="18"/>
          <w:color w:val="auto"/>
        </w:rPr>
        <w:t>‑</w:t>
      </w:r>
      <w:r>
        <w:rPr>
          <w:rFonts w:ascii="Arial" w:cs="Arial" w:eastAsia="Arial" w:hAnsi="Arial"/>
          <w:sz w:val="18"/>
          <w:szCs w:val="18"/>
          <w:color w:val="auto"/>
        </w:rPr>
        <w:t>000184, a prodrug of ALG</w:t>
      </w:r>
      <w:r>
        <w:rPr>
          <w:rFonts w:ascii="MS PGothic" w:cs="MS PGothic" w:eastAsia="MS PGothic" w:hAnsi="MS PGothic"/>
          <w:sz w:val="18"/>
          <w:szCs w:val="18"/>
          <w:color w:val="auto"/>
        </w:rPr>
        <w:t>‑</w:t>
      </w:r>
      <w:r>
        <w:rPr>
          <w:rFonts w:ascii="Arial" w:cs="Arial" w:eastAsia="Arial" w:hAnsi="Arial"/>
          <w:sz w:val="18"/>
          <w:szCs w:val="18"/>
          <w:color w:val="auto"/>
        </w:rPr>
        <w:t>001075, which is currently being evaluated in a Phase 1 clinical trial, including in CHB patients. In nonclinical studies, we have shown that ALG</w:t>
      </w:r>
      <w:r>
        <w:rPr>
          <w:rFonts w:ascii="MS PGothic" w:cs="MS PGothic" w:eastAsia="MS PGothic" w:hAnsi="MS PGothic"/>
          <w:sz w:val="18"/>
          <w:szCs w:val="18"/>
          <w:color w:val="auto"/>
        </w:rPr>
        <w:t>‑</w:t>
      </w:r>
      <w:r>
        <w:rPr>
          <w:rFonts w:ascii="Arial" w:cs="Arial" w:eastAsia="Arial" w:hAnsi="Arial"/>
          <w:sz w:val="18"/>
          <w:szCs w:val="18"/>
          <w:color w:val="auto"/>
        </w:rPr>
        <w:t>001075 has significantly enhanced potency compared to other CAMs in clinical development of which we are aware</w:t>
      </w:r>
    </w:p>
    <w:p>
      <w:pPr>
        <w:spacing w:after="0" w:line="90" w:lineRule="exact"/>
        <w:rPr>
          <w:rFonts w:ascii="Arial" w:cs="Arial" w:eastAsia="Arial" w:hAnsi="Arial"/>
          <w:sz w:val="18"/>
          <w:szCs w:val="18"/>
          <w:color w:val="auto"/>
        </w:rPr>
      </w:pPr>
    </w:p>
    <w:p>
      <w:pPr>
        <w:ind w:left="1160" w:right="240" w:hanging="572"/>
        <w:spacing w:after="0" w:line="273"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ASOs </w:t>
      </w:r>
      <w:r>
        <w:rPr>
          <w:rFonts w:ascii="Arial" w:cs="Arial" w:eastAsia="Arial" w:hAnsi="Arial"/>
          <w:sz w:val="17"/>
          <w:szCs w:val="17"/>
          <w:color w:val="auto"/>
        </w:rPr>
        <w:t>are single-stranded DNA or RNA molecules that interfere with viral replication by binding to complementary messenger RNA</w:t>
      </w:r>
      <w:r>
        <w:rPr>
          <w:rFonts w:ascii="Arial" w:cs="Arial" w:eastAsia="Arial" w:hAnsi="Arial"/>
          <w:sz w:val="17"/>
          <w:szCs w:val="17"/>
          <w:b w:val="1"/>
          <w:bCs w:val="1"/>
          <w:color w:val="auto"/>
        </w:rPr>
        <w:t xml:space="preserve"> </w:t>
      </w:r>
      <w:r>
        <w:rPr>
          <w:rFonts w:ascii="Arial" w:cs="Arial" w:eastAsia="Arial" w:hAnsi="Arial"/>
          <w:sz w:val="17"/>
          <w:szCs w:val="17"/>
          <w:color w:val="auto"/>
        </w:rPr>
        <w:t>(mRNA), allowing the combined ASO and mRNA to be degraded by the enzyme RNase H. Using our oligonucleotide discovery capabilities, we identified ALG-020572, an ASO that targets HBV mRNA and can reduce HBsAg production, which we plan to advance into clinical trials in the second half of 2021. In third-party clinical trials, ASOs targeting HBV mRNA have demonstrated significant reductions in HBsAg. Our ASO approach utilizes state of the art bioinformatics, proprietary stabilization chemistry and liver targeting technology that we believe provides a number of potential benefits compared to other ASO candidates of which we are aware, including increased potency, a higher barrier to resistance and broad genotype coverage.</w:t>
      </w:r>
    </w:p>
    <w:p>
      <w:pPr>
        <w:spacing w:after="0" w:line="63" w:lineRule="exact"/>
        <w:rPr>
          <w:rFonts w:ascii="Arial" w:cs="Arial" w:eastAsia="Arial" w:hAnsi="Arial"/>
          <w:sz w:val="17"/>
          <w:szCs w:val="17"/>
          <w:color w:val="auto"/>
        </w:rPr>
      </w:pPr>
    </w:p>
    <w:p>
      <w:pPr>
        <w:ind w:left="1160" w:hanging="572"/>
        <w:spacing w:after="0" w:line="222" w:lineRule="exact"/>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siRNAs </w:t>
      </w:r>
      <w:r>
        <w:rPr>
          <w:rFonts w:ascii="Arial" w:cs="Arial" w:eastAsia="Arial" w:hAnsi="Arial"/>
          <w:sz w:val="16"/>
          <w:szCs w:val="16"/>
          <w:color w:val="auto"/>
        </w:rPr>
        <w:t>are a class of double-stranded, non-coding RNA that interfere with viral replication by silencing gene expression. Multiple siRNAs</w:t>
      </w:r>
      <w:r>
        <w:rPr>
          <w:rFonts w:ascii="Arial" w:cs="Arial" w:eastAsia="Arial" w:hAnsi="Arial"/>
          <w:sz w:val="16"/>
          <w:szCs w:val="16"/>
          <w:b w:val="1"/>
          <w:bCs w:val="1"/>
          <w:color w:val="auto"/>
        </w:rPr>
        <w:t xml:space="preserve"> </w:t>
      </w:r>
      <w:r>
        <w:rPr>
          <w:rFonts w:ascii="Arial" w:cs="Arial" w:eastAsia="Arial" w:hAnsi="Arial"/>
          <w:sz w:val="16"/>
          <w:szCs w:val="16"/>
          <w:color w:val="auto"/>
        </w:rPr>
        <w:t>have demonstrated significant reductions in HBsAg levels in clinical trials. Our oligonucleotide discovery capabilities resulted in the identification of ALG</w:t>
      </w:r>
      <w:r>
        <w:rPr>
          <w:rFonts w:ascii="MS PGothic" w:cs="MS PGothic" w:eastAsia="MS PGothic" w:hAnsi="MS PGothic"/>
          <w:sz w:val="16"/>
          <w:szCs w:val="16"/>
          <w:color w:val="auto"/>
        </w:rPr>
        <w:t>‑</w:t>
      </w:r>
      <w:r>
        <w:rPr>
          <w:rFonts w:ascii="Arial" w:cs="Arial" w:eastAsia="Arial" w:hAnsi="Arial"/>
          <w:sz w:val="16"/>
          <w:szCs w:val="16"/>
          <w:color w:val="auto"/>
        </w:rPr>
        <w:t>125755, an siRNA drug candidate directed at HBV mRNA, which utilizes our proprietary liver targeting technology.</w:t>
      </w:r>
    </w:p>
    <w:p>
      <w:pPr>
        <w:spacing w:after="0" w:line="203"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We believe that a combination of drugs capable of inhibiting HBV DNA replication and RNA packaging (e.g., using CAMs) while simultaneously suppressing HBsAg production (e.g., using our STOPS molecule, ASO, and/or siRNA) has the potential to act additively or synergistically and may lead to a higher rate of functional cure. Our clinical development strategy is designed to evaluate safety and antiviral activity as monotherapy prior to evaluating multiple combinations of our CHB assets, with or without other currently available treatment modalities such as nucleos(t)ide analogs or peg-IFNα, to identify optimized combination regimens.</w:t>
      </w:r>
    </w:p>
    <w:p>
      <w:pPr>
        <w:spacing w:after="0" w:line="188" w:lineRule="exact"/>
        <w:rPr>
          <w:sz w:val="20"/>
          <w:szCs w:val="20"/>
          <w:color w:val="auto"/>
        </w:rPr>
      </w:pPr>
    </w:p>
    <w:p>
      <w:pPr>
        <w:ind w:right="60" w:firstLine="589"/>
        <w:spacing w:after="0" w:line="217" w:lineRule="exact"/>
        <w:rPr>
          <w:sz w:val="20"/>
          <w:szCs w:val="20"/>
          <w:color w:val="auto"/>
        </w:rPr>
      </w:pPr>
      <w:r>
        <w:rPr>
          <w:rFonts w:ascii="Arial" w:cs="Arial" w:eastAsia="Arial" w:hAnsi="Arial"/>
          <w:sz w:val="16"/>
          <w:szCs w:val="16"/>
          <w:color w:val="auto"/>
        </w:rPr>
        <w:t>Our second development effort is focused on the treatment of NASH. An estimated 1.5% to 6.5% of the global population, or up to about 450 million people, was believed to have NASH as of 2015 and this percentage is expected to increase significantly in the coming decade due to the adoption of Western dietary habits. In the absence of lifestyle modifications, the inflammation inherent in NASH persists and results in progressive fibrosis of the liver, which may lead to cirrhosis, ESLD, HCC, the need for liver transplant, and death. We believe one of the most promising pharmacologic approaches in development for NASH is a selective agonist of the beta subtype of the thyroid hormone receptor (THR-b), which, in clinical trials conducted by third parties, has demonstrated significant reduction in liver fat and inflammation, as well as the reduction in lipid levels in the serum, which may have important advantages in the NASH patient population that is at a high risk of cardiovascular co-morbidities. Utilizing our expertise in small molecule drug discovery, we identified ALG</w:t>
      </w:r>
      <w:r>
        <w:rPr>
          <w:rFonts w:ascii="MS PGothic" w:cs="MS PGothic" w:eastAsia="MS PGothic" w:hAnsi="MS PGothic"/>
          <w:sz w:val="16"/>
          <w:szCs w:val="16"/>
          <w:color w:val="auto"/>
        </w:rPr>
        <w:t>‑</w:t>
      </w:r>
      <w:r>
        <w:rPr>
          <w:rFonts w:ascii="Arial" w:cs="Arial" w:eastAsia="Arial" w:hAnsi="Arial"/>
          <w:sz w:val="16"/>
          <w:szCs w:val="16"/>
          <w:color w:val="auto"/>
        </w:rPr>
        <w:t>055009, a once-daily oral THR-b agonist. In nonclinical studies, ALG</w:t>
      </w:r>
      <w:r>
        <w:rPr>
          <w:rFonts w:ascii="MS PGothic" w:cs="MS PGothic" w:eastAsia="MS PGothic" w:hAnsi="MS PGothic"/>
          <w:sz w:val="16"/>
          <w:szCs w:val="16"/>
          <w:color w:val="auto"/>
        </w:rPr>
        <w:t>‑</w:t>
      </w:r>
      <w:r>
        <w:rPr>
          <w:rFonts w:ascii="Arial" w:cs="Arial" w:eastAsia="Arial" w:hAnsi="Arial"/>
          <w:sz w:val="16"/>
          <w:szCs w:val="16"/>
          <w:color w:val="auto"/>
        </w:rPr>
        <w:t>055009 has been shown to be substantially more potent compared to other THR-b agonists currently in development of which we are aware and may avoid some of their potential safety liabilities while having the potential to achieve equal or better efficacy. As a result, we believe ALG</w:t>
      </w:r>
      <w:r>
        <w:rPr>
          <w:rFonts w:ascii="MS PGothic" w:cs="MS PGothic" w:eastAsia="MS PGothic" w:hAnsi="MS PGothic"/>
          <w:sz w:val="16"/>
          <w:szCs w:val="16"/>
          <w:color w:val="auto"/>
        </w:rPr>
        <w:t>‑</w:t>
      </w:r>
      <w:r>
        <w:rPr>
          <w:rFonts w:ascii="Arial" w:cs="Arial" w:eastAsia="Arial" w:hAnsi="Arial"/>
          <w:sz w:val="16"/>
          <w:szCs w:val="16"/>
          <w:color w:val="auto"/>
        </w:rPr>
        <w:t>055009 has the potential to become an integral component of combination regimens to treat NASH. We intend to advance ALG</w:t>
      </w:r>
      <w:r>
        <w:rPr>
          <w:rFonts w:ascii="MS PGothic" w:cs="MS PGothic" w:eastAsia="MS PGothic" w:hAnsi="MS PGothic"/>
          <w:sz w:val="16"/>
          <w:szCs w:val="16"/>
          <w:color w:val="auto"/>
        </w:rPr>
        <w:t>‑</w:t>
      </w:r>
      <w:r>
        <w:rPr>
          <w:rFonts w:ascii="Arial" w:cs="Arial" w:eastAsia="Arial" w:hAnsi="Arial"/>
          <w:sz w:val="16"/>
          <w:szCs w:val="16"/>
          <w:color w:val="auto"/>
        </w:rPr>
        <w:t>055009 into clinical development in the second half of 2021.</w:t>
      </w:r>
    </w:p>
    <w:p>
      <w:pPr>
        <w:spacing w:after="0" w:line="206"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Our third area of focus is to develop pan-coronavirus treatment regimens. SARS-CoV-2 is responsible for the COVID-19 pandemic, which has been identified as a cause of more than ~2.4 million deaths worldwide as of February 2021. After MERS and SARS (SARS-CoV-1), SARS-CoV-2 is the third known coronavirus to have crossed over from animal species to humans in the past 20 years and cause significant morbidity and mortality. While multiple vaccines have recently become available, it is unlikely that vaccination will be fully efficacious and widely adopted, indicating that the need for effective therapeutic treatments will remain. Many of the drugs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260"/>
        <w:spacing w:after="0" w:line="254" w:lineRule="auto"/>
        <w:rPr>
          <w:sz w:val="20"/>
          <w:szCs w:val="20"/>
          <w:color w:val="auto"/>
        </w:rPr>
      </w:pPr>
      <w:r>
        <w:rPr>
          <w:rFonts w:ascii="Arial" w:cs="Arial" w:eastAsia="Arial" w:hAnsi="Arial"/>
          <w:sz w:val="18"/>
          <w:szCs w:val="18"/>
          <w:color w:val="auto"/>
        </w:rPr>
        <w:t>currently being evaluated have not been optimized for the treatment of coronavirus infections or SARS-CoV-2, specifically. There is a need for purpose-built drugs which are suitable across a broad range of coronaviruses, patient populations and clinical settings, including prophylactic and post-exposure settings. We believe that, similar to CHB, a combination of antiviral and/or immunomodulatory drugs which target multiple points in the viral replication cycle offers the best chance of success. To address this urgent, unmet medical need, we are in early stages of development for multiple drug candidates including siRNA/ASO and protease inhibitors that are specifically designed to interact with targets that are highly conserved across multiple coronaviruses. Each of these drug candidates is intended to have pan-coronavirus activity and to be used in combination regimens to maximize their antiviral activity.</w:t>
      </w:r>
    </w:p>
    <w:p>
      <w:pPr>
        <w:spacing w:after="0" w:line="195"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Our management team consists of a group of highly collaborative, culturally diverse executives with decades of drug discovery and development experience and a proven track record of success in the areas of viral infections and liver diseases. Most members of our management team have worked together across multiple companies, many for over a decade, and have been collectively involved in the discovery and/or development of a number of drugs that have been successfully commercialized, including Ganovo, Olysio, Sovaldi, Hepsera, Infergen, Valtrex, Sirturo, Neupogen, Andexxa and Esbriet, among others. In support of our management team, we also have assembled an industry-leading board of directors and a world-class group of scientific advisors with significant experience in drug development for viral and liver diseases. Finally, we have top-tier investors, including Boxer Capital of Tavistock Group, Cormorant Asset Management, Janus Henderson Investors, Logos Capital, Novo Holdings, Pivotal bioVenture Partners, Roche Venture Fund, Versant Ventures, Vivo Capital and Wellington Management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Our strategy is to develop pharmacologically optimized drug candidates for use in combination regimens designed to achieve improved treatment outcomes. Our initial areas of focus are viral and liver diseases where our team can leverage their in-depth knowledge and expertise to develop potentially best-in-class combination regimens addressing large areas of unmet medical need. The core elements of our business strategy include:</w:t>
      </w:r>
    </w:p>
    <w:p>
      <w:pPr>
        <w:spacing w:after="0" w:line="41" w:lineRule="exact"/>
        <w:rPr>
          <w:sz w:val="20"/>
          <w:szCs w:val="20"/>
          <w:color w:val="auto"/>
        </w:rPr>
      </w:pPr>
    </w:p>
    <w:p>
      <w:pPr>
        <w:ind w:left="1200" w:right="160" w:hanging="598"/>
        <w:spacing w:after="0" w:line="279"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Developing improved drug candidates against clinically validated targets. </w:t>
      </w:r>
      <w:r>
        <w:rPr>
          <w:rFonts w:ascii="Arial" w:cs="Arial" w:eastAsia="Arial" w:hAnsi="Arial"/>
          <w:sz w:val="17"/>
          <w:szCs w:val="17"/>
          <w:color w:val="auto"/>
        </w:rPr>
        <w:t>We leverage our oligonucleotide and small molecule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platforms to identify drug candidates with pharmacologically optimized characteristics compared to other drug candidates, including the potential for improved efficacy, safety and/or route of administration. By initially focusing on clinically validated targets, we increase the likelihood of demonstrating clinical efficacy and delivering optimized combination regimens.</w:t>
      </w:r>
    </w:p>
    <w:p>
      <w:pPr>
        <w:spacing w:after="0" w:line="63" w:lineRule="exact"/>
        <w:rPr>
          <w:rFonts w:ascii="Arial" w:cs="Arial" w:eastAsia="Arial" w:hAnsi="Arial"/>
          <w:sz w:val="17"/>
          <w:szCs w:val="17"/>
          <w:color w:val="auto"/>
        </w:rPr>
      </w:pPr>
    </w:p>
    <w:p>
      <w:pPr>
        <w:ind w:left="1200" w:right="380" w:hanging="598"/>
        <w:spacing w:after="0" w:line="275"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Creating combination regimens to achieve better outcomes. </w:t>
      </w:r>
      <w:r>
        <w:rPr>
          <w:rFonts w:ascii="Arial" w:cs="Arial" w:eastAsia="Arial" w:hAnsi="Arial"/>
          <w:sz w:val="17"/>
          <w:szCs w:val="17"/>
          <w:color w:val="auto"/>
        </w:rPr>
        <w:t>We believe that most chronic and viral diseases require combination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therapies for optimal treatment outcomes, and that combining individual drugs which can act additively or synergistically provides the greatest potential for enhanced efficacy. For each of our drug candidates, our strategy in Phase 1 is to rapidly evaluate safety and demonstrate proof of activity for each individual drug. Subsequently, we plan to combine multiple drug candidates in Phase 2 trials to identify optimized combination regimens to be advanced into pivotal trials.</w:t>
      </w:r>
    </w:p>
    <w:p>
      <w:pPr>
        <w:spacing w:after="0" w:line="68" w:lineRule="exact"/>
        <w:rPr>
          <w:rFonts w:ascii="Arial" w:cs="Arial" w:eastAsia="Arial" w:hAnsi="Arial"/>
          <w:sz w:val="17"/>
          <w:szCs w:val="17"/>
          <w:color w:val="auto"/>
        </w:rPr>
      </w:pPr>
    </w:p>
    <w:p>
      <w:pPr>
        <w:ind w:left="1200" w:right="60" w:hanging="598"/>
        <w:spacing w:after="0" w:line="219" w:lineRule="exact"/>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a functional cure for CHB. </w:t>
      </w:r>
      <w:r>
        <w:rPr>
          <w:rFonts w:ascii="Arial" w:cs="Arial" w:eastAsia="Arial" w:hAnsi="Arial"/>
          <w:sz w:val="18"/>
          <w:szCs w:val="18"/>
          <w:color w:val="auto"/>
        </w:rPr>
        <w:t>We have a portfolio of differentiated drug candidates for CHB, including a STOPS molecule,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molecule CAM, and other oligonucleotides (ASO and siRNA) each of which is designed to inhibit clinically validated, distinct and critical points in the HBV life cycle. Our two lead drug candidates for CHB, ALG</w:t>
      </w:r>
      <w:r>
        <w:rPr>
          <w:rFonts w:ascii="MS PGothic" w:cs="MS PGothic" w:eastAsia="MS PGothic" w:hAnsi="MS PGothic"/>
          <w:sz w:val="18"/>
          <w:szCs w:val="18"/>
          <w:color w:val="auto"/>
        </w:rPr>
        <w:t>‑</w:t>
      </w:r>
      <w:r>
        <w:rPr>
          <w:rFonts w:ascii="Arial" w:cs="Arial" w:eastAsia="Arial" w:hAnsi="Arial"/>
          <w:sz w:val="18"/>
          <w:szCs w:val="18"/>
          <w:color w:val="auto"/>
        </w:rPr>
        <w:t>010133, a STOPS molecule, and ALG</w:t>
      </w:r>
      <w:r>
        <w:rPr>
          <w:rFonts w:ascii="MS PGothic" w:cs="MS PGothic" w:eastAsia="MS PGothic" w:hAnsi="MS PGothic"/>
          <w:sz w:val="18"/>
          <w:szCs w:val="18"/>
          <w:color w:val="auto"/>
        </w:rPr>
        <w:t>‑</w:t>
      </w:r>
      <w:r>
        <w:rPr>
          <w:rFonts w:ascii="Arial" w:cs="Arial" w:eastAsia="Arial" w:hAnsi="Arial"/>
          <w:sz w:val="18"/>
          <w:szCs w:val="18"/>
          <w:color w:val="auto"/>
        </w:rPr>
        <w:t>000184, a CAM, are currently in Phase 1 trials. Based on nonclinical studies, we believe that each of these drug candidates has demonstrated strong potential relative to other drugs in development. In combination, we expect our drug candidates to provide greater viral suppression, potentially leading to higher rates of functional cure.</w:t>
      </w:r>
    </w:p>
    <w:p>
      <w:pPr>
        <w:spacing w:after="0" w:line="94" w:lineRule="exact"/>
        <w:rPr>
          <w:rFonts w:ascii="Arial" w:cs="Arial" w:eastAsia="Arial" w:hAnsi="Arial"/>
          <w:sz w:val="18"/>
          <w:szCs w:val="18"/>
          <w:color w:val="auto"/>
        </w:rPr>
      </w:pPr>
    </w:p>
    <w:p>
      <w:pPr>
        <w:ind w:left="1200" w:right="100" w:hanging="598"/>
        <w:spacing w:after="0" w:line="272"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Expanding our development capabilities and pipeline. </w:t>
      </w:r>
      <w:r>
        <w:rPr>
          <w:rFonts w:ascii="Arial" w:cs="Arial" w:eastAsia="Arial" w:hAnsi="Arial"/>
          <w:sz w:val="17"/>
          <w:szCs w:val="17"/>
          <w:color w:val="auto"/>
        </w:rPr>
        <w:t>We are utilizing our in-house discovery expertise to continually improve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existing drug candidates by identifying promising backup candidates and exploring novel and emerging drug targets in viral and liver diseases. We are also evaluating novel mechanisms of action with the potential to complement our current pipeline. To further supplement our internal discovery and development efforts, we actively evaluate external technology platforms and assets for future development candidates for liver and viral diseases. To date, we have secured licenses for technology from Emory, Luxna and AM Chemicals, LLC (AM Chemicals), and have entered into collaborations with KU Leuven’s Rega Institute for Medical Research, as well as its Centre for Drug Design and Discovery, and Merck Sharp &amp; Dohme Corp., a subsidiary of Merck &amp; Co.,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1200" w:right="20"/>
        <w:spacing w:after="0" w:line="277" w:lineRule="auto"/>
        <w:rPr>
          <w:sz w:val="20"/>
          <w:szCs w:val="20"/>
          <w:color w:val="auto"/>
        </w:rPr>
      </w:pPr>
      <w:r>
        <w:rPr>
          <w:rFonts w:ascii="Arial" w:cs="Arial" w:eastAsia="Arial" w:hAnsi="Arial"/>
          <w:sz w:val="18"/>
          <w:szCs w:val="18"/>
          <w:color w:val="auto"/>
        </w:rPr>
        <w:t>Inc. (known outside of the United States and Canada as MSD) (which Merck Sharp &amp; Dohme Corp., or Merck &amp; Co., Inc., individually or together, are referred to herein as “Merck”).</w:t>
      </w:r>
    </w:p>
    <w:p>
      <w:pPr>
        <w:spacing w:after="0" w:line="62" w:lineRule="exact"/>
        <w:rPr>
          <w:sz w:val="20"/>
          <w:szCs w:val="20"/>
          <w:color w:val="auto"/>
        </w:rPr>
      </w:pPr>
    </w:p>
    <w:p>
      <w:pPr>
        <w:ind w:left="1160" w:hanging="572"/>
        <w:spacing w:after="0" w:line="296"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Maximizing the value of our drug candidates. </w:t>
      </w:r>
      <w:r>
        <w:rPr>
          <w:rFonts w:ascii="Arial" w:cs="Arial" w:eastAsia="Arial" w:hAnsi="Arial"/>
          <w:sz w:val="16"/>
          <w:szCs w:val="16"/>
          <w:color w:val="auto"/>
        </w:rPr>
        <w:t>We currently hold worldwide development and commercialization rights,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exclusive licenses, to all of our drug candidates. We intend to pursue independent development and commercialization in select indications and markets that we can address with a specialty sales and marketing organization. We may opportunistically explore additional licensing agreements, collaborations or partnerships to develop our drug candidates in larger market indications where we could accelerate development utilizing the resources of larger biopharmaceutical companies, or to commercialize them in specific geographies.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research and development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oligonucleotide and small molecule platforms allow us to discover drug candidates that can be used to develop potentially best-in-</w:t>
      </w:r>
    </w:p>
    <w:p>
      <w:pPr>
        <w:spacing w:after="0" w:line="35"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class combination regimens. Oligonucleotide approaches enable specific inhibition of the translation of viral or host genes to affect a desired outcome that would be challenging to achieve with traditional small molecules. We believe the diversity of chemical matter we can generate with these complementary modalities broadens the range of therapeutic targets we can address with our platforms and provides us with a differentiated set of in-house capabilities to use in developing novel, optimized combination regimens across all of our current areas of focus.</w:t>
      </w:r>
    </w:p>
    <w:p>
      <w:pPr>
        <w:spacing w:after="0" w:line="176"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Our approach of combining multiple mechanisms from these distinct modalities is based on the observation that most chronic diseases, whether extrinsic (e.g., HIV and Hepatitis C) or intrinsic (e.g., metabolic syndrome conditions such as hypertension and diabetes), often require combination therapy to achieve optimal outcomes. Combination approaches have the advantage of simultaneously targeting multiple pathways and can act broadly and potentially synergistically. Particularly in the case of viral diseases, the simultaneous use of multiple drugs in combination can increase the barrier to viral resistance. As part of our drug candidate screening paradigm, we perform in vitro combination studies to ensure that none of the combinations we plan to evaluate clinically demonstrate antagonistic interactions.</w:t>
      </w:r>
    </w:p>
    <w:p>
      <w:pPr>
        <w:spacing w:after="0" w:line="178"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Our team has extensive end-to-end drug discovery and development experience across multiple therapeutic areas and disciplines. Our clinical development strategy leverages past experience to rapidly advance drug candidates towards optimized combination regimens. We have strengthened our platforms by in-licensing select intellectual property, which, together with our in-house expertise, allows us to develop novel and proprietary drug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Oligonucleotide platform</w:t>
      </w:r>
    </w:p>
    <w:p>
      <w:pPr>
        <w:spacing w:after="0" w:line="117" w:lineRule="exact"/>
        <w:rPr>
          <w:sz w:val="20"/>
          <w:szCs w:val="20"/>
          <w:color w:val="auto"/>
        </w:rPr>
      </w:pPr>
    </w:p>
    <w:p>
      <w:pPr>
        <w:ind w:right="40" w:firstLine="589"/>
        <w:spacing w:after="0" w:line="219" w:lineRule="exact"/>
        <w:rPr>
          <w:sz w:val="20"/>
          <w:szCs w:val="20"/>
          <w:color w:val="auto"/>
        </w:rPr>
      </w:pPr>
      <w:r>
        <w:rPr>
          <w:rFonts w:ascii="Arial" w:cs="Arial" w:eastAsia="Arial" w:hAnsi="Arial"/>
          <w:sz w:val="18"/>
          <w:szCs w:val="18"/>
          <w:color w:val="auto"/>
        </w:rPr>
        <w:t>We have multiple distinct modalities within our oligonucleotide platform, including STOPS molecules, ASOs, and siRNAs. We have developed a portfolio of oligonucleotide drug candidates for the treatment of CHB, including: ALG</w:t>
      </w:r>
      <w:r>
        <w:rPr>
          <w:rFonts w:ascii="MS PGothic" w:cs="MS PGothic" w:eastAsia="MS PGothic" w:hAnsi="MS PGothic"/>
          <w:sz w:val="18"/>
          <w:szCs w:val="18"/>
          <w:color w:val="auto"/>
        </w:rPr>
        <w:t>‑</w:t>
      </w:r>
      <w:r>
        <w:rPr>
          <w:rFonts w:ascii="Arial" w:cs="Arial" w:eastAsia="Arial" w:hAnsi="Arial"/>
          <w:sz w:val="18"/>
          <w:szCs w:val="18"/>
          <w:color w:val="auto"/>
        </w:rPr>
        <w:t>010133, a STOPS molecule drug candidate; ALG</w:t>
      </w:r>
      <w:r>
        <w:rPr>
          <w:rFonts w:ascii="MS PGothic" w:cs="MS PGothic" w:eastAsia="MS PGothic" w:hAnsi="MS PGothic"/>
          <w:sz w:val="18"/>
          <w:szCs w:val="18"/>
          <w:color w:val="auto"/>
        </w:rPr>
        <w:t>‑</w:t>
      </w:r>
      <w:r>
        <w:rPr>
          <w:rFonts w:ascii="Arial" w:cs="Arial" w:eastAsia="Arial" w:hAnsi="Arial"/>
          <w:sz w:val="18"/>
          <w:szCs w:val="18"/>
          <w:color w:val="auto"/>
        </w:rPr>
        <w:t>020572, an ASO drug candidate; and ALG</w:t>
      </w:r>
      <w:r>
        <w:rPr>
          <w:rFonts w:ascii="MS PGothic" w:cs="MS PGothic" w:eastAsia="MS PGothic" w:hAnsi="MS PGothic"/>
          <w:sz w:val="18"/>
          <w:szCs w:val="18"/>
          <w:color w:val="auto"/>
        </w:rPr>
        <w:t>‑</w:t>
      </w:r>
      <w:r>
        <w:rPr>
          <w:rFonts w:ascii="Arial" w:cs="Arial" w:eastAsia="Arial" w:hAnsi="Arial"/>
          <w:sz w:val="18"/>
          <w:szCs w:val="18"/>
          <w:color w:val="auto"/>
        </w:rPr>
        <w:t>125755, an siRNA drug candidate. In addition, we are leveraging our oligonucleotide platform to develop drug candidates for coronaviruses and other diseases, which includes entering into a collaboration with Merck to discover and develop oligonucleotides against an undisclosed target for the treatment of NASH.</w:t>
      </w:r>
    </w:p>
    <w:p>
      <w:pPr>
        <w:spacing w:after="0" w:line="205" w:lineRule="exact"/>
        <w:rPr>
          <w:sz w:val="20"/>
          <w:szCs w:val="20"/>
          <w:color w:val="auto"/>
        </w:rPr>
      </w:pPr>
    </w:p>
    <w:p>
      <w:pPr>
        <w:ind w:right="380" w:firstLine="589"/>
        <w:spacing w:after="0" w:line="263" w:lineRule="auto"/>
        <w:rPr>
          <w:sz w:val="20"/>
          <w:szCs w:val="20"/>
          <w:color w:val="auto"/>
        </w:rPr>
      </w:pPr>
      <w:r>
        <w:rPr>
          <w:rFonts w:ascii="Arial" w:cs="Arial" w:eastAsia="Arial" w:hAnsi="Arial"/>
          <w:sz w:val="18"/>
          <w:szCs w:val="18"/>
          <w:color w:val="auto"/>
        </w:rPr>
        <w:t>We have exclusively licensed proprietary technologies that enhance our oligonucleotide platform. These technologies include third generation bridged nucleic acid (BNA) and N-acetylgalactosamine (GalNAc) chemistries, which can improve liver targeting, increase potency and enhance pharmacokinetic properties.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S-antigen Transport-inhibiting Oligonucleotide Polymers (STOPS) molecules</w:t>
      </w:r>
    </w:p>
    <w:p>
      <w:pPr>
        <w:spacing w:after="0" w:line="117" w:lineRule="exact"/>
        <w:rPr>
          <w:sz w:val="20"/>
          <w:szCs w:val="20"/>
          <w:color w:val="auto"/>
        </w:rPr>
      </w:pPr>
    </w:p>
    <w:p>
      <w:pPr>
        <w:ind w:right="260" w:firstLine="589"/>
        <w:spacing w:after="0" w:line="219" w:lineRule="exact"/>
        <w:rPr>
          <w:sz w:val="20"/>
          <w:szCs w:val="20"/>
          <w:color w:val="auto"/>
        </w:rPr>
      </w:pPr>
      <w:r>
        <w:rPr>
          <w:rFonts w:ascii="Arial" w:cs="Arial" w:eastAsia="Arial" w:hAnsi="Arial"/>
          <w:sz w:val="17"/>
          <w:szCs w:val="17"/>
          <w:color w:val="auto"/>
        </w:rPr>
        <w:t>STOPS molecules are oligonucleotides which in vitro reduce the levels of key HBV viral markers, including HBsAg. They share structural similarity with NAPs such as IV-administered REP 2139 and REP 2165, which, when used in combination with nucleos(t)ides analogs and peg-IFNα in clinical trials conducted by others, have demonstrated significant declines in key HBV viral markers and increased functional cure rates over current standard of care. Our STOPS molecules, such as our lead drug candidate ALG</w:t>
      </w:r>
      <w:r>
        <w:rPr>
          <w:rFonts w:ascii="MS PGothic" w:cs="MS PGothic" w:eastAsia="MS PGothic" w:hAnsi="MS PGothic"/>
          <w:sz w:val="17"/>
          <w:szCs w:val="17"/>
          <w:color w:val="auto"/>
        </w:rPr>
        <w:t>‑</w:t>
      </w:r>
      <w:r>
        <w:rPr>
          <w:rFonts w:ascii="Arial" w:cs="Arial" w:eastAsia="Arial" w:hAnsi="Arial"/>
          <w:sz w:val="17"/>
          <w:szCs w:val="17"/>
          <w:color w:val="auto"/>
        </w:rPr>
        <w:t>010133, have been highly optimized and contain several novel chemical features, leading to enhanced in vitro potency and allowing for subcutaneous dosing.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Antisense oligonucleotides (ASOs)</w:t>
      </w:r>
    </w:p>
    <w:p>
      <w:pPr>
        <w:spacing w:after="0" w:line="117" w:lineRule="exact"/>
        <w:rPr>
          <w:sz w:val="20"/>
          <w:szCs w:val="20"/>
          <w:color w:val="auto"/>
        </w:rPr>
      </w:pPr>
    </w:p>
    <w:p>
      <w:pPr>
        <w:ind w:right="60" w:firstLine="589"/>
        <w:spacing w:after="0" w:line="220" w:lineRule="exact"/>
        <w:rPr>
          <w:sz w:val="20"/>
          <w:szCs w:val="20"/>
          <w:color w:val="auto"/>
        </w:rPr>
      </w:pPr>
      <w:r>
        <w:rPr>
          <w:rFonts w:ascii="Arial" w:cs="Arial" w:eastAsia="Arial" w:hAnsi="Arial"/>
          <w:sz w:val="18"/>
          <w:szCs w:val="18"/>
          <w:color w:val="auto"/>
        </w:rPr>
        <w:t>ASOs are single-stranded DNA or RNA molecules that interfere with viral replication by binding to and down-regulating mRNA expression, preventing subsequent protein translation. This technology has been validated across multiple indications, including CHB, where significant reductions in viral markers have been observed. We have discovered potent, liver-targeted ASOs, including ALG</w:t>
      </w:r>
      <w:r>
        <w:rPr>
          <w:rFonts w:ascii="MS PGothic" w:cs="MS PGothic" w:eastAsia="MS PGothic" w:hAnsi="MS PGothic"/>
          <w:sz w:val="18"/>
          <w:szCs w:val="18"/>
          <w:color w:val="auto"/>
        </w:rPr>
        <w:t>‑</w:t>
      </w:r>
      <w:r>
        <w:rPr>
          <w:rFonts w:ascii="Arial" w:cs="Arial" w:eastAsia="Arial" w:hAnsi="Arial"/>
          <w:sz w:val="18"/>
          <w:szCs w:val="18"/>
          <w:color w:val="auto"/>
        </w:rPr>
        <w:t>020572, which has demonstrated a promising profile in nonclinical CHB models.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interfering RNAs (siRNAs)</w:t>
      </w:r>
    </w:p>
    <w:p>
      <w:pPr>
        <w:spacing w:after="0" w:line="117" w:lineRule="exact"/>
        <w:rPr>
          <w:sz w:val="20"/>
          <w:szCs w:val="20"/>
          <w:color w:val="auto"/>
        </w:rPr>
      </w:pPr>
    </w:p>
    <w:p>
      <w:pPr>
        <w:ind w:right="80" w:firstLine="589"/>
        <w:spacing w:after="0" w:line="220" w:lineRule="exact"/>
        <w:rPr>
          <w:sz w:val="20"/>
          <w:szCs w:val="20"/>
          <w:color w:val="auto"/>
        </w:rPr>
      </w:pPr>
      <w:r>
        <w:rPr>
          <w:rFonts w:ascii="Arial" w:cs="Arial" w:eastAsia="Arial" w:hAnsi="Arial"/>
          <w:sz w:val="18"/>
          <w:szCs w:val="18"/>
          <w:color w:val="auto"/>
        </w:rPr>
        <w:t>siRNAs are a class of double-stranded RNA that interfere with viral replication by silencing gene expression and subsequent protein translation. siRNAs have shown efficacy across multiple indications, including CHB, where significant reductions in viral markers have been observed. Our novel and proprietary siRNA technology has resulted in the identification of molecules, including ALG</w:t>
      </w:r>
      <w:r>
        <w:rPr>
          <w:rFonts w:ascii="MS PGothic" w:cs="MS PGothic" w:eastAsia="MS PGothic" w:hAnsi="MS PGothic"/>
          <w:sz w:val="18"/>
          <w:szCs w:val="18"/>
          <w:color w:val="auto"/>
        </w:rPr>
        <w:t>‑</w:t>
      </w:r>
      <w:r>
        <w:rPr>
          <w:rFonts w:ascii="Arial" w:cs="Arial" w:eastAsia="Arial" w:hAnsi="Arial"/>
          <w:sz w:val="18"/>
          <w:szCs w:val="18"/>
          <w:color w:val="auto"/>
        </w:rPr>
        <w:t>125755, that have demonstrated high potency and long-lasting durability in nonclinical CHB models.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molecule platform</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Our team has the capability and experience to rapidly identify and optimize small molecules, including traditional small molecules, peptidomimetics and prodrugs. Our team has a strong track record of developing and commercializing small molecule drug candidates. We use state-of-the-art computational chemistry and crystallography to enable structure-guided drug design. We have applied this approach to the multidimensional optimization of potential drug candidates in multiple therapeutic areas, including for viral and liver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small molecules</w:t>
      </w:r>
    </w:p>
    <w:p>
      <w:pPr>
        <w:spacing w:after="0" w:line="117" w:lineRule="exact"/>
        <w:rPr>
          <w:sz w:val="20"/>
          <w:szCs w:val="20"/>
          <w:color w:val="auto"/>
        </w:rPr>
      </w:pPr>
    </w:p>
    <w:p>
      <w:pPr>
        <w:ind w:right="80" w:firstLine="589"/>
        <w:spacing w:after="0" w:line="220" w:lineRule="exact"/>
        <w:rPr>
          <w:sz w:val="20"/>
          <w:szCs w:val="20"/>
          <w:color w:val="auto"/>
        </w:rPr>
      </w:pPr>
      <w:r>
        <w:rPr>
          <w:rFonts w:ascii="Arial" w:cs="Arial" w:eastAsia="Arial" w:hAnsi="Arial"/>
          <w:sz w:val="16"/>
          <w:szCs w:val="16"/>
          <w:color w:val="auto"/>
        </w:rPr>
        <w:t>To date, traditional small molecules represent the vast majority of approved drugs and are the primary chemistry approach used for drug discovery. CAMs are small molecules that have been shown to significantly reduce viral markers in CHB patients in clinical studies. Applying our small molecule platform, we have identified ALG</w:t>
      </w:r>
      <w:r>
        <w:rPr>
          <w:rFonts w:ascii="MS PGothic" w:cs="MS PGothic" w:eastAsia="MS PGothic" w:hAnsi="MS PGothic"/>
          <w:sz w:val="16"/>
          <w:szCs w:val="16"/>
          <w:color w:val="auto"/>
        </w:rPr>
        <w:t>‑</w:t>
      </w:r>
      <w:r>
        <w:rPr>
          <w:rFonts w:ascii="Arial" w:cs="Arial" w:eastAsia="Arial" w:hAnsi="Arial"/>
          <w:sz w:val="16"/>
          <w:szCs w:val="16"/>
          <w:color w:val="auto"/>
        </w:rPr>
        <w:t>001075, which has demonstrated improved in vitro potency and increased efficacy in nonclinical animal models, as compared to other CAM candidates that have advanced into the clinic. ALG</w:t>
      </w:r>
      <w:r>
        <w:rPr>
          <w:rFonts w:ascii="MS PGothic" w:cs="MS PGothic" w:eastAsia="MS PGothic" w:hAnsi="MS PGothic"/>
          <w:sz w:val="16"/>
          <w:szCs w:val="16"/>
          <w:color w:val="auto"/>
        </w:rPr>
        <w:t>‑</w:t>
      </w:r>
      <w:r>
        <w:rPr>
          <w:rFonts w:ascii="Arial" w:cs="Arial" w:eastAsia="Arial" w:hAnsi="Arial"/>
          <w:sz w:val="16"/>
          <w:szCs w:val="16"/>
          <w:color w:val="auto"/>
        </w:rPr>
        <w:t>001075 is currently being evaluated in a Phase 1 study as the</w:t>
      </w:r>
    </w:p>
    <w:p>
      <w:pPr>
        <w:spacing w:after="0" w:line="1"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prodrug ALG</w:t>
      </w:r>
      <w:r>
        <w:rPr>
          <w:rFonts w:ascii="MS PGothic" w:cs="MS PGothic" w:eastAsia="MS PGothic" w:hAnsi="MS PGothic"/>
          <w:sz w:val="18"/>
          <w:szCs w:val="18"/>
          <w:color w:val="auto"/>
        </w:rPr>
        <w:t>‑</w:t>
      </w:r>
      <w:r>
        <w:rPr>
          <w:rFonts w:ascii="Arial" w:cs="Arial" w:eastAsia="Arial" w:hAnsi="Arial"/>
          <w:sz w:val="18"/>
          <w:szCs w:val="18"/>
          <w:color w:val="auto"/>
        </w:rPr>
        <w:t>000184. THR-b agonists are small molecules that have been shown to significantly reduce circulating lipid levels and improve liver histology in patients with NASH. We have discovered ALG</w:t>
      </w:r>
      <w:r>
        <w:rPr>
          <w:rFonts w:ascii="MS PGothic" w:cs="MS PGothic" w:eastAsia="MS PGothic" w:hAnsi="MS PGothic"/>
          <w:sz w:val="18"/>
          <w:szCs w:val="18"/>
          <w:color w:val="auto"/>
        </w:rPr>
        <w:t>‑</w:t>
      </w:r>
      <w:r>
        <w:rPr>
          <w:rFonts w:ascii="Arial" w:cs="Arial" w:eastAsia="Arial" w:hAnsi="Arial"/>
          <w:sz w:val="18"/>
          <w:szCs w:val="18"/>
          <w:color w:val="auto"/>
        </w:rPr>
        <w:t>055009, a THR-b agonist that has demonstrated improved potency in vitro and increased efficacy in nonclinical animal models relative to other THR-b agonists in Phase 2 or later stages of development.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Peptidomimetics</w:t>
      </w:r>
    </w:p>
    <w:p>
      <w:pPr>
        <w:spacing w:after="0" w:line="117"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Peptidomimetics are small molecules derived from short polypeptides that can be used as drug candidates against multiple targets. The peptidomimetic approach has been successfully used in the antiviral field to develop protease inhibitor drugs against Hepatitis C virus (HCV) and human immunodeficiency virus (HIV). Our team has discovered multiple potential nanomolar potency drug candidates targeting the 3C-Like protease of coronaviruses. These projects are moving towards the identification of a lead drug candidate with potentially broad spectrum activity against COVID-19, SARS, MERS, and possibly other emergent coronaviruses.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molecule prodrugs</w:t>
      </w:r>
    </w:p>
    <w:p>
      <w:pPr>
        <w:spacing w:after="0" w:line="117" w:lineRule="exact"/>
        <w:rPr>
          <w:sz w:val="20"/>
          <w:szCs w:val="20"/>
          <w:color w:val="auto"/>
        </w:rPr>
      </w:pPr>
    </w:p>
    <w:p>
      <w:pPr>
        <w:ind w:right="180" w:firstLine="589"/>
        <w:spacing w:after="0" w:line="220" w:lineRule="exact"/>
        <w:rPr>
          <w:sz w:val="20"/>
          <w:szCs w:val="20"/>
          <w:color w:val="auto"/>
        </w:rPr>
      </w:pPr>
      <w:r>
        <w:rPr>
          <w:rFonts w:ascii="Arial" w:cs="Arial" w:eastAsia="Arial" w:hAnsi="Arial"/>
          <w:sz w:val="18"/>
          <w:szCs w:val="18"/>
          <w:color w:val="auto"/>
        </w:rPr>
        <w:t>A prodrug is a compound that, after administration, is metabolized into the pharmacologically active parent drug. We use small molecule prodrug chemistry to optimize the drug-like properties of drug candidates to improve their solubility and pharmacokinetics. We have successfully applied this approach to ALG</w:t>
      </w:r>
      <w:r>
        <w:rPr>
          <w:rFonts w:ascii="MS PGothic" w:cs="MS PGothic" w:eastAsia="MS PGothic" w:hAnsi="MS PGothic"/>
          <w:sz w:val="18"/>
          <w:szCs w:val="18"/>
          <w:color w:val="auto"/>
        </w:rPr>
        <w:t>‑</w:t>
      </w:r>
      <w:r>
        <w:rPr>
          <w:rFonts w:ascii="Arial" w:cs="Arial" w:eastAsia="Arial" w:hAnsi="Arial"/>
          <w:sz w:val="18"/>
          <w:szCs w:val="18"/>
          <w:color w:val="auto"/>
        </w:rPr>
        <w:t>001075 to create ALG</w:t>
      </w:r>
      <w:r>
        <w:rPr>
          <w:rFonts w:ascii="MS PGothic" w:cs="MS PGothic" w:eastAsia="MS PGothic" w:hAnsi="MS PGothic"/>
          <w:sz w:val="18"/>
          <w:szCs w:val="18"/>
          <w:color w:val="auto"/>
        </w:rPr>
        <w:t>‑</w:t>
      </w:r>
      <w:r>
        <w:rPr>
          <w:rFonts w:ascii="Arial" w:cs="Arial" w:eastAsia="Arial" w:hAnsi="Arial"/>
          <w:sz w:val="18"/>
          <w:szCs w:val="18"/>
          <w:color w:val="auto"/>
        </w:rPr>
        <w:t>000184, which is our lead CAM drug candidate, and which is currently being evaluated in the clinic for the treatment of CHB.</w:t>
      </w:r>
    </w:p>
    <w:p>
      <w:pPr>
        <w:spacing w:after="0" w:line="204"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We are engaged in multiple other small molecule discovery efforts to identify additional potentially best-in-class drug candidates for the treatment of CHB, NASH and coronaviruses.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approach to developing potentially best-in-class therapeutic combinations</w:t>
      </w:r>
    </w:p>
    <w:p>
      <w:pPr>
        <w:spacing w:after="0" w:line="11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Our approach to developing potentially best-in-class regimens for our therapeutic areas of interest leverages the most promising modalities from our oligonucleotide and small molecule platforms to advance rapidly from monotherapy Phase 1 trials into Phase 2 combination trials. As a first step, we evaluate the safety and activity of each drug candidate in healthy volunteers and patients with the disease of interest. We intend to then efficiently evaluate drug candidates shown to have activity in Phase 1 in various combinations in Phase 2 platform protocols to enable us to identify optimized combination regimens that will then be evaluated in Phase 3 pivotal trials. The combinations we evaluate may include additional drug candidates or current standard of care. Throughout all phases of clinical development, pre-specified adaptive study rules allow real-time adjustment of trial conduct based on emerging clinical trial data. These practices allow us to gain a rapid understanding of the risk/benefit profile for our individual drug candidates and combination regimens, and iteratively refine our strategy based on emerging data. This approach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114300</wp:posOffset>
            </wp:positionV>
            <wp:extent cx="5134610" cy="1663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3461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320" w:firstLine="589"/>
        <w:spacing w:after="0" w:line="286" w:lineRule="auto"/>
        <w:rPr>
          <w:sz w:val="20"/>
          <w:szCs w:val="20"/>
          <w:color w:val="auto"/>
        </w:rPr>
      </w:pPr>
      <w:r>
        <w:rPr>
          <w:rFonts w:ascii="Arial" w:cs="Arial" w:eastAsia="Arial" w:hAnsi="Arial"/>
          <w:sz w:val="16"/>
          <w:szCs w:val="16"/>
          <w:color w:val="auto"/>
        </w:rPr>
        <w:t>We are focused on viral and liver diseases, areas in which our employees have expertise and decades of experience. Our most advanced drug candidates are designed for use in CHB to achieve higher rates of functional cure, which we believe will require the use of a combination of drugs with complementary mechanisms of action (MOA). Each of our CHB modalities plays an important role in disrupting the HBV life cycle and, in nonclinical studies, certain combinations have been shown to act additively or synergistically. We are also advancing a THR-ß agonist for NASH and purpose-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built drug candidates for coronaviruses. We also have a collaboration with Merck to discover and develop oligonucleotides against an undisclosed target for the treatment of NASH. As with CHB, we believe combination therapy will be critical for improved patient outcomes in these disease settings and intend to combine our drug candidates with others that have potentially complementary MOAs.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129540</wp:posOffset>
            </wp:positionV>
            <wp:extent cx="5340350" cy="2297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035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cure for CHB</w:t>
      </w:r>
    </w:p>
    <w:p>
      <w:pPr>
        <w:spacing w:after="0" w:line="121"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CHB is the most common viral infection in the world and an area of substantial unmet medical need. There were over 290 million chronic carriers worldwide as of July 2020 and approximately 30 million individuals become newly infected every year despite the availability of a prophylactic vaccine. In 2015, there were more than 90 million cases of CHB in China alone, while the EU, United States and Japan accounted for nearly 8 million cases. Complications from CHB include cirrhosis, end-stage liver disease, and hepatocellular carcinoma, which collectively resulted in approximately 900,000 deaths in 2015, according to the World Health Organization. CHB is the primary cause of liver cancer worldwide, and the mortality associated with HBV-related liver cancer continues to increase.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 w:name="page14"/>
    <w:bookmarkEnd w:id="13"/>
    <w:p>
      <w:pPr>
        <w:ind w:right="80" w:firstLine="589"/>
        <w:spacing w:after="0" w:line="296" w:lineRule="auto"/>
        <w:rPr>
          <w:sz w:val="20"/>
          <w:szCs w:val="20"/>
          <w:color w:val="auto"/>
        </w:rPr>
      </w:pPr>
      <w:r>
        <w:rPr>
          <w:rFonts w:ascii="Arial" w:cs="Arial" w:eastAsia="Arial" w:hAnsi="Arial"/>
          <w:sz w:val="16"/>
          <w:szCs w:val="16"/>
          <w:color w:val="auto"/>
        </w:rPr>
        <w:t>Current therapy for CHB may entail life-long treatment and does not eliminate the virus in a meaningful number of patients. In the case of nucleos(t)ide analogs, long-term treatment can lower the amount of HBV DNA in circulation, resulting in improvements in long-term disease outcomes, but virological relapse is common after treatment cessation. Our goal is to achieve meaningful rates of functional cure, which is defined as a sustained loss of HBsAg with or without hepatitis B surface antibody seroconversion. Our team’s years of experience in antiviral drug development suggest that only by developing a combination regimen targeting multiple mechanisms can meaningful functional cure rates for CHB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111760</wp:posOffset>
            </wp:positionV>
            <wp:extent cx="4997450" cy="2468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745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HBV is a small DNA virus consisting of a nucleocapsid in which the viral DNA is packaged together with the HBV polymerase by the hepatitis B core protein and a membranous envelope containing HBsAg. After infection of liver cells, HBV DNA is transformed in the nucleus into a stable viral mini-chromosome, which is composed of a cccDNA molecule, from which mRNAs encoding viral proteins are transcribed, and pgRNA, the template for the formation of new viral DNA genomes by reverse transcription. Parts of the viral genome can integrate into the host genome, which is thought to contribute to the production of HBsAg in chronically infected patients and play an important role in liver carcinogenesis, but the integrated viral genome does not produce infectious virus. HBsAg is known to prevent immune-mediated clearance of infected liver cells. HBsAg seroclearance correlates with significant decreases in cccDNA levels and implies immune control of HBV, indicating the need to reduce HBsAg to achieve functional cure.</w:t>
      </w:r>
    </w:p>
    <w:p>
      <w:pPr>
        <w:spacing w:after="0" w:line="166"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have developed a portfolio of differentiated drug candidates for CHB, including a STOPS molecule, a small molecule CAM, and oligonucleotides (ASO and siRNA), each of which are designed to interfere with multiple clinically validated targets in the HBV life cycle and may lead to higher rates of functional cure when used in combination.</w:t>
      </w:r>
    </w:p>
    <w:p>
      <w:pPr>
        <w:spacing w:after="0" w:line="29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ALG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010133 (STOPS molecule) for CHB</w:t>
      </w:r>
    </w:p>
    <w:p>
      <w:pPr>
        <w:spacing w:after="0" w:line="117" w:lineRule="exact"/>
        <w:rPr>
          <w:sz w:val="20"/>
          <w:szCs w:val="20"/>
          <w:color w:val="auto"/>
        </w:rPr>
      </w:pPr>
    </w:p>
    <w:p>
      <w:pPr>
        <w:ind w:firstLine="589"/>
        <w:spacing w:after="0" w:line="217" w:lineRule="exact"/>
        <w:rPr>
          <w:sz w:val="20"/>
          <w:szCs w:val="20"/>
          <w:color w:val="auto"/>
        </w:rPr>
      </w:pPr>
      <w:r>
        <w:rPr>
          <w:rFonts w:ascii="Arial" w:cs="Arial" w:eastAsia="Arial" w:hAnsi="Arial"/>
          <w:sz w:val="16"/>
          <w:szCs w:val="16"/>
          <w:color w:val="auto"/>
        </w:rPr>
        <w:t>STOPS molecules share structural similarity with NAPs but contain several novel chemical features, providing enhanced potency in several HBV-infected cell lines. NAPs such as REP 2139 and REP 2165 have been reported to significantly reduce circulating HBsAg in patients with CHB when administered either as a monotherapy or as a combination therapy, resulting in multiple log</w:t>
      </w:r>
      <w:r>
        <w:rPr>
          <w:rFonts w:ascii="Arial" w:cs="Arial" w:eastAsia="Arial" w:hAnsi="Arial"/>
          <w:sz w:val="13"/>
          <w:szCs w:val="13"/>
          <w:color w:val="auto"/>
        </w:rPr>
        <w:t>10</w:t>
      </w:r>
      <w:r>
        <w:rPr>
          <w:rFonts w:ascii="Arial" w:cs="Arial" w:eastAsia="Arial" w:hAnsi="Arial"/>
          <w:sz w:val="16"/>
          <w:szCs w:val="16"/>
          <w:color w:val="auto"/>
        </w:rPr>
        <w:t xml:space="preserve"> IU/mL reductions in HBsAg levels. The Replicor 401 study, a study of NAPs in combination with tenofovir and pegylated interferon, reported a 39% functional cure rate. A major drawback of NAP drug candidates is the requirement for weekly IV infusions given over two hours for 48 weeks. However, by exploring the chemistry around the STOPS structure, we have optimized STOPS molecules for activity, dose frequency and subcutaneous delivery, potentially negating the need for lengthy IV infusions. Use of our STOPS molecules given via subcutaneous injections and in combination with other convenient drug regimens may improve treatment adherence and functional cure rates. Enrollment in the Phase 1 proof of concept trial of our lead STOPS molecule, ALG</w:t>
      </w:r>
      <w:r>
        <w:rPr>
          <w:rFonts w:ascii="MS PGothic" w:cs="MS PGothic" w:eastAsia="MS PGothic" w:hAnsi="MS PGothic"/>
          <w:sz w:val="16"/>
          <w:szCs w:val="16"/>
          <w:color w:val="auto"/>
        </w:rPr>
        <w:t>‑</w:t>
      </w:r>
      <w:r>
        <w:rPr>
          <w:rFonts w:ascii="Arial" w:cs="Arial" w:eastAsia="Arial" w:hAnsi="Arial"/>
          <w:sz w:val="16"/>
          <w:szCs w:val="16"/>
          <w:color w:val="auto"/>
        </w:rPr>
        <w:t>010133, is currently ongoing and we anticipate safety and antiviral data from the initial cohort(s) in the second half of 2021 and study completion in the second half 2022.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firstLine="589"/>
        <w:spacing w:after="0" w:line="218" w:lineRule="exact"/>
        <w:rPr>
          <w:sz w:val="20"/>
          <w:szCs w:val="20"/>
          <w:color w:val="auto"/>
        </w:rPr>
      </w:pPr>
      <w:r>
        <w:rPr>
          <w:rFonts w:ascii="Arial" w:cs="Arial" w:eastAsia="Arial" w:hAnsi="Arial"/>
          <w:sz w:val="16"/>
          <w:szCs w:val="16"/>
          <w:color w:val="auto"/>
        </w:rPr>
        <w:t>ALG</w:t>
      </w:r>
      <w:r>
        <w:rPr>
          <w:rFonts w:ascii="MS PGothic" w:cs="MS PGothic" w:eastAsia="MS PGothic" w:hAnsi="MS PGothic"/>
          <w:sz w:val="16"/>
          <w:szCs w:val="16"/>
          <w:color w:val="auto"/>
        </w:rPr>
        <w:t>‑</w:t>
      </w:r>
      <w:r>
        <w:rPr>
          <w:rFonts w:ascii="Arial" w:cs="Arial" w:eastAsia="Arial" w:hAnsi="Arial"/>
          <w:sz w:val="16"/>
          <w:szCs w:val="16"/>
          <w:color w:val="auto"/>
        </w:rPr>
        <w:t>010133 is a synthetic oligonucleotide discovered by our team and that we are developing for the treatment of CHB. We originally optimized existing compounds to generate ALG</w:t>
      </w:r>
      <w:r>
        <w:rPr>
          <w:rFonts w:ascii="MS PGothic" w:cs="MS PGothic" w:eastAsia="MS PGothic" w:hAnsi="MS PGothic"/>
          <w:sz w:val="16"/>
          <w:szCs w:val="16"/>
          <w:color w:val="auto"/>
        </w:rPr>
        <w:t>‑</w:t>
      </w:r>
      <w:r>
        <w:rPr>
          <w:rFonts w:ascii="Arial" w:cs="Arial" w:eastAsia="Arial" w:hAnsi="Arial"/>
          <w:sz w:val="16"/>
          <w:szCs w:val="16"/>
          <w:color w:val="auto"/>
        </w:rPr>
        <w:t>010133 by using nucleotide stabilization chemistry. Varying the length of the STOPS molecule revealed a length dependency on antiviral activity; potency was maintained at lengths of more than 34 nucleotides, and dramatically reduced at lengths of less than 30 nucleotides. Nucleotide sequence variations in STOPS molecules also had effects on activity. In addition to length and sequence, backbone and sugar chemistry were modified; activity was improved with site-specific incorporation of backbone chemistries. Collectively, these structural elements provided a framework for STOPS molecule design and were important for the progression of ALG</w:t>
      </w:r>
      <w:r>
        <w:rPr>
          <w:rFonts w:ascii="MS PGothic" w:cs="MS PGothic" w:eastAsia="MS PGothic" w:hAnsi="MS PGothic"/>
          <w:sz w:val="16"/>
          <w:szCs w:val="16"/>
          <w:color w:val="auto"/>
        </w:rPr>
        <w:t>‑</w:t>
      </w:r>
      <w:r>
        <w:rPr>
          <w:rFonts w:ascii="Arial" w:cs="Arial" w:eastAsia="Arial" w:hAnsi="Arial"/>
          <w:sz w:val="16"/>
          <w:szCs w:val="16"/>
          <w:color w:val="auto"/>
        </w:rPr>
        <w:t>010133 into clinical development.</w:t>
      </w:r>
    </w:p>
    <w:p>
      <w:pPr>
        <w:spacing w:after="0" w:line="206" w:lineRule="exact"/>
        <w:rPr>
          <w:sz w:val="20"/>
          <w:szCs w:val="20"/>
          <w:color w:val="auto"/>
        </w:rPr>
      </w:pPr>
    </w:p>
    <w:p>
      <w:pPr>
        <w:ind w:right="640" w:firstLine="589"/>
        <w:spacing w:after="0" w:line="291" w:lineRule="auto"/>
        <w:rPr>
          <w:sz w:val="20"/>
          <w:szCs w:val="20"/>
          <w:color w:val="auto"/>
        </w:rPr>
      </w:pPr>
      <w:r>
        <w:rPr>
          <w:rFonts w:ascii="Arial" w:cs="Arial" w:eastAsia="Arial" w:hAnsi="Arial"/>
          <w:sz w:val="16"/>
          <w:szCs w:val="16"/>
          <w:color w:val="auto"/>
        </w:rPr>
        <w:t>As shown in the figure and table below, transfection of STOPS molecules into multiple HBV-infected cell lines, including primary human hepatocytes, resulted in the inhibition of HBsAg release into the supernatant in a dose-dependent manner. In addition, transfection of close analogs</w:t>
      </w:r>
    </w:p>
    <w:p>
      <w:pPr>
        <w:ind w:right="20"/>
        <w:spacing w:after="0" w:line="216" w:lineRule="exact"/>
        <w:rPr>
          <w:sz w:val="20"/>
          <w:szCs w:val="20"/>
          <w:color w:val="auto"/>
        </w:rPr>
      </w:pPr>
      <w:r>
        <w:rPr>
          <w:rFonts w:ascii="Arial" w:cs="Arial" w:eastAsia="Arial" w:hAnsi="Arial"/>
          <w:sz w:val="18"/>
          <w:szCs w:val="18"/>
          <w:color w:val="auto"/>
        </w:rPr>
        <w:t>of ALG</w:t>
      </w:r>
      <w:r>
        <w:rPr>
          <w:rFonts w:ascii="MS PGothic" w:cs="MS PGothic" w:eastAsia="MS PGothic" w:hAnsi="MS PGothic"/>
          <w:sz w:val="18"/>
          <w:szCs w:val="18"/>
          <w:color w:val="auto"/>
        </w:rPr>
        <w:t>‑</w:t>
      </w:r>
      <w:r>
        <w:rPr>
          <w:rFonts w:ascii="Arial" w:cs="Arial" w:eastAsia="Arial" w:hAnsi="Arial"/>
          <w:sz w:val="18"/>
          <w:szCs w:val="18"/>
          <w:color w:val="auto"/>
        </w:rPr>
        <w:t>010133 were shown to decrease intracellular levels of HBsAg, indicating that this inhibition occurs inside the cell. This suggests that the inhibition of HBsAg release is not the result of only an inhibition of protein secretion, which would result in HBsAg accumulation within the cell, but instead could be the result of inhibition of synthesis and intracellular transport of HBsAg. The data below shows the comparison of ALG</w:t>
      </w:r>
      <w:r>
        <w:rPr>
          <w:rFonts w:ascii="MS PGothic" w:cs="MS PGothic" w:eastAsia="MS PGothic" w:hAnsi="MS PGothic"/>
          <w:sz w:val="18"/>
          <w:szCs w:val="18"/>
          <w:color w:val="auto"/>
        </w:rPr>
        <w:t>‑</w:t>
      </w:r>
      <w:r>
        <w:rPr>
          <w:rFonts w:ascii="Arial" w:cs="Arial" w:eastAsia="Arial" w:hAnsi="Arial"/>
          <w:sz w:val="18"/>
          <w:szCs w:val="18"/>
          <w:color w:val="auto"/>
        </w:rPr>
        <w:t>010133 to a NAP reference compound, ALG</w:t>
      </w:r>
      <w:r>
        <w:rPr>
          <w:rFonts w:ascii="MS PGothic" w:cs="MS PGothic" w:eastAsia="MS PGothic" w:hAnsi="MS PGothic"/>
          <w:sz w:val="18"/>
          <w:szCs w:val="18"/>
          <w:color w:val="auto"/>
        </w:rPr>
        <w:t>‑</w:t>
      </w:r>
      <w:r>
        <w:rPr>
          <w:rFonts w:ascii="Arial" w:cs="Arial" w:eastAsia="Arial" w:hAnsi="Arial"/>
          <w:sz w:val="18"/>
          <w:szCs w:val="18"/>
          <w:color w:val="auto"/>
        </w:rPr>
        <w:t>010004, which has an identical oligonucleotide sequence to REP 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138430</wp:posOffset>
            </wp:positionV>
            <wp:extent cx="5186045" cy="3737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86045"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The HepG2.2.15 cell line is a commonly used in vitro HBV cell model. The cells contain two copies of the Genotype D HBV genome that produce infectious HBV and other subviral particles. The HepG2-NTCP (Na+-taurocholate co-transporting polypeptide) cell line over-expresses the NTCP receptor and has been shown to be a robust cell culture system supporting the complete life cycle of HBV. HepG2-NTCP cells were infected with a Genotype D HBV laboratory strain. In this cell line, HBsAg and other HBV viral proteins are produced from RNA transcripts derived from HBV</w:t>
      </w:r>
    </w:p>
    <w:p>
      <w:pPr>
        <w:spacing w:after="0" w:line="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cccDNA. ALG</w:t>
      </w:r>
      <w:r>
        <w:rPr>
          <w:rFonts w:ascii="MS PGothic" w:cs="MS PGothic" w:eastAsia="MS PGothic" w:hAnsi="MS PGothic"/>
          <w:sz w:val="17"/>
          <w:szCs w:val="17"/>
          <w:color w:val="auto"/>
        </w:rPr>
        <w:t>‑</w:t>
      </w:r>
      <w:r>
        <w:rPr>
          <w:rFonts w:ascii="Arial" w:cs="Arial" w:eastAsia="Arial" w:hAnsi="Arial"/>
          <w:sz w:val="17"/>
          <w:szCs w:val="17"/>
          <w:color w:val="auto"/>
        </w:rPr>
        <w:t>010133 and ALG</w:t>
      </w:r>
      <w:r>
        <w:rPr>
          <w:rFonts w:ascii="MS PGothic" w:cs="MS PGothic" w:eastAsia="MS PGothic" w:hAnsi="MS PGothic"/>
          <w:sz w:val="17"/>
          <w:szCs w:val="17"/>
          <w:color w:val="auto"/>
        </w:rPr>
        <w:t>‑</w:t>
      </w:r>
      <w:r>
        <w:rPr>
          <w:rFonts w:ascii="Arial" w:cs="Arial" w:eastAsia="Arial" w:hAnsi="Arial"/>
          <w:sz w:val="17"/>
          <w:szCs w:val="17"/>
          <w:color w:val="auto"/>
        </w:rPr>
        <w:t>010004 were evaluated in the HepG2.2.15 cell line to assess HBsAg release in the supernatant and cell viability.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ind w:right="160" w:firstLine="589"/>
        <w:spacing w:after="0" w:line="221" w:lineRule="exact"/>
        <w:rPr>
          <w:sz w:val="20"/>
          <w:szCs w:val="20"/>
          <w:color w:val="auto"/>
        </w:rPr>
      </w:pPr>
      <w:r>
        <w:rPr>
          <w:rFonts w:ascii="Arial" w:cs="Arial" w:eastAsia="Arial" w:hAnsi="Arial"/>
          <w:sz w:val="18"/>
          <w:szCs w:val="18"/>
          <w:color w:val="auto"/>
        </w:rPr>
        <w:t>In addition, ALG</w:t>
      </w:r>
      <w:r>
        <w:rPr>
          <w:rFonts w:ascii="MS PGothic" w:cs="MS PGothic" w:eastAsia="MS PGothic" w:hAnsi="MS PGothic"/>
          <w:sz w:val="18"/>
          <w:szCs w:val="18"/>
          <w:color w:val="auto"/>
        </w:rPr>
        <w:t>‑</w:t>
      </w:r>
      <w:r>
        <w:rPr>
          <w:rFonts w:ascii="Arial" w:cs="Arial" w:eastAsia="Arial" w:hAnsi="Arial"/>
          <w:sz w:val="18"/>
          <w:szCs w:val="18"/>
          <w:color w:val="auto"/>
        </w:rPr>
        <w:t>010133 demonstrated potent activity in the inhibition of HBsAg release from a variety of infected cell types with half-maximal effective concentration (EC</w:t>
      </w:r>
      <w:r>
        <w:rPr>
          <w:rFonts w:ascii="Arial" w:cs="Arial" w:eastAsia="Arial" w:hAnsi="Arial"/>
          <w:sz w:val="15"/>
          <w:szCs w:val="15"/>
          <w:color w:val="auto"/>
        </w:rPr>
        <w:t>50</w:t>
      </w:r>
      <w:r>
        <w:rPr>
          <w:rFonts w:ascii="Arial" w:cs="Arial" w:eastAsia="Arial" w:hAnsi="Arial"/>
          <w:sz w:val="18"/>
          <w:szCs w:val="18"/>
          <w:color w:val="auto"/>
        </w:rPr>
        <w:t>) values ≤22.5 nM when tested against cells infected with all major HBV genotypes (A, B, C, and D), indicating that ALG</w:t>
      </w:r>
      <w:r>
        <w:rPr>
          <w:rFonts w:ascii="MS PGothic" w:cs="MS PGothic" w:eastAsia="MS PGothic" w:hAnsi="MS PGothic"/>
          <w:sz w:val="18"/>
          <w:szCs w:val="18"/>
          <w:color w:val="auto"/>
        </w:rPr>
        <w:t>‑</w:t>
      </w:r>
      <w:r>
        <w:rPr>
          <w:rFonts w:ascii="Arial" w:cs="Arial" w:eastAsia="Arial" w:hAnsi="Arial"/>
          <w:sz w:val="18"/>
          <w:szCs w:val="18"/>
          <w:color w:val="auto"/>
        </w:rPr>
        <w:t>010133 may have pan-genotypic activity in CHB patients. Further, in patients with CHB, HBsAg can also be derived from an integrated HBV genome. The PLC/PRF/5 cell line, which contains an integrated partial HBV genome and produces HBsAg but not infectious virions, was used as a cell model of this condition. ALG</w:t>
      </w:r>
      <w:r>
        <w:rPr>
          <w:rFonts w:ascii="MS PGothic" w:cs="MS PGothic" w:eastAsia="MS PGothic" w:hAnsi="MS PGothic"/>
          <w:sz w:val="18"/>
          <w:szCs w:val="18"/>
          <w:color w:val="auto"/>
        </w:rPr>
        <w:t>‑</w:t>
      </w:r>
      <w:r>
        <w:rPr>
          <w:rFonts w:ascii="Arial" w:cs="Arial" w:eastAsia="Arial" w:hAnsi="Arial"/>
          <w:sz w:val="18"/>
          <w:szCs w:val="18"/>
          <w:color w:val="auto"/>
        </w:rPr>
        <w:t>010133 demonstrated activity in the inhibition of HBsAg secretion from the PLC/PRF/5 cell line with an EC</w:t>
      </w:r>
      <w:r>
        <w:rPr>
          <w:rFonts w:ascii="Arial" w:cs="Arial" w:eastAsia="Arial" w:hAnsi="Arial"/>
          <w:sz w:val="15"/>
          <w:szCs w:val="15"/>
          <w:color w:val="auto"/>
        </w:rPr>
        <w:t>50</w:t>
      </w:r>
      <w:r>
        <w:rPr>
          <w:rFonts w:ascii="Arial" w:cs="Arial" w:eastAsia="Arial" w:hAnsi="Arial"/>
          <w:sz w:val="18"/>
          <w:szCs w:val="18"/>
          <w:color w:val="auto"/>
        </w:rPr>
        <w:t xml:space="preserve"> of 23.7 nM with a 50% cellular cytotoxic concentration (CC</w:t>
      </w:r>
      <w:r>
        <w:rPr>
          <w:rFonts w:ascii="Arial" w:cs="Arial" w:eastAsia="Arial" w:hAnsi="Arial"/>
          <w:sz w:val="15"/>
          <w:szCs w:val="15"/>
          <w:color w:val="auto"/>
        </w:rPr>
        <w:t>50</w:t>
      </w:r>
      <w:r>
        <w:rPr>
          <w:rFonts w:ascii="Arial" w:cs="Arial" w:eastAsia="Arial" w:hAnsi="Arial"/>
          <w:sz w:val="18"/>
          <w:szCs w:val="18"/>
          <w:color w:val="auto"/>
        </w:rPr>
        <w:t>) of more than 1000 nM.</w:t>
      </w:r>
    </w:p>
    <w:p>
      <w:pPr>
        <w:spacing w:after="0" w:line="187" w:lineRule="exact"/>
        <w:rPr>
          <w:sz w:val="20"/>
          <w:szCs w:val="20"/>
          <w:color w:val="auto"/>
        </w:rPr>
      </w:pPr>
    </w:p>
    <w:p>
      <w:pPr>
        <w:jc w:val="both"/>
        <w:ind w:right="200" w:firstLine="589"/>
        <w:spacing w:after="0" w:line="221" w:lineRule="exact"/>
        <w:rPr>
          <w:sz w:val="20"/>
          <w:szCs w:val="20"/>
          <w:color w:val="auto"/>
        </w:rPr>
      </w:pPr>
      <w:r>
        <w:rPr>
          <w:rFonts w:ascii="Arial" w:cs="Arial" w:eastAsia="Arial" w:hAnsi="Arial"/>
          <w:sz w:val="16"/>
          <w:szCs w:val="16"/>
          <w:color w:val="auto"/>
        </w:rPr>
        <w:t>To assess the capability for immune activation, ALG</w:t>
      </w:r>
      <w:r>
        <w:rPr>
          <w:rFonts w:ascii="MS PGothic" w:cs="MS PGothic" w:eastAsia="MS PGothic" w:hAnsi="MS PGothic"/>
          <w:sz w:val="16"/>
          <w:szCs w:val="16"/>
          <w:color w:val="auto"/>
        </w:rPr>
        <w:t>‑</w:t>
      </w:r>
      <w:r>
        <w:rPr>
          <w:rFonts w:ascii="Arial" w:cs="Arial" w:eastAsia="Arial" w:hAnsi="Arial"/>
          <w:sz w:val="16"/>
          <w:szCs w:val="16"/>
          <w:color w:val="auto"/>
        </w:rPr>
        <w:t>010133 was assayed in human peripheral blood mononuclear cells from three independent donors for cytokine induction. The results of these experiments demonstrated that no direct immune activation is mediated by ALG</w:t>
      </w:r>
      <w:r>
        <w:rPr>
          <w:rFonts w:ascii="MS PGothic" w:cs="MS PGothic" w:eastAsia="MS PGothic" w:hAnsi="MS PGothic"/>
          <w:sz w:val="16"/>
          <w:szCs w:val="16"/>
          <w:color w:val="auto"/>
        </w:rPr>
        <w:t>‑</w:t>
      </w:r>
      <w:r>
        <w:rPr>
          <w:rFonts w:ascii="Arial" w:cs="Arial" w:eastAsia="Arial" w:hAnsi="Arial"/>
          <w:sz w:val="16"/>
          <w:szCs w:val="16"/>
          <w:color w:val="auto"/>
        </w:rPr>
        <w:t>010133. Nonclinical PK studies following subcutaneous dosing indicate long liver residence time that supports weekly or less frequent dosing for patients.</w:t>
      </w:r>
    </w:p>
    <w:p>
      <w:pPr>
        <w:spacing w:after="0" w:line="204" w:lineRule="exact"/>
        <w:rPr>
          <w:sz w:val="20"/>
          <w:szCs w:val="20"/>
          <w:color w:val="auto"/>
        </w:rPr>
      </w:pPr>
    </w:p>
    <w:p>
      <w:pPr>
        <w:ind w:firstLine="589"/>
        <w:spacing w:after="0" w:line="219" w:lineRule="exact"/>
        <w:rPr>
          <w:sz w:val="20"/>
          <w:szCs w:val="20"/>
          <w:color w:val="auto"/>
        </w:rPr>
      </w:pPr>
      <w:r>
        <w:rPr>
          <w:rFonts w:ascii="Arial" w:cs="Arial" w:eastAsia="Arial" w:hAnsi="Arial"/>
          <w:sz w:val="18"/>
          <w:szCs w:val="18"/>
          <w:color w:val="auto"/>
        </w:rPr>
        <w:t>Our ongoing three-part Phase 1 first-in-human clinical trial comprises single and multiple ascending dose (SAD/MAD) evaluations in healthy volunteers followed by a multiple dose evaluation in patients with HBeAg negative CHB. The first two parts of this study have been completed, with ALG</w:t>
      </w:r>
      <w:r>
        <w:rPr>
          <w:rFonts w:ascii="MS PGothic" w:cs="MS PGothic" w:eastAsia="MS PGothic" w:hAnsi="MS PGothic"/>
          <w:sz w:val="18"/>
          <w:szCs w:val="18"/>
          <w:color w:val="auto"/>
        </w:rPr>
        <w:t>‑</w:t>
      </w:r>
      <w:r>
        <w:rPr>
          <w:rFonts w:ascii="Arial" w:cs="Arial" w:eastAsia="Arial" w:hAnsi="Arial"/>
          <w:sz w:val="18"/>
          <w:szCs w:val="18"/>
          <w:color w:val="auto"/>
        </w:rPr>
        <w:t>010133 being administered subcutaneously once (SAD) or once weekly for three doses (MAD) in up to 104 healthy volunteers. In March 2021, we initiated the third part of this clinical trial, where we will be dosing once weekly for twelve doses in up to 60 patients with virologically suppressed HBeAg negative CHB.</w:t>
      </w:r>
    </w:p>
    <w:p>
      <w:pPr>
        <w:spacing w:after="0" w:line="31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ALG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000184 (CAM) for CHB</w:t>
      </w:r>
    </w:p>
    <w:p>
      <w:pPr>
        <w:spacing w:after="0" w:line="117" w:lineRule="exact"/>
        <w:rPr>
          <w:sz w:val="20"/>
          <w:szCs w:val="20"/>
          <w:color w:val="auto"/>
        </w:rPr>
      </w:pPr>
    </w:p>
    <w:p>
      <w:pPr>
        <w:jc w:val="both"/>
        <w:ind w:right="180" w:firstLine="589"/>
        <w:spacing w:after="0" w:line="279" w:lineRule="auto"/>
        <w:rPr>
          <w:sz w:val="20"/>
          <w:szCs w:val="20"/>
          <w:color w:val="auto"/>
        </w:rPr>
      </w:pPr>
      <w:r>
        <w:rPr>
          <w:rFonts w:ascii="Arial" w:cs="Arial" w:eastAsia="Arial" w:hAnsi="Arial"/>
          <w:sz w:val="17"/>
          <w:szCs w:val="17"/>
          <w:color w:val="auto"/>
        </w:rPr>
        <w:t>CAMs are a class of small molecule antiviral agents that accelerate HBV capsid assembly and inhibit pgRNA encapsidation, resulting in lower circulating HBV pgRNA and DNA levels. CAMs are also believed to regulate formation and transcription of cccDNA at the onset of infection, a major factor for the persistence of HBV infection. In clinical trials, CAMs have been shown to provide greater HBV DNA and RNA reduction when combined with nucleos(t)ide analogs than can be achieved with the current standard of care, nucleos(t)ide analogs alone.</w:t>
      </w:r>
    </w:p>
    <w:p>
      <w:pPr>
        <w:spacing w:after="0" w:line="171" w:lineRule="exact"/>
        <w:rPr>
          <w:sz w:val="20"/>
          <w:szCs w:val="20"/>
          <w:color w:val="auto"/>
        </w:rPr>
      </w:pPr>
    </w:p>
    <w:p>
      <w:pPr>
        <w:ind w:right="240" w:firstLine="589"/>
        <w:spacing w:after="0" w:line="224" w:lineRule="exact"/>
        <w:rPr>
          <w:sz w:val="20"/>
          <w:szCs w:val="20"/>
          <w:color w:val="auto"/>
        </w:rPr>
      </w:pPr>
      <w:r>
        <w:rPr>
          <w:rFonts w:ascii="Arial" w:cs="Arial" w:eastAsia="Arial" w:hAnsi="Arial"/>
          <w:sz w:val="17"/>
          <w:szCs w:val="17"/>
          <w:color w:val="auto"/>
        </w:rPr>
        <w:t>In 2018, we in-licensed a lead drug candidate (GLP-26) and the associated IP for a CAM from the laboratory of Professor Raymond Schinazi at Emory. Our scientists optimized this lead drug candidate to discover the potent CAM ALG</w:t>
      </w:r>
      <w:r>
        <w:rPr>
          <w:rFonts w:ascii="MS PGothic" w:cs="MS PGothic" w:eastAsia="MS PGothic" w:hAnsi="MS PGothic"/>
          <w:sz w:val="17"/>
          <w:szCs w:val="17"/>
          <w:color w:val="auto"/>
        </w:rPr>
        <w:t>‑</w:t>
      </w:r>
      <w:r>
        <w:rPr>
          <w:rFonts w:ascii="Arial" w:cs="Arial" w:eastAsia="Arial" w:hAnsi="Arial"/>
          <w:sz w:val="17"/>
          <w:szCs w:val="17"/>
          <w:color w:val="auto"/>
        </w:rPr>
        <w:t>001075, which was further optimized to the</w:t>
      </w:r>
    </w:p>
    <w:p>
      <w:pPr>
        <w:ind w:right="80"/>
        <w:spacing w:after="0" w:line="216" w:lineRule="exact"/>
        <w:rPr>
          <w:sz w:val="20"/>
          <w:szCs w:val="20"/>
          <w:color w:val="auto"/>
        </w:rPr>
      </w:pPr>
      <w:r>
        <w:rPr>
          <w:rFonts w:ascii="Arial" w:cs="Arial" w:eastAsia="Arial" w:hAnsi="Arial"/>
          <w:sz w:val="18"/>
          <w:szCs w:val="18"/>
          <w:color w:val="auto"/>
        </w:rPr>
        <w:t>prodrug ALG</w:t>
      </w:r>
      <w:r>
        <w:rPr>
          <w:rFonts w:ascii="MS PGothic" w:cs="MS PGothic" w:eastAsia="MS PGothic" w:hAnsi="MS PGothic"/>
          <w:sz w:val="18"/>
          <w:szCs w:val="18"/>
          <w:color w:val="auto"/>
        </w:rPr>
        <w:t>‑</w:t>
      </w:r>
      <w:r>
        <w:rPr>
          <w:rFonts w:ascii="Arial" w:cs="Arial" w:eastAsia="Arial" w:hAnsi="Arial"/>
          <w:sz w:val="18"/>
          <w:szCs w:val="18"/>
          <w:color w:val="auto"/>
        </w:rPr>
        <w:t>000184. ALG</w:t>
      </w:r>
      <w:r>
        <w:rPr>
          <w:rFonts w:ascii="MS PGothic" w:cs="MS PGothic" w:eastAsia="MS PGothic" w:hAnsi="MS PGothic"/>
          <w:sz w:val="18"/>
          <w:szCs w:val="18"/>
          <w:color w:val="auto"/>
        </w:rPr>
        <w:t>‑</w:t>
      </w:r>
      <w:r>
        <w:rPr>
          <w:rFonts w:ascii="Arial" w:cs="Arial" w:eastAsia="Arial" w:hAnsi="Arial"/>
          <w:sz w:val="18"/>
          <w:szCs w:val="18"/>
          <w:color w:val="auto"/>
        </w:rPr>
        <w:t>000184 is currently being evaluated in a Phase 1 clinical trial. We expect safety and antiviral data from the initial cohort(s) in the second half of 2021.</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Molecular characteristics and nonclinical data</w:t>
      </w:r>
    </w:p>
    <w:p>
      <w:pPr>
        <w:spacing w:after="0" w:line="117" w:lineRule="exact"/>
        <w:rPr>
          <w:sz w:val="20"/>
          <w:szCs w:val="20"/>
          <w:color w:val="auto"/>
        </w:rPr>
      </w:pPr>
    </w:p>
    <w:p>
      <w:pPr>
        <w:ind w:firstLine="589"/>
        <w:spacing w:after="0" w:line="219" w:lineRule="exact"/>
        <w:rPr>
          <w:sz w:val="20"/>
          <w:szCs w:val="20"/>
          <w:color w:val="auto"/>
        </w:rPr>
      </w:pPr>
      <w:r>
        <w:rPr>
          <w:rFonts w:ascii="Arial" w:cs="Arial" w:eastAsia="Arial" w:hAnsi="Arial"/>
          <w:sz w:val="18"/>
          <w:szCs w:val="18"/>
          <w:color w:val="auto"/>
        </w:rPr>
        <w:t>In biochemical assays, ALG</w:t>
      </w:r>
      <w:r>
        <w:rPr>
          <w:rFonts w:ascii="MS PGothic" w:cs="MS PGothic" w:eastAsia="MS PGothic" w:hAnsi="MS PGothic"/>
          <w:sz w:val="18"/>
          <w:szCs w:val="18"/>
          <w:color w:val="auto"/>
        </w:rPr>
        <w:t>‑</w:t>
      </w:r>
      <w:r>
        <w:rPr>
          <w:rFonts w:ascii="Arial" w:cs="Arial" w:eastAsia="Arial" w:hAnsi="Arial"/>
          <w:sz w:val="18"/>
          <w:szCs w:val="18"/>
          <w:color w:val="auto"/>
        </w:rPr>
        <w:t>001075 was shown to induce the rapid assembly of core proteins into small, spherical capsids. Capsids assembled in the presence of ALG</w:t>
      </w:r>
      <w:r>
        <w:rPr>
          <w:rFonts w:ascii="MS PGothic" w:cs="MS PGothic" w:eastAsia="MS PGothic" w:hAnsi="MS PGothic"/>
          <w:sz w:val="18"/>
          <w:szCs w:val="18"/>
          <w:color w:val="auto"/>
        </w:rPr>
        <w:t>‑</w:t>
      </w:r>
      <w:r>
        <w:rPr>
          <w:rFonts w:ascii="Arial" w:cs="Arial" w:eastAsia="Arial" w:hAnsi="Arial"/>
          <w:sz w:val="18"/>
          <w:szCs w:val="18"/>
          <w:color w:val="auto"/>
        </w:rPr>
        <w:t>001075 were highly stable with a compound residence time of more than 16 hours. In assays using genotype D HBV infected HepG2.2.15 cells, ALG</w:t>
      </w:r>
      <w:r>
        <w:rPr>
          <w:rFonts w:ascii="MS PGothic" w:cs="MS PGothic" w:eastAsia="MS PGothic" w:hAnsi="MS PGothic"/>
          <w:sz w:val="18"/>
          <w:szCs w:val="18"/>
          <w:color w:val="auto"/>
        </w:rPr>
        <w:t>‑</w:t>
      </w:r>
      <w:r>
        <w:rPr>
          <w:rFonts w:ascii="Arial" w:cs="Arial" w:eastAsia="Arial" w:hAnsi="Arial"/>
          <w:sz w:val="18"/>
          <w:szCs w:val="18"/>
          <w:color w:val="auto"/>
        </w:rPr>
        <w:t>001075 demonstrated enhanced potency with an EC</w:t>
      </w:r>
      <w:r>
        <w:rPr>
          <w:rFonts w:ascii="Arial" w:cs="Arial" w:eastAsia="Arial" w:hAnsi="Arial"/>
          <w:sz w:val="15"/>
          <w:szCs w:val="15"/>
          <w:color w:val="auto"/>
        </w:rPr>
        <w:t>50</w:t>
      </w:r>
      <w:r>
        <w:rPr>
          <w:rFonts w:ascii="Arial" w:cs="Arial" w:eastAsia="Arial" w:hAnsi="Arial"/>
          <w:sz w:val="18"/>
          <w:szCs w:val="18"/>
          <w:color w:val="auto"/>
        </w:rPr>
        <w:t xml:space="preserve"> value of 0.53 nM compared to several CAM reference compounds. This finding was repeated in HepG2.117 cells where ALG-001075 had an EC</w:t>
      </w:r>
      <w:r>
        <w:rPr>
          <w:rFonts w:ascii="Arial" w:cs="Arial" w:eastAsia="Arial" w:hAnsi="Arial"/>
          <w:sz w:val="15"/>
          <w:szCs w:val="15"/>
          <w:color w:val="auto"/>
        </w:rPr>
        <w:t>50</w:t>
      </w:r>
      <w:r>
        <w:rPr>
          <w:rFonts w:ascii="Arial" w:cs="Arial" w:eastAsia="Arial" w:hAnsi="Arial"/>
          <w:sz w:val="18"/>
          <w:szCs w:val="18"/>
          <w:color w:val="auto"/>
        </w:rPr>
        <w:t xml:space="preserve"> value of 0.63 nM. This level of potency exceeds that of all other known CAMs that have entered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139065</wp:posOffset>
            </wp:positionV>
            <wp:extent cx="5160645" cy="4946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0645" cy="494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20" w:firstLine="589"/>
        <w:spacing w:after="0" w:line="223" w:lineRule="exact"/>
        <w:rPr>
          <w:sz w:val="20"/>
          <w:szCs w:val="20"/>
          <w:color w:val="auto"/>
        </w:rPr>
      </w:pPr>
      <w:r>
        <w:rPr>
          <w:rFonts w:ascii="Arial" w:cs="Arial" w:eastAsia="Arial" w:hAnsi="Arial"/>
          <w:sz w:val="18"/>
          <w:szCs w:val="18"/>
          <w:color w:val="auto"/>
        </w:rPr>
        <w:t>ALG</w:t>
      </w:r>
      <w:r>
        <w:rPr>
          <w:rFonts w:ascii="MS PGothic" w:cs="MS PGothic" w:eastAsia="MS PGothic" w:hAnsi="MS PGothic"/>
          <w:sz w:val="18"/>
          <w:szCs w:val="18"/>
          <w:color w:val="auto"/>
        </w:rPr>
        <w:t>‑</w:t>
      </w:r>
      <w:r>
        <w:rPr>
          <w:rFonts w:ascii="Arial" w:cs="Arial" w:eastAsia="Arial" w:hAnsi="Arial"/>
          <w:sz w:val="18"/>
          <w:szCs w:val="18"/>
          <w:color w:val="auto"/>
        </w:rPr>
        <w:t>001075 was further tested in a transient HBV assay against a broad panel of HBV screens from genotypes A through J and was shown to maintain good activity against all genotypes tested except for certain genotypes with known CAM-resistant mutations.</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17" w:name="page18"/>
    <w:bookmarkEnd w:id="17"/>
    <w:p>
      <w:pPr>
        <w:ind w:right="80" w:firstLine="589"/>
        <w:spacing w:after="0" w:line="233" w:lineRule="exact"/>
        <w:rPr>
          <w:sz w:val="20"/>
          <w:szCs w:val="20"/>
          <w:color w:val="auto"/>
        </w:rPr>
      </w:pPr>
      <w:r>
        <w:rPr>
          <w:rFonts w:ascii="Arial" w:cs="Arial" w:eastAsia="Arial" w:hAnsi="Arial"/>
          <w:sz w:val="17"/>
          <w:szCs w:val="17"/>
          <w:color w:val="auto"/>
        </w:rPr>
        <w:t>In the adeno-associated virus (AAV)-HBV mouse efficacy model, ALG</w:t>
      </w:r>
      <w:r>
        <w:rPr>
          <w:rFonts w:ascii="MS PGothic" w:cs="MS PGothic" w:eastAsia="MS PGothic" w:hAnsi="MS PGothic"/>
          <w:sz w:val="17"/>
          <w:szCs w:val="17"/>
          <w:color w:val="auto"/>
        </w:rPr>
        <w:t>‑</w:t>
      </w:r>
      <w:r>
        <w:rPr>
          <w:rFonts w:ascii="Arial" w:cs="Arial" w:eastAsia="Arial" w:hAnsi="Arial"/>
          <w:sz w:val="17"/>
          <w:szCs w:val="17"/>
          <w:color w:val="auto"/>
        </w:rPr>
        <w:t>001075 demonstrated a dose-dependent inhibition of viral replication with &gt;5 log</w:t>
      </w:r>
      <w:r>
        <w:rPr>
          <w:rFonts w:ascii="Arial" w:cs="Arial" w:eastAsia="Arial" w:hAnsi="Arial"/>
          <w:sz w:val="14"/>
          <w:szCs w:val="14"/>
          <w:color w:val="auto"/>
        </w:rPr>
        <w:t>10</w:t>
      </w:r>
      <w:r>
        <w:rPr>
          <w:rFonts w:ascii="Arial" w:cs="Arial" w:eastAsia="Arial" w:hAnsi="Arial"/>
          <w:sz w:val="17"/>
          <w:szCs w:val="17"/>
          <w:color w:val="auto"/>
        </w:rPr>
        <w:t xml:space="preserve"> IU/mL reduction in HBV DNA at a dose of 15 mg/kg/dose given twice daily at 12-hour intervals (BID) as compared to a vehicle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125730</wp:posOffset>
            </wp:positionV>
            <wp:extent cx="5083175" cy="2228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8317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firstLine="589"/>
        <w:spacing w:after="0" w:line="220" w:lineRule="exact"/>
        <w:rPr>
          <w:sz w:val="20"/>
          <w:szCs w:val="20"/>
          <w:color w:val="auto"/>
        </w:rPr>
      </w:pPr>
      <w:r>
        <w:rPr>
          <w:rFonts w:ascii="Arial" w:cs="Arial" w:eastAsia="Arial" w:hAnsi="Arial"/>
          <w:sz w:val="18"/>
          <w:szCs w:val="18"/>
          <w:color w:val="auto"/>
        </w:rPr>
        <w:t>We developed a highly soluble prodrug of ALG</w:t>
      </w:r>
      <w:r>
        <w:rPr>
          <w:rFonts w:ascii="MS PGothic" w:cs="MS PGothic" w:eastAsia="MS PGothic" w:hAnsi="MS PGothic"/>
          <w:sz w:val="18"/>
          <w:szCs w:val="18"/>
          <w:color w:val="auto"/>
        </w:rPr>
        <w:t>‑</w:t>
      </w:r>
      <w:r>
        <w:rPr>
          <w:rFonts w:ascii="Arial" w:cs="Arial" w:eastAsia="Arial" w:hAnsi="Arial"/>
          <w:sz w:val="18"/>
          <w:szCs w:val="18"/>
          <w:color w:val="auto"/>
        </w:rPr>
        <w:t>001075, ALG</w:t>
      </w:r>
      <w:r>
        <w:rPr>
          <w:rFonts w:ascii="MS PGothic" w:cs="MS PGothic" w:eastAsia="MS PGothic" w:hAnsi="MS PGothic"/>
          <w:sz w:val="18"/>
          <w:szCs w:val="18"/>
          <w:color w:val="auto"/>
        </w:rPr>
        <w:t>‑</w:t>
      </w:r>
      <w:r>
        <w:rPr>
          <w:rFonts w:ascii="Arial" w:cs="Arial" w:eastAsia="Arial" w:hAnsi="Arial"/>
          <w:sz w:val="18"/>
          <w:szCs w:val="18"/>
          <w:color w:val="auto"/>
        </w:rPr>
        <w:t>000184, to address the bioavailability limitations of ALG</w:t>
      </w:r>
      <w:r>
        <w:rPr>
          <w:rFonts w:ascii="MS PGothic" w:cs="MS PGothic" w:eastAsia="MS PGothic" w:hAnsi="MS PGothic"/>
          <w:sz w:val="18"/>
          <w:szCs w:val="18"/>
          <w:color w:val="auto"/>
        </w:rPr>
        <w:t>‑</w:t>
      </w:r>
      <w:r>
        <w:rPr>
          <w:rFonts w:ascii="Arial" w:cs="Arial" w:eastAsia="Arial" w:hAnsi="Arial"/>
          <w:sz w:val="18"/>
          <w:szCs w:val="18"/>
          <w:color w:val="auto"/>
        </w:rPr>
        <w:t>001075. ALG</w:t>
      </w:r>
      <w:r>
        <w:rPr>
          <w:rFonts w:ascii="MS PGothic" w:cs="MS PGothic" w:eastAsia="MS PGothic" w:hAnsi="MS PGothic"/>
          <w:sz w:val="18"/>
          <w:szCs w:val="18"/>
          <w:color w:val="auto"/>
        </w:rPr>
        <w:t>‑</w:t>
      </w:r>
      <w:r>
        <w:rPr>
          <w:rFonts w:ascii="Arial" w:cs="Arial" w:eastAsia="Arial" w:hAnsi="Arial"/>
          <w:sz w:val="18"/>
          <w:szCs w:val="18"/>
          <w:color w:val="auto"/>
        </w:rPr>
        <w:t>000184 has improved aqueous solubility, significantly better permeability and a reduced efflux ratio compared with ALG</w:t>
      </w:r>
      <w:r>
        <w:rPr>
          <w:rFonts w:ascii="MS PGothic" w:cs="MS PGothic" w:eastAsia="MS PGothic" w:hAnsi="MS PGothic"/>
          <w:sz w:val="18"/>
          <w:szCs w:val="18"/>
          <w:color w:val="auto"/>
        </w:rPr>
        <w:t>‑</w:t>
      </w:r>
      <w:r>
        <w:rPr>
          <w:rFonts w:ascii="Arial" w:cs="Arial" w:eastAsia="Arial" w:hAnsi="Arial"/>
          <w:sz w:val="18"/>
          <w:szCs w:val="18"/>
          <w:color w:val="auto"/>
        </w:rPr>
        <w:t>001075. Consequently, ALG</w:t>
      </w:r>
      <w:r>
        <w:rPr>
          <w:rFonts w:ascii="MS PGothic" w:cs="MS PGothic" w:eastAsia="MS PGothic" w:hAnsi="MS PGothic"/>
          <w:sz w:val="18"/>
          <w:szCs w:val="18"/>
          <w:color w:val="auto"/>
        </w:rPr>
        <w:t>‑</w:t>
      </w:r>
      <w:r>
        <w:rPr>
          <w:rFonts w:ascii="Arial" w:cs="Arial" w:eastAsia="Arial" w:hAnsi="Arial"/>
          <w:sz w:val="18"/>
          <w:szCs w:val="18"/>
          <w:color w:val="auto"/>
        </w:rPr>
        <w:t>000184 has significantly improved oral bioavailability compared to ALG</w:t>
      </w:r>
      <w:r>
        <w:rPr>
          <w:rFonts w:ascii="MS PGothic" w:cs="MS PGothic" w:eastAsia="MS PGothic" w:hAnsi="MS PGothic"/>
          <w:sz w:val="18"/>
          <w:szCs w:val="18"/>
          <w:color w:val="auto"/>
        </w:rPr>
        <w:t>‑</w:t>
      </w:r>
      <w:r>
        <w:rPr>
          <w:rFonts w:ascii="Arial" w:cs="Arial" w:eastAsia="Arial" w:hAnsi="Arial"/>
          <w:sz w:val="18"/>
          <w:szCs w:val="18"/>
          <w:color w:val="auto"/>
        </w:rPr>
        <w:t>001075. When administered in vivo, as shown in the figure below, ALG</w:t>
      </w:r>
      <w:r>
        <w:rPr>
          <w:rFonts w:ascii="MS PGothic" w:cs="MS PGothic" w:eastAsia="MS PGothic" w:hAnsi="MS PGothic"/>
          <w:sz w:val="18"/>
          <w:szCs w:val="18"/>
          <w:color w:val="auto"/>
        </w:rPr>
        <w:t>‑</w:t>
      </w:r>
      <w:r>
        <w:rPr>
          <w:rFonts w:ascii="Arial" w:cs="Arial" w:eastAsia="Arial" w:hAnsi="Arial"/>
          <w:sz w:val="18"/>
          <w:szCs w:val="18"/>
          <w:color w:val="auto"/>
        </w:rPr>
        <w:t>000184 was rapidly absorbed and efficiently converted to ALG</w:t>
      </w:r>
      <w:r>
        <w:rPr>
          <w:rFonts w:ascii="MS PGothic" w:cs="MS PGothic" w:eastAsia="MS PGothic" w:hAnsi="MS PGothic"/>
          <w:sz w:val="18"/>
          <w:szCs w:val="18"/>
          <w:color w:val="auto"/>
        </w:rPr>
        <w:t>‑</w:t>
      </w:r>
      <w:r>
        <w:rPr>
          <w:rFonts w:ascii="Arial" w:cs="Arial" w:eastAsia="Arial" w:hAnsi="Arial"/>
          <w:sz w:val="18"/>
          <w:szCs w:val="18"/>
          <w:color w:val="auto"/>
        </w:rPr>
        <w:t>001075 in nonclinical animal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138430</wp:posOffset>
            </wp:positionV>
            <wp:extent cx="5186045" cy="28803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8604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Our three-part Phase 1 first-in-human clinical trial comprises single and multiple ascending dose (SAD/MAD) evaluations in healthy volunteers followed by a multiple dose evaluation in patients with CHB.</w:t>
      </w:r>
    </w:p>
    <w:p>
      <w:pPr>
        <w:spacing w:after="0" w:line="170" w:lineRule="exact"/>
        <w:rPr>
          <w:sz w:val="20"/>
          <w:szCs w:val="20"/>
          <w:color w:val="auto"/>
        </w:rPr>
      </w:pPr>
    </w:p>
    <w:p>
      <w:pPr>
        <w:ind w:firstLine="589"/>
        <w:spacing w:after="0" w:line="223" w:lineRule="exact"/>
        <w:rPr>
          <w:sz w:val="20"/>
          <w:szCs w:val="20"/>
          <w:color w:val="auto"/>
        </w:rPr>
      </w:pPr>
      <w:r>
        <w:rPr>
          <w:rFonts w:ascii="Arial" w:cs="Arial" w:eastAsia="Arial" w:hAnsi="Arial"/>
          <w:sz w:val="18"/>
          <w:szCs w:val="18"/>
          <w:color w:val="auto"/>
        </w:rPr>
        <w:t>In the healthy volunteer portion of the study, where enrollment was completed, ALG</w:t>
      </w:r>
      <w:r>
        <w:rPr>
          <w:rFonts w:ascii="MS PGothic" w:cs="MS PGothic" w:eastAsia="MS PGothic" w:hAnsi="MS PGothic"/>
          <w:sz w:val="18"/>
          <w:szCs w:val="18"/>
          <w:color w:val="auto"/>
        </w:rPr>
        <w:t>‑</w:t>
      </w:r>
      <w:r>
        <w:rPr>
          <w:rFonts w:ascii="Arial" w:cs="Arial" w:eastAsia="Arial" w:hAnsi="Arial"/>
          <w:sz w:val="18"/>
          <w:szCs w:val="18"/>
          <w:color w:val="auto"/>
        </w:rPr>
        <w:t>000184 was orally administered once (SAD) or once-daily for 7 days (MAD) in healthy volunteers. Screening in CHB patients for the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third part of the study is ongoing and, upon initiation of such third part of the study, we will dose once-daily for 28 days in up to 60 patients with CHB who are not currently receiving treatment.</w:t>
      </w:r>
    </w:p>
    <w:p>
      <w:pPr>
        <w:spacing w:after="0" w:line="27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ALG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020572 (ASO) for HBV</w:t>
      </w:r>
    </w:p>
    <w:p>
      <w:pPr>
        <w:spacing w:after="0" w:line="117"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Anti-sense oligonucleotides (ASOs) are single-stranded DNA or RNA molecules that are complementary to a selected target sequence. ASO structures are typically composed of three sections, known as the wings and the gap. The wings are on each end of the oligonucleotide strand with the gap section bridging the wing sections. Wings are generally made up of BNAs, while the gap sections are typically made up of DNA or modified DNA nucleotides. ASOs interfere with viral replication by binding to complementary mRNA, a process known as hybridization. If binding occurs, this hybrid can be degraded by the enzyme RNase H resulting in significant down-regulation of mRNA expression, and, in the case of our CHB ASOs, preventing subsequent HBsAg translation and secretion. This process is shown in the figure below. ASOs have been validated across multiple indications, including CHB, where rapid and significant reductions in HBsAg have been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121920</wp:posOffset>
            </wp:positionV>
            <wp:extent cx="5186045" cy="3608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8604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589"/>
        <w:spacing w:after="0" w:line="219" w:lineRule="exact"/>
        <w:rPr>
          <w:sz w:val="20"/>
          <w:szCs w:val="20"/>
          <w:color w:val="auto"/>
        </w:rPr>
      </w:pPr>
      <w:r>
        <w:rPr>
          <w:rFonts w:ascii="Arial" w:cs="Arial" w:eastAsia="Arial" w:hAnsi="Arial"/>
          <w:sz w:val="18"/>
          <w:szCs w:val="18"/>
          <w:color w:val="auto"/>
        </w:rPr>
        <w:t>We have exclusively licensed Luxna’s intellectual property for use of next-generation nucleotide monomers in our current focus areas, including CHB and SARS-CoV-2. This chemistry forms the basis of our ASO platform and has enabled us to design highly potent, stable ASOs that have an improved toxicology profile, including a reduction of hepatotoxicity, as compared to ASOs using earlier nucleotide monomer technology. The application of this technology, combined with our proprietary liver-targeting GalNAc conjugation, has led to our discovery of ALG</w:t>
      </w:r>
      <w:r>
        <w:rPr>
          <w:rFonts w:ascii="MS PGothic" w:cs="MS PGothic" w:eastAsia="MS PGothic" w:hAnsi="MS PGothic"/>
          <w:sz w:val="18"/>
          <w:szCs w:val="18"/>
          <w:color w:val="auto"/>
        </w:rPr>
        <w:t>‑</w:t>
      </w:r>
      <w:r>
        <w:rPr>
          <w:rFonts w:ascii="Arial" w:cs="Arial" w:eastAsia="Arial" w:hAnsi="Arial"/>
          <w:sz w:val="18"/>
          <w:szCs w:val="18"/>
          <w:color w:val="auto"/>
        </w:rPr>
        <w:t>020572, a potentially best-in-class HBV ASO targeting the open reading frame of HBsAg. We plan to begin a multipart Phase 1 study evaluating ALG</w:t>
      </w:r>
      <w:r>
        <w:rPr>
          <w:rFonts w:ascii="MS PGothic" w:cs="MS PGothic" w:eastAsia="MS PGothic" w:hAnsi="MS PGothic"/>
          <w:sz w:val="18"/>
          <w:szCs w:val="18"/>
          <w:color w:val="auto"/>
        </w:rPr>
        <w:t>‑</w:t>
      </w:r>
      <w:r>
        <w:rPr>
          <w:rFonts w:ascii="Arial" w:cs="Arial" w:eastAsia="Arial" w:hAnsi="Arial"/>
          <w:sz w:val="18"/>
          <w:szCs w:val="18"/>
          <w:color w:val="auto"/>
        </w:rPr>
        <w:t>020572 in healthy volunteers and patients with CHB in the second half of 2021.</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Molecular characteristics and nonclinical data</w:t>
      </w:r>
    </w:p>
    <w:p>
      <w:pPr>
        <w:spacing w:after="0" w:line="117" w:lineRule="exact"/>
        <w:rPr>
          <w:sz w:val="20"/>
          <w:szCs w:val="20"/>
          <w:color w:val="auto"/>
        </w:rPr>
      </w:pPr>
    </w:p>
    <w:p>
      <w:pPr>
        <w:ind w:right="40" w:firstLine="589"/>
        <w:spacing w:after="0" w:line="219" w:lineRule="exact"/>
        <w:rPr>
          <w:sz w:val="20"/>
          <w:szCs w:val="20"/>
          <w:color w:val="auto"/>
        </w:rPr>
      </w:pPr>
      <w:r>
        <w:rPr>
          <w:rFonts w:ascii="Arial" w:cs="Arial" w:eastAsia="Arial" w:hAnsi="Arial"/>
          <w:sz w:val="18"/>
          <w:szCs w:val="18"/>
          <w:color w:val="auto"/>
        </w:rPr>
        <w:t>We explored the structure activity relationship of BNA wing and nucleobase gap modifications across a set of diverse locked nucleic acid ASOs. When conjugated to our proprietary GalNAc moiety and administered subcutaneously (5 doses total, 10mg/kg given every 3 days over 12 days) to mice previously infected with an AAV</w:t>
      </w:r>
      <w:r>
        <w:rPr>
          <w:rFonts w:ascii="MS PGothic" w:cs="MS PGothic" w:eastAsia="MS PGothic" w:hAnsi="MS PGothic"/>
          <w:sz w:val="18"/>
          <w:szCs w:val="18"/>
          <w:color w:val="auto"/>
        </w:rPr>
        <w:t>‑</w:t>
      </w:r>
      <w:r>
        <w:rPr>
          <w:rFonts w:ascii="Arial" w:cs="Arial" w:eastAsia="Arial" w:hAnsi="Arial"/>
          <w:sz w:val="18"/>
          <w:szCs w:val="18"/>
          <w:color w:val="auto"/>
        </w:rPr>
        <w:t>HBV construct, ALG</w:t>
      </w:r>
      <w:r>
        <w:rPr>
          <w:rFonts w:ascii="MS PGothic" w:cs="MS PGothic" w:eastAsia="MS PGothic" w:hAnsi="MS PGothic"/>
          <w:sz w:val="18"/>
          <w:szCs w:val="18"/>
          <w:color w:val="auto"/>
        </w:rPr>
        <w:t>‑</w:t>
      </w:r>
      <w:r>
        <w:rPr>
          <w:rFonts w:ascii="Arial" w:cs="Arial" w:eastAsia="Arial" w:hAnsi="Arial"/>
          <w:sz w:val="18"/>
          <w:szCs w:val="18"/>
          <w:color w:val="auto"/>
        </w:rPr>
        <w:t>020572 demonstrated a 1.5 log</w:t>
      </w:r>
      <w:r>
        <w:rPr>
          <w:rFonts w:ascii="Arial" w:cs="Arial" w:eastAsia="Arial" w:hAnsi="Arial"/>
          <w:sz w:val="15"/>
          <w:szCs w:val="15"/>
          <w:color w:val="auto"/>
        </w:rPr>
        <w:t>10</w:t>
      </w:r>
      <w:r>
        <w:rPr>
          <w:rFonts w:ascii="Arial" w:cs="Arial" w:eastAsia="Arial" w:hAnsi="Arial"/>
          <w:sz w:val="18"/>
          <w:szCs w:val="18"/>
          <w:color w:val="auto"/>
        </w:rPr>
        <w:t xml:space="preserve"> IU/mL mean reduction in serum HBsAg. Vehicle-treated animals did not exhibit any significant changes in their serum HBsAg. Importantly, this intensive dosing regimen was not associated with any changes in alanine aminotransferase (ALT) levels, a marker of liver cell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139065</wp:posOffset>
            </wp:positionV>
            <wp:extent cx="5349240" cy="2708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0"/>
        <w:spacing w:after="0" w:line="184" w:lineRule="exact"/>
        <w:rPr>
          <w:sz w:val="20"/>
          <w:szCs w:val="20"/>
          <w:color w:val="auto"/>
        </w:rPr>
      </w:pPr>
      <w:r>
        <w:rPr>
          <w:rFonts w:ascii="Arial" w:cs="Arial" w:eastAsia="Arial" w:hAnsi="Arial"/>
          <w:sz w:val="16"/>
          <w:szCs w:val="16"/>
          <w:color w:val="auto"/>
        </w:rPr>
        <w:t>We have discovered potent, liver-targeted ASOs, including ALG</w:t>
      </w:r>
      <w:r>
        <w:rPr>
          <w:rFonts w:ascii="MS PGothic" w:cs="MS PGothic" w:eastAsia="MS PGothic" w:hAnsi="MS PGothic"/>
          <w:sz w:val="16"/>
          <w:szCs w:val="16"/>
          <w:color w:val="auto"/>
        </w:rPr>
        <w:t>‑</w:t>
      </w:r>
      <w:r>
        <w:rPr>
          <w:rFonts w:ascii="Arial" w:cs="Arial" w:eastAsia="Arial" w:hAnsi="Arial"/>
          <w:sz w:val="16"/>
          <w:szCs w:val="16"/>
          <w:color w:val="auto"/>
        </w:rPr>
        <w:t>020572, which has demonstrated a promising profile in nonclinical CHB models.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ASO drug candidates may also be combined with other drug candidates against CHB.</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siRNA</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Small interfering RNA (siRNA), also known as short interfering RNA or silencing RNA (RNAi), are a class of double-stranded, non-coding RNA, typically 20-27 base pairs in length. siRNA interferes with viral replication by silencing gene expression and subsequent protein (e.g., HBsAg) translation and secretion. siRNAs have shown efficacy across multiple indications, including CHB, where significant, gradual and durable reductions in HBsAg have been observed in clinical trials.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0" w:name="page21"/>
    <w:bookmarkEnd w:id="20"/>
    <w:p>
      <w:pPr>
        <w:ind w:right="40" w:firstLine="589"/>
        <w:spacing w:after="0" w:line="255" w:lineRule="auto"/>
        <w:rPr>
          <w:sz w:val="20"/>
          <w:szCs w:val="20"/>
          <w:color w:val="auto"/>
        </w:rPr>
      </w:pPr>
      <w:r>
        <w:rPr>
          <w:rFonts w:ascii="Arial" w:cs="Arial" w:eastAsia="Arial" w:hAnsi="Arial"/>
          <w:sz w:val="18"/>
          <w:szCs w:val="18"/>
          <w:color w:val="auto"/>
        </w:rPr>
        <w:t>siRNA-induced gene silencing is initiated with the assembly of the RNA-induced silencing complex (RISC). One of the two siRNA strands, the guide strand or anti-sense strand, is loaded into the RISC while the other strand, the passenger strand or sense strand, is degraded. Dicer enzymes are responsible for loading the guide strand into RISC. The cleavage of the mRNA molecule is thought to be catalyzed by the Argonaute proteins of the RISC. The mRNA molecule is then cut by cleaving the phosphodiester bond between the target nucleotides which are paired to siRNA residues. This cleavage results in mRNA fragments that are further degraded by cellular exonucleases. The process of siRNA-mediated RNA degradation is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131445</wp:posOffset>
            </wp:positionV>
            <wp:extent cx="3985895" cy="2837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8589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589"/>
        <w:spacing w:after="0" w:line="220" w:lineRule="exact"/>
        <w:rPr>
          <w:sz w:val="20"/>
          <w:szCs w:val="20"/>
          <w:color w:val="auto"/>
        </w:rPr>
      </w:pPr>
      <w:r>
        <w:rPr>
          <w:rFonts w:ascii="Arial" w:cs="Arial" w:eastAsia="Arial" w:hAnsi="Arial"/>
          <w:sz w:val="18"/>
          <w:szCs w:val="18"/>
          <w:color w:val="auto"/>
        </w:rPr>
        <w:t>We started with our bioinformatics approach to identify regions of the HBV genome for targeting and used our proprietary technology to maximize potency and minimize the number of 2’-F nucleotides in our sequences. We applied this approach to our screening paradigm to identify our lead siRNA candidate, ALG</w:t>
      </w:r>
      <w:r>
        <w:rPr>
          <w:rFonts w:ascii="MS PGothic" w:cs="MS PGothic" w:eastAsia="MS PGothic" w:hAnsi="MS PGothic"/>
          <w:sz w:val="18"/>
          <w:szCs w:val="18"/>
          <w:color w:val="auto"/>
        </w:rPr>
        <w:t>‑</w:t>
      </w:r>
      <w:r>
        <w:rPr>
          <w:rFonts w:ascii="Arial" w:cs="Arial" w:eastAsia="Arial" w:hAnsi="Arial"/>
          <w:sz w:val="18"/>
          <w:szCs w:val="18"/>
          <w:color w:val="auto"/>
        </w:rPr>
        <w:t>125755.</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Molecular characteristics and nonclinical data</w:t>
      </w:r>
    </w:p>
    <w:p>
      <w:pPr>
        <w:spacing w:after="0" w:line="117" w:lineRule="exact"/>
        <w:rPr>
          <w:sz w:val="20"/>
          <w:szCs w:val="20"/>
          <w:color w:val="auto"/>
        </w:rPr>
      </w:pPr>
    </w:p>
    <w:p>
      <w:pPr>
        <w:ind w:right="140" w:firstLine="589"/>
        <w:spacing w:after="0" w:line="224" w:lineRule="exact"/>
        <w:rPr>
          <w:sz w:val="20"/>
          <w:szCs w:val="20"/>
          <w:color w:val="auto"/>
        </w:rPr>
      </w:pPr>
      <w:r>
        <w:rPr>
          <w:rFonts w:ascii="Arial" w:cs="Arial" w:eastAsia="Arial" w:hAnsi="Arial"/>
          <w:sz w:val="17"/>
          <w:szCs w:val="17"/>
          <w:color w:val="auto"/>
        </w:rPr>
        <w:t>In cell-based assays measuring reduction in HBsAg in infected cells, our lead siRNA drug candidate, ALG</w:t>
      </w:r>
      <w:r>
        <w:rPr>
          <w:rFonts w:ascii="MS PGothic" w:cs="MS PGothic" w:eastAsia="MS PGothic" w:hAnsi="MS PGothic"/>
          <w:sz w:val="17"/>
          <w:szCs w:val="17"/>
          <w:color w:val="auto"/>
        </w:rPr>
        <w:t>‑</w:t>
      </w:r>
      <w:r>
        <w:rPr>
          <w:rFonts w:ascii="Arial" w:cs="Arial" w:eastAsia="Arial" w:hAnsi="Arial"/>
          <w:sz w:val="17"/>
          <w:szCs w:val="17"/>
          <w:color w:val="auto"/>
        </w:rPr>
        <w:t>125755, as well as additional backup compounds ALG</w:t>
      </w:r>
      <w:r>
        <w:rPr>
          <w:rFonts w:ascii="MS PGothic" w:cs="MS PGothic" w:eastAsia="MS PGothic" w:hAnsi="MS PGothic"/>
          <w:sz w:val="17"/>
          <w:szCs w:val="17"/>
          <w:color w:val="auto"/>
        </w:rPr>
        <w:t>‑</w:t>
      </w:r>
      <w:r>
        <w:rPr>
          <w:rFonts w:ascii="Arial" w:cs="Arial" w:eastAsia="Arial" w:hAnsi="Arial"/>
          <w:sz w:val="17"/>
          <w:szCs w:val="17"/>
          <w:color w:val="auto"/>
        </w:rPr>
        <w:t>125097 and ALG</w:t>
      </w:r>
      <w:r>
        <w:rPr>
          <w:rFonts w:ascii="MS PGothic" w:cs="MS PGothic" w:eastAsia="MS PGothic" w:hAnsi="MS PGothic"/>
          <w:sz w:val="17"/>
          <w:szCs w:val="17"/>
          <w:color w:val="auto"/>
        </w:rPr>
        <w:t>‑</w:t>
      </w:r>
      <w:r>
        <w:rPr>
          <w:rFonts w:ascii="Arial" w:cs="Arial" w:eastAsia="Arial" w:hAnsi="Arial"/>
          <w:sz w:val="17"/>
          <w:szCs w:val="17"/>
          <w:color w:val="auto"/>
        </w:rPr>
        <w:t>125819, demonstrated potent inhibition of HBsAg release from HBV-infected cells. When dosed in vivo in the AAV-HBV mouse model of CHB infection, a single 5 mg/kg subcutaneous injection resulted in a sustained reduction of serum HBsAg of approximately 1-1.5 log</w:t>
      </w:r>
      <w:r>
        <w:rPr>
          <w:rFonts w:ascii="Arial" w:cs="Arial" w:eastAsia="Arial" w:hAnsi="Arial"/>
          <w:sz w:val="14"/>
          <w:szCs w:val="14"/>
          <w:color w:val="auto"/>
        </w:rPr>
        <w:t>10</w:t>
      </w:r>
      <w:r>
        <w:rPr>
          <w:rFonts w:ascii="Arial" w:cs="Arial" w:eastAsia="Arial" w:hAnsi="Arial"/>
          <w:sz w:val="17"/>
          <w:szCs w:val="17"/>
          <w:color w:val="auto"/>
        </w:rPr>
        <w:t xml:space="preserve"> IU/mL through the last measurement at 28 days. The results from these experiments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125730</wp:posOffset>
            </wp:positionV>
            <wp:extent cx="5186045" cy="1783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8604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589"/>
        <w:spacing w:after="0" w:line="220" w:lineRule="exact"/>
        <w:rPr>
          <w:sz w:val="20"/>
          <w:szCs w:val="20"/>
          <w:color w:val="auto"/>
        </w:rPr>
      </w:pPr>
      <w:r>
        <w:rPr>
          <w:rFonts w:ascii="Arial" w:cs="Arial" w:eastAsia="Arial" w:hAnsi="Arial"/>
          <w:sz w:val="18"/>
          <w:szCs w:val="18"/>
          <w:color w:val="auto"/>
        </w:rPr>
        <w:t>Currently, we are conducting additional studies using these siRNA drug candidates in the AAV-HBV mouse model to establish the effect of doses and dosing regimens on the extent and duration of HBsAg reduction. We plan to initiate toxicology studies with ALG</w:t>
      </w:r>
      <w:r>
        <w:rPr>
          <w:rFonts w:ascii="MS PGothic" w:cs="MS PGothic" w:eastAsia="MS PGothic" w:hAnsi="MS PGothic"/>
          <w:sz w:val="18"/>
          <w:szCs w:val="18"/>
          <w:color w:val="auto"/>
        </w:rPr>
        <w:t>‑</w:t>
      </w:r>
      <w:r>
        <w:rPr>
          <w:rFonts w:ascii="Arial" w:cs="Arial" w:eastAsia="Arial" w:hAnsi="Arial"/>
          <w:sz w:val="18"/>
          <w:szCs w:val="18"/>
          <w:color w:val="auto"/>
        </w:rPr>
        <w:t>125755 in the second half of 2021 to support first-in-human trials.</w:t>
      </w:r>
    </w:p>
    <w:p>
      <w:pPr>
        <w:spacing w:after="0" w:line="204" w:lineRule="exact"/>
        <w:rPr>
          <w:sz w:val="20"/>
          <w:szCs w:val="20"/>
          <w:color w:val="auto"/>
        </w:rPr>
      </w:pPr>
    </w:p>
    <w:p>
      <w:pPr>
        <w:ind w:right="460" w:firstLine="589"/>
        <w:spacing w:after="0" w:line="223" w:lineRule="exact"/>
        <w:rPr>
          <w:sz w:val="20"/>
          <w:szCs w:val="20"/>
          <w:color w:val="auto"/>
        </w:rPr>
      </w:pPr>
      <w:r>
        <w:rPr>
          <w:rFonts w:ascii="Arial" w:cs="Arial" w:eastAsia="Arial" w:hAnsi="Arial"/>
          <w:sz w:val="18"/>
          <w:szCs w:val="18"/>
          <w:color w:val="auto"/>
        </w:rPr>
        <w:t>In conclusion, our proprietary siRNA technology is based on modifying chemistries and has resulted in the identification of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125755, that have promising profiles with long lasting durability in nonclinical CHB models.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combination data</w:t>
      </w:r>
    </w:p>
    <w:p>
      <w:pPr>
        <w:spacing w:after="0" w:line="117" w:lineRule="exact"/>
        <w:rPr>
          <w:sz w:val="20"/>
          <w:szCs w:val="20"/>
          <w:color w:val="auto"/>
        </w:rPr>
      </w:pPr>
    </w:p>
    <w:p>
      <w:pPr>
        <w:ind w:right="340" w:firstLine="589"/>
        <w:spacing w:after="0" w:line="274" w:lineRule="auto"/>
        <w:rPr>
          <w:sz w:val="20"/>
          <w:szCs w:val="20"/>
          <w:color w:val="auto"/>
        </w:rPr>
      </w:pPr>
      <w:r>
        <w:rPr>
          <w:rFonts w:ascii="Arial" w:cs="Arial" w:eastAsia="Arial" w:hAnsi="Arial"/>
          <w:sz w:val="17"/>
          <w:szCs w:val="17"/>
          <w:color w:val="auto"/>
        </w:rPr>
        <w:t>We performed in vitro studies in HepG2.2.15 cells to assess the potential for drug-drug interactions on HBsAg or HBV DNA reductions when combining our drug candidates, and the degree of synergy was quantified using MacSynergy II software. Combinations of our STOPS</w:t>
      </w:r>
    </w:p>
    <w:p>
      <w:pPr>
        <w:ind w:right="420"/>
        <w:spacing w:after="0" w:line="216" w:lineRule="exact"/>
        <w:rPr>
          <w:sz w:val="20"/>
          <w:szCs w:val="20"/>
          <w:color w:val="auto"/>
        </w:rPr>
      </w:pPr>
      <w:r>
        <w:rPr>
          <w:rFonts w:ascii="Arial" w:cs="Arial" w:eastAsia="Arial" w:hAnsi="Arial"/>
          <w:sz w:val="17"/>
          <w:szCs w:val="17"/>
          <w:color w:val="auto"/>
        </w:rPr>
        <w:t>molecule, ALG</w:t>
      </w:r>
      <w:r>
        <w:rPr>
          <w:rFonts w:ascii="MS PGothic" w:cs="MS PGothic" w:eastAsia="MS PGothic" w:hAnsi="MS PGothic"/>
          <w:sz w:val="17"/>
          <w:szCs w:val="17"/>
          <w:color w:val="auto"/>
        </w:rPr>
        <w:t>‑</w:t>
      </w:r>
      <w:r>
        <w:rPr>
          <w:rFonts w:ascii="Arial" w:cs="Arial" w:eastAsia="Arial" w:hAnsi="Arial"/>
          <w:sz w:val="17"/>
          <w:szCs w:val="17"/>
          <w:color w:val="auto"/>
        </w:rPr>
        <w:t>010133, our CAM drug candidate, ALG</w:t>
      </w:r>
      <w:r>
        <w:rPr>
          <w:rFonts w:ascii="MS PGothic" w:cs="MS PGothic" w:eastAsia="MS PGothic" w:hAnsi="MS PGothic"/>
          <w:sz w:val="17"/>
          <w:szCs w:val="17"/>
          <w:color w:val="auto"/>
        </w:rPr>
        <w:t>‑</w:t>
      </w:r>
      <w:r>
        <w:rPr>
          <w:rFonts w:ascii="Arial" w:cs="Arial" w:eastAsia="Arial" w:hAnsi="Arial"/>
          <w:sz w:val="17"/>
          <w:szCs w:val="17"/>
          <w:color w:val="auto"/>
        </w:rPr>
        <w:t>001075, or our ASO drug candidate, ALG</w:t>
      </w:r>
      <w:r>
        <w:rPr>
          <w:rFonts w:ascii="MS PGothic" w:cs="MS PGothic" w:eastAsia="MS PGothic" w:hAnsi="MS PGothic"/>
          <w:sz w:val="17"/>
          <w:szCs w:val="17"/>
          <w:color w:val="auto"/>
        </w:rPr>
        <w:t>‑</w:t>
      </w:r>
      <w:r>
        <w:rPr>
          <w:rFonts w:ascii="Arial" w:cs="Arial" w:eastAsia="Arial" w:hAnsi="Arial"/>
          <w:sz w:val="17"/>
          <w:szCs w:val="17"/>
          <w:color w:val="auto"/>
        </w:rPr>
        <w:t>020572, with other inhibitors of HBV replication generally demonstrated either additive or synergistic interactions. We also studied in vivo combinations in the AAV</w:t>
      </w:r>
      <w:r>
        <w:rPr>
          <w:rFonts w:ascii="MS PGothic" w:cs="MS PGothic" w:eastAsia="MS PGothic" w:hAnsi="MS PGothic"/>
          <w:sz w:val="17"/>
          <w:szCs w:val="17"/>
          <w:color w:val="auto"/>
        </w:rPr>
        <w:t>‑</w:t>
      </w:r>
      <w:r>
        <w:rPr>
          <w:rFonts w:ascii="Arial" w:cs="Arial" w:eastAsia="Arial" w:hAnsi="Arial"/>
          <w:sz w:val="17"/>
          <w:szCs w:val="17"/>
          <w:color w:val="auto"/>
        </w:rPr>
        <w:t>HBV mouse model with ALG</w:t>
      </w:r>
      <w:r>
        <w:rPr>
          <w:rFonts w:ascii="MS PGothic" w:cs="MS PGothic" w:eastAsia="MS PGothic" w:hAnsi="MS PGothic"/>
          <w:sz w:val="17"/>
          <w:szCs w:val="17"/>
          <w:color w:val="auto"/>
        </w:rPr>
        <w:t>‑</w:t>
      </w:r>
      <w:r>
        <w:rPr>
          <w:rFonts w:ascii="Arial" w:cs="Arial" w:eastAsia="Arial" w:hAnsi="Arial"/>
          <w:sz w:val="17"/>
          <w:szCs w:val="17"/>
          <w:color w:val="auto"/>
        </w:rPr>
        <w:t>020572. These studies indicate that our drug candidates could become part of an effective combination regimen for CHB.</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Clinical development plan for CHB</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approach for developing a best-in-class CHB combination regimen is to discover and develop drug candidates initially targeting clinically validated MOAs, which are evaluated as monotherapy in Phase 1 and subsequently studied in Phase 2 and Phase 3 combination trials. This approach maximizes the chance of achieving higher rates of functional cure compared to current standard of care. Our CHB development strategy is depicted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127635</wp:posOffset>
            </wp:positionV>
            <wp:extent cx="5066030" cy="1929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6603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0"/>
        <w:spacing w:after="0" w:line="207" w:lineRule="exact"/>
        <w:rPr>
          <w:sz w:val="20"/>
          <w:szCs w:val="20"/>
          <w:color w:val="auto"/>
        </w:rPr>
      </w:pPr>
      <w:r>
        <w:rPr>
          <w:rFonts w:ascii="Arial" w:cs="Arial" w:eastAsia="Arial" w:hAnsi="Arial"/>
          <w:sz w:val="18"/>
          <w:szCs w:val="18"/>
          <w:color w:val="auto"/>
        </w:rPr>
        <w:t>Both our STOPS molecule (ALG</w:t>
      </w:r>
      <w:r>
        <w:rPr>
          <w:rFonts w:ascii="MS PGothic" w:cs="MS PGothic" w:eastAsia="MS PGothic" w:hAnsi="MS PGothic"/>
          <w:sz w:val="18"/>
          <w:szCs w:val="18"/>
          <w:color w:val="auto"/>
        </w:rPr>
        <w:t>‑</w:t>
      </w:r>
      <w:r>
        <w:rPr>
          <w:rFonts w:ascii="Arial" w:cs="Arial" w:eastAsia="Arial" w:hAnsi="Arial"/>
          <w:sz w:val="18"/>
          <w:szCs w:val="18"/>
          <w:color w:val="auto"/>
        </w:rPr>
        <w:t>010133) and our CAM molecule (ALG</w:t>
      </w:r>
      <w:r>
        <w:rPr>
          <w:rFonts w:ascii="MS PGothic" w:cs="MS PGothic" w:eastAsia="MS PGothic" w:hAnsi="MS PGothic"/>
          <w:sz w:val="18"/>
          <w:szCs w:val="18"/>
          <w:color w:val="auto"/>
        </w:rPr>
        <w:t>‑</w:t>
      </w:r>
      <w:r>
        <w:rPr>
          <w:rFonts w:ascii="Arial" w:cs="Arial" w:eastAsia="Arial" w:hAnsi="Arial"/>
          <w:sz w:val="18"/>
          <w:szCs w:val="18"/>
          <w:color w:val="auto"/>
        </w:rPr>
        <w:t>000184) Phase 1 clinical trials are ongoing.</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figure below illustrates our planned general approach to Phase 1 trial design for each of our CHB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151765</wp:posOffset>
            </wp:positionV>
            <wp:extent cx="5194935" cy="2091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9493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3" w:name="page24"/>
    <w:bookmarkEnd w:id="23"/>
    <w:p>
      <w:pPr>
        <w:jc w:val="both"/>
        <w:ind w:right="400" w:firstLine="589"/>
        <w:spacing w:after="0" w:line="286" w:lineRule="auto"/>
        <w:rPr>
          <w:sz w:val="20"/>
          <w:szCs w:val="20"/>
          <w:color w:val="auto"/>
        </w:rPr>
      </w:pPr>
      <w:r>
        <w:rPr>
          <w:rFonts w:ascii="Arial" w:cs="Arial" w:eastAsia="Arial" w:hAnsi="Arial"/>
          <w:sz w:val="17"/>
          <w:szCs w:val="17"/>
          <w:color w:val="auto"/>
        </w:rPr>
        <w:t>Although we expect the basic Phase 1 trial design to be the same across all of our CHB drug candidates, we anticipate there will be important differences, which include routes of administration, dose and dosing frequency, patient population, and key viral markers. A summary table of the key Phase 1 design elements and how we expect them to differ across our drug candidates can be found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114300</wp:posOffset>
            </wp:positionV>
            <wp:extent cx="5340350" cy="2331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035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Drug candidates that show favorable risk/benefit profiles as monotherapy in Phase 1 will be evaluated in combination in our Phase 2 platform trials. This platform approach allows us to evaluate many combinations of our drug candidates along with approved drugs and/or other drug candidates in development, as needed. This strategy allows us to identify combination regimens that could achieve a higher rate of functional cure compared to current standard of care. The optimized regimen(s) identified in Phase 2 will then be evaluated in Phase 3 registrational trials.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NASH</w:t>
      </w:r>
    </w:p>
    <w:p>
      <w:pPr>
        <w:spacing w:after="0" w:line="121"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One of the effects of improper diet and insufficient exercise is the accumulation of fatty deposits in the liver, referred to as nonalcoholic fatty liver disease (NAFLD), which was estimated to occur in approximately 25% of the worldwide population as of 2015. At that time, an estimated 1.5% to 6.5% of the global population was estimated to have an ongoing inflammatory response to these excess fat deposits, which is referred to as NASH. Over the past several years, the prevalence of NASH has continued to rise. In the United States alone, the prevalence of NASH is projected to increase from approximately 16.5 million in 2015 to 27.0 million in 2030. In the absence of changes in diet and exercise, the inflammation inherent in NASH persists and may result in progressive fibrosis of the liver, which may result in cirrhosis. These fibrotic changes are associated with numerous morbidities including recurrent hospitalization for complications of cirrhosis, hepatocellular carcinoma, need for liver transplant, and death.</w:t>
      </w:r>
    </w:p>
    <w:p>
      <w:pPr>
        <w:spacing w:after="0" w:line="17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only widely accepted treatment for NASH is weight loss through behavioral modifications such as diet and exercise, which is difficult to achieve at the broad population level. As there are currently no approved drugs to treat NASH, many development programs are underway to identify drugs to address this epidemic. One of the promising MOAs in the NASH space appears to be drugs which preferentially target the beta subtype of the THR receptor.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THR-ß background</w:t>
      </w:r>
    </w:p>
    <w:p>
      <w:pPr>
        <w:spacing w:after="0" w:line="117" w:lineRule="exact"/>
        <w:rPr>
          <w:sz w:val="20"/>
          <w:szCs w:val="20"/>
          <w:color w:val="auto"/>
        </w:rPr>
      </w:pPr>
    </w:p>
    <w:p>
      <w:pPr>
        <w:ind w:right="40" w:firstLine="589"/>
        <w:spacing w:after="0" w:line="219" w:lineRule="exact"/>
        <w:rPr>
          <w:sz w:val="20"/>
          <w:szCs w:val="20"/>
          <w:color w:val="auto"/>
        </w:rPr>
      </w:pPr>
      <w:r>
        <w:rPr>
          <w:rFonts w:ascii="Arial" w:cs="Arial" w:eastAsia="Arial" w:hAnsi="Arial"/>
          <w:sz w:val="16"/>
          <w:szCs w:val="16"/>
          <w:color w:val="auto"/>
        </w:rPr>
        <w:t>The thyroid hormone triiodothyronine (T3) has many physiological effects throughout the body, ranging from increasing metabolism, including fat metabolism, to stimulating growth and development. T3 exerts its effects by binding to the thyroid hormone receptor (THR), which has two subtypes: alpha (THR-α) and beta (THR-b). The distribution of the two THR subtypes varies by organ, with THR-b predominantly expressed in the liver and THR</w:t>
      </w:r>
      <w:r>
        <w:rPr>
          <w:rFonts w:ascii="MS PGothic" w:cs="MS PGothic" w:eastAsia="MS PGothic" w:hAnsi="MS PGothic"/>
          <w:sz w:val="16"/>
          <w:szCs w:val="16"/>
          <w:color w:val="auto"/>
        </w:rPr>
        <w:t>‑</w:t>
      </w:r>
      <w:r>
        <w:rPr>
          <w:rFonts w:ascii="Arial" w:cs="Arial" w:eastAsia="Arial" w:hAnsi="Arial"/>
          <w:sz w:val="16"/>
          <w:szCs w:val="16"/>
          <w:color w:val="auto"/>
        </w:rPr>
        <w:t>α predominantly expressed in other tissues (e.g., heart, skeletal muscles and bone). Drug candidates like resmetirom, which preferentially binds the THR-b subtype, have been shown in clinical trials to lower lipid levels in serum and the liver, while avoiding the unwanted effects associated</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with THR-α stimulation. In addition to the intended effect of lowering liver lipid levels in NASH patients, lowering serum lipid levels via THR-b agonism may have favorable consequences in this population, which has a high rate of underlying cardiovascular disease.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24" w:name="page25"/>
    <w:bookmarkEnd w:id="24"/>
    <w:p>
      <w:pPr>
        <w:ind w:right="60" w:firstLine="589"/>
        <w:spacing w:after="0" w:line="272" w:lineRule="auto"/>
        <w:rPr>
          <w:sz w:val="20"/>
          <w:szCs w:val="20"/>
          <w:color w:val="auto"/>
        </w:rPr>
      </w:pPr>
      <w:r>
        <w:rPr>
          <w:rFonts w:ascii="Arial" w:cs="Arial" w:eastAsia="Arial" w:hAnsi="Arial"/>
          <w:sz w:val="17"/>
          <w:szCs w:val="17"/>
          <w:color w:val="auto"/>
        </w:rPr>
        <w:t>There are multiple other mechanisms being explored for the treatment of NASH, but none have yet to demonstrate a favorable risk/benefit profile and many have important limitations. In some cases, mechanisms such as Farnesoid X Receptor (FXR) agonists, Fibroblast Growth Factor-19 analogs, and Acetyl-CoA Carboxylase inhibitors have been shown to increase serum lipid profiles, which may require additional pharmacologic therapy or put patients at additional risk of cardiovascular disease. In other cases, mechanisms such as FXR agonists and drugs targeting various subtypes of the Peroxisome Proliferator Activated Receptors are associated with dose limiting toxicities such as pruritus and edema, respectively, that might limit widespread uptake even if approved. Other mechanisms in development, such as FGF19/FGF21 analogs, require subcutaneous administration, which may similarly limit widespread adoption even if approved.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molecule approaches</w:t>
      </w:r>
    </w:p>
    <w:p>
      <w:pPr>
        <w:spacing w:after="0" w:line="229" w:lineRule="exact"/>
        <w:rPr>
          <w:sz w:val="20"/>
          <w:szCs w:val="20"/>
          <w:color w:val="auto"/>
        </w:rPr>
      </w:pPr>
    </w:p>
    <w:p>
      <w:pPr>
        <w:ind w:firstLine="589"/>
        <w:spacing w:after="0" w:line="217" w:lineRule="exact"/>
        <w:rPr>
          <w:sz w:val="20"/>
          <w:szCs w:val="20"/>
          <w:color w:val="auto"/>
        </w:rPr>
      </w:pPr>
      <w:r>
        <w:rPr>
          <w:rFonts w:ascii="Arial" w:cs="Arial" w:eastAsia="Arial" w:hAnsi="Arial"/>
          <w:sz w:val="16"/>
          <w:szCs w:val="16"/>
          <w:color w:val="auto"/>
        </w:rPr>
        <w:t>The most advanced THR-b agonists in clinical development are VK-2809 in Phase 2b and resmetirom in Phase 3. Both of these drugs have demonstrated significant reductions in lipid levels in the liver and serum and, to date, have an acceptable risk-benefit profile. In addition, resmetirom has demonstrated histologic evidence of NASH resolution in Phase 2 trials, which is one of two FDA approvable endpoints. Our lead THR-ß drug candidate ALG</w:t>
      </w:r>
      <w:r>
        <w:rPr>
          <w:rFonts w:ascii="MS PGothic" w:cs="MS PGothic" w:eastAsia="MS PGothic" w:hAnsi="MS PGothic"/>
          <w:sz w:val="16"/>
          <w:szCs w:val="16"/>
          <w:color w:val="auto"/>
        </w:rPr>
        <w:t>‑</w:t>
      </w:r>
      <w:r>
        <w:rPr>
          <w:rFonts w:ascii="Arial" w:cs="Arial" w:eastAsia="Arial" w:hAnsi="Arial"/>
          <w:sz w:val="16"/>
          <w:szCs w:val="16"/>
          <w:color w:val="auto"/>
        </w:rPr>
        <w:t>055009 may have important advantages over these compounds. Side-by-side biochemical and cell-based experiments in HEK293T cells indicate that ALG</w:t>
      </w:r>
      <w:r>
        <w:rPr>
          <w:rFonts w:ascii="MS PGothic" w:cs="MS PGothic" w:eastAsia="MS PGothic" w:hAnsi="MS PGothic"/>
          <w:sz w:val="16"/>
          <w:szCs w:val="16"/>
          <w:color w:val="auto"/>
        </w:rPr>
        <w:t>‑</w:t>
      </w:r>
      <w:r>
        <w:rPr>
          <w:rFonts w:ascii="Arial" w:cs="Arial" w:eastAsia="Arial" w:hAnsi="Arial"/>
          <w:sz w:val="16"/>
          <w:szCs w:val="16"/>
          <w:color w:val="auto"/>
        </w:rPr>
        <w:t>055009 is 5- to 47-fold more potent and 3- to 2-fold more selective for the b receptor compared to VK-2809 and resmetirom, respectively, which may optimize the risk</w:t>
      </w:r>
      <w:r>
        <w:rPr>
          <w:rFonts w:ascii="MS PGothic" w:cs="MS PGothic" w:eastAsia="MS PGothic" w:hAnsi="MS PGothic"/>
          <w:sz w:val="16"/>
          <w:szCs w:val="16"/>
          <w:color w:val="auto"/>
        </w:rPr>
        <w:t>‑</w:t>
      </w:r>
      <w:r>
        <w:rPr>
          <w:rFonts w:ascii="Arial" w:cs="Arial" w:eastAsia="Arial" w:hAnsi="Arial"/>
          <w:sz w:val="16"/>
          <w:szCs w:val="16"/>
          <w:color w:val="auto"/>
        </w:rPr>
        <w:t>benefit profile for ALG</w:t>
      </w:r>
      <w:r>
        <w:rPr>
          <w:rFonts w:ascii="MS PGothic" w:cs="MS PGothic" w:eastAsia="MS PGothic" w:hAnsi="MS PGothic"/>
          <w:sz w:val="16"/>
          <w:szCs w:val="16"/>
          <w:color w:val="auto"/>
        </w:rPr>
        <w:t>‑</w:t>
      </w:r>
      <w:r>
        <w:rPr>
          <w:rFonts w:ascii="Arial" w:cs="Arial" w:eastAsia="Arial" w:hAnsi="Arial"/>
          <w:sz w:val="16"/>
          <w:szCs w:val="16"/>
          <w:color w:val="auto"/>
        </w:rPr>
        <w:t>055009. When studied in a diet induced obesity (DIO) mouse model, these potency advantages were shown to result in greater serum lipid reductions compared to what has been previously reported for VK-2809 and resmetirom at exposures being evaluated in the clinic. Specifically, ALG</w:t>
      </w:r>
      <w:r>
        <w:rPr>
          <w:rFonts w:ascii="MS PGothic" w:cs="MS PGothic" w:eastAsia="MS PGothic" w:hAnsi="MS PGothic"/>
          <w:sz w:val="16"/>
          <w:szCs w:val="16"/>
          <w:color w:val="auto"/>
        </w:rPr>
        <w:t>‑</w:t>
      </w:r>
      <w:r>
        <w:rPr>
          <w:rFonts w:ascii="Arial" w:cs="Arial" w:eastAsia="Arial" w:hAnsi="Arial"/>
          <w:sz w:val="16"/>
          <w:szCs w:val="16"/>
          <w:color w:val="auto"/>
        </w:rPr>
        <w:t>055009 achieved a 34% reduction in serum total cholesterol levels with an acceptable safety profile (e.g., no clinically relevant changes in thyroid hormone levels) in mice, as shown in the figure below. An ALG</w:t>
      </w:r>
      <w:r>
        <w:rPr>
          <w:rFonts w:ascii="MS PGothic" w:cs="MS PGothic" w:eastAsia="MS PGothic" w:hAnsi="MS PGothic"/>
          <w:sz w:val="16"/>
          <w:szCs w:val="16"/>
          <w:color w:val="auto"/>
        </w:rPr>
        <w:t>‑</w:t>
      </w:r>
      <w:r>
        <w:rPr>
          <w:rFonts w:ascii="Arial" w:cs="Arial" w:eastAsia="Arial" w:hAnsi="Arial"/>
          <w:sz w:val="16"/>
          <w:szCs w:val="16"/>
          <w:color w:val="auto"/>
        </w:rPr>
        <w:t>055009 dose-related decrease in serum LDL-C was also noted in mice. Further, nonclinical pharmacokinetic studies of ALG</w:t>
      </w:r>
      <w:r>
        <w:rPr>
          <w:rFonts w:ascii="MS PGothic" w:cs="MS PGothic" w:eastAsia="MS PGothic" w:hAnsi="MS PGothic"/>
          <w:sz w:val="16"/>
          <w:szCs w:val="16"/>
          <w:color w:val="auto"/>
        </w:rPr>
        <w:t>‑</w:t>
      </w:r>
      <w:r>
        <w:rPr>
          <w:rFonts w:ascii="Arial" w:cs="Arial" w:eastAsia="Arial" w:hAnsi="Arial"/>
          <w:sz w:val="16"/>
          <w:szCs w:val="16"/>
          <w:color w:val="auto"/>
        </w:rPr>
        <w:t>055009 predict low, once-daily dosing in humans with a low risk of drug-drug interactions.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140335</wp:posOffset>
            </wp:positionV>
            <wp:extent cx="5160645" cy="3780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60645"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5" w:name="page26"/>
    <w:bookmarkEnd w:id="25"/>
    <w:p>
      <w:pPr>
        <w:spacing w:after="0" w:line="207" w:lineRule="exact"/>
        <w:rPr>
          <w:sz w:val="20"/>
          <w:szCs w:val="20"/>
          <w:color w:val="auto"/>
        </w:rPr>
      </w:pPr>
      <w:r>
        <w:rPr>
          <w:rFonts w:ascii="Arial" w:cs="Arial" w:eastAsia="Arial" w:hAnsi="Arial"/>
          <w:sz w:val="18"/>
          <w:szCs w:val="18"/>
          <w:b w:val="1"/>
          <w:bCs w:val="1"/>
          <w:i w:val="1"/>
          <w:iCs w:val="1"/>
          <w:color w:val="auto"/>
        </w:rPr>
        <w:t>ALG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055009 development plans</w:t>
      </w:r>
    </w:p>
    <w:p>
      <w:pPr>
        <w:spacing w:after="0" w:line="117" w:lineRule="exact"/>
        <w:rPr>
          <w:sz w:val="20"/>
          <w:szCs w:val="20"/>
          <w:color w:val="auto"/>
        </w:rPr>
      </w:pPr>
    </w:p>
    <w:p>
      <w:pPr>
        <w:ind w:right="40" w:firstLine="589"/>
        <w:spacing w:after="0" w:line="217" w:lineRule="exact"/>
        <w:rPr>
          <w:sz w:val="20"/>
          <w:szCs w:val="20"/>
          <w:color w:val="auto"/>
        </w:rPr>
      </w:pPr>
      <w:r>
        <w:rPr>
          <w:rFonts w:ascii="Arial" w:cs="Arial" w:eastAsia="Arial" w:hAnsi="Arial"/>
          <w:sz w:val="17"/>
          <w:szCs w:val="17"/>
          <w:color w:val="auto"/>
        </w:rPr>
        <w:t>Toxicology studies to support first-in-human trials are ongoing. In keeping with our general clinical development strategy, the first planned human trial of ALG</w:t>
      </w:r>
      <w:r>
        <w:rPr>
          <w:rFonts w:ascii="MS PGothic" w:cs="MS PGothic" w:eastAsia="MS PGothic" w:hAnsi="MS PGothic"/>
          <w:sz w:val="17"/>
          <w:szCs w:val="17"/>
          <w:color w:val="auto"/>
        </w:rPr>
        <w:t>‑</w:t>
      </w:r>
      <w:r>
        <w:rPr>
          <w:rFonts w:ascii="Arial" w:cs="Arial" w:eastAsia="Arial" w:hAnsi="Arial"/>
          <w:sz w:val="17"/>
          <w:szCs w:val="17"/>
          <w:color w:val="auto"/>
        </w:rPr>
        <w:t>055009 is expected to be a Phase 1a/1b umbrella study assessing orally administered single ascending doses in healthy volunteers followed by multiple ascending doses administered orally once-daily (QD) in subjects with mild hyperlipidemia. We expect this study to commence in the second half of 2021 (with data readouts expected to begin in the first half of 2022) and the study to be complete by the second half of 2022. The data from this study will establish proof of activity and help identify doses that may be evaluated in larger studies involving patients with NASH. With this proof of activity in hand, we would have several options for further development, including continuing the development of the drug candidate into a Phase 2 clinical trial that we would sponsor. Alternatively, we may explore partnering ALG</w:t>
      </w:r>
      <w:r>
        <w:rPr>
          <w:rFonts w:ascii="MS PGothic" w:cs="MS PGothic" w:eastAsia="MS PGothic" w:hAnsi="MS PGothic"/>
          <w:sz w:val="17"/>
          <w:szCs w:val="17"/>
          <w:color w:val="auto"/>
        </w:rPr>
        <w:t>‑</w:t>
      </w:r>
      <w:r>
        <w:rPr>
          <w:rFonts w:ascii="Arial" w:cs="Arial" w:eastAsia="Arial" w:hAnsi="Arial"/>
          <w:sz w:val="17"/>
          <w:szCs w:val="17"/>
          <w:color w:val="auto"/>
        </w:rPr>
        <w:t>055009 with a third-party that has an existing drug candidate for the treatment of NASH with a complementary MOA, either in a clinical collaboration or as an out-license opportunity. We believe this may be an ideal time to seek a partnership for ALG</w:t>
      </w:r>
      <w:r>
        <w:rPr>
          <w:rFonts w:ascii="MS PGothic" w:cs="MS PGothic" w:eastAsia="MS PGothic" w:hAnsi="MS PGothic"/>
          <w:sz w:val="17"/>
          <w:szCs w:val="17"/>
          <w:color w:val="auto"/>
        </w:rPr>
        <w:t>‑</w:t>
      </w:r>
      <w:r>
        <w:rPr>
          <w:rFonts w:ascii="Arial" w:cs="Arial" w:eastAsia="Arial" w:hAnsi="Arial"/>
          <w:sz w:val="17"/>
          <w:szCs w:val="17"/>
          <w:color w:val="auto"/>
        </w:rPr>
        <w:t>055009, as we expect enthusiasm for the THR-β MOA to be high after the expected Phase 3 resmetirom and Phase 2b VK-2809 readouts, which are expected in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Oligonucleotide approaches</w:t>
      </w:r>
    </w:p>
    <w:p>
      <w:pPr>
        <w:spacing w:after="0" w:line="117" w:lineRule="exact"/>
        <w:rPr>
          <w:sz w:val="20"/>
          <w:szCs w:val="20"/>
          <w:color w:val="auto"/>
        </w:rPr>
      </w:pPr>
    </w:p>
    <w:p>
      <w:pPr>
        <w:ind w:right="40" w:firstLine="864"/>
        <w:spacing w:after="0" w:line="279" w:lineRule="auto"/>
        <w:rPr>
          <w:sz w:val="20"/>
          <w:szCs w:val="20"/>
          <w:color w:val="auto"/>
        </w:rPr>
      </w:pPr>
      <w:r>
        <w:rPr>
          <w:rFonts w:ascii="Arial" w:cs="Arial" w:eastAsia="Arial" w:hAnsi="Arial"/>
          <w:sz w:val="17"/>
          <w:szCs w:val="17"/>
          <w:color w:val="auto"/>
        </w:rPr>
        <w:t>Recently, genome-wide association and large candidate gene studies have enriched our understanding of the genetic basis of NASH. Variants in multiple human genome sequences have been identified as major common genetic determinants of this disease. We are collaborating with Merck to apply our oligonucleotide platform technology to discover, research, optimize and develop oligonucleotides directed against a NASH target. In addition, we continue to evaluate additional targets for their utility in developing an oligonucleotide based treatment for NASH.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Coronaviruses</w:t>
      </w:r>
    </w:p>
    <w:p>
      <w:pPr>
        <w:spacing w:after="0" w:line="121"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SARS-CoV-2 is responsible for the COVID-19 pandemic, which has infected more than 108 million individuals and is responsible for the death of more than 2.4 million individuals worldwide. After MERS and SARS (SARS-CoV-1), SARS-CoV-2 is the third known coronavirus to cross over from animal species to humans and cause significant morbidity and mortality in the past 20 years. Due to the ongoing SARS-CoV-2 pandemic and the risk of additional novel coronaviruses emerging in the future, there is a need to develop novel therapeutics with pan-coronavirus activity that have a high barrier to resistance. While multiple vaccines have recently become available, it is unlikely that vaccination will be fully efficacious and widely adopted, indicating that a need for effective treatments will remain. The emergence of several SARS-CoV-2 variants in various countries may also represent an additional challenge for current vaccines.</w:t>
      </w:r>
    </w:p>
    <w:p>
      <w:pPr>
        <w:spacing w:after="0" w:line="195"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Many of the drugs currently being evaluated have not been optimized for the treatment of coronavirus infections such as SARS-CoV-2 or have only shown efficacy in certain patient populations. Therefore, there is a need for new efficacious, purpose-built drugs which target a broad range of coronaviruses that would be suitable for use across a wide range of patient populations and clinical settings, including in pre-exposure prophylaxis</w:t>
      </w:r>
    </w:p>
    <w:p>
      <w:pPr>
        <w:jc w:val="both"/>
        <w:ind w:right="40"/>
        <w:spacing w:after="0" w:line="253" w:lineRule="auto"/>
        <w:rPr>
          <w:sz w:val="20"/>
          <w:szCs w:val="20"/>
          <w:color w:val="auto"/>
        </w:rPr>
      </w:pPr>
      <w:r>
        <w:rPr>
          <w:rFonts w:ascii="Arial" w:cs="Arial" w:eastAsia="Arial" w:hAnsi="Arial"/>
          <w:sz w:val="18"/>
          <w:szCs w:val="18"/>
          <w:color w:val="auto"/>
        </w:rPr>
        <w:t>and post-exposure treatment. We believe that a combination of antiviral drugs targeting multiple steps of the viral replication cycle poses the best chance of success. This approach maximizes the odds of covering a broad range of coronavirus strains and protecting against the emergence of resistance. To address this urgent unmet medical need, we are developing pan-coronavirus drug candidates including oligonucleotide and small molecule approaches that may be used in combination regimens.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Disease overview and biology</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life cycle of SARS-CoV-2 is illustrated in the figure below. The spike (S) protein binds to the angiotensin-converting enzyme 2 cellular receptor, leading to a fusion of the viral envelope with the cell membrane through the endosomal pathway. SARS-CoV-2 RNA is then released into the host cell and is subsequently translated into viral replicase polyproteins pp1a and 1ab, which are then cleaved into small products by viral protease to form the RNA replicase–transcriptase complex. The polymerase produces a series of subgenomic mRNAs by transcription, which are eventually translated into relevant viral proteins. Viral proteins and genome RNA are subsequently assembled into virions in the endoplasmic reticulum and Golgi and then transported via vesicles and released out of the infected cells through exocytosis.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4594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86045"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approaches to coronaviruses</w:t>
      </w:r>
    </w:p>
    <w:p>
      <w:pPr>
        <w:spacing w:after="0" w:line="117" w:lineRule="exact"/>
        <w:rPr>
          <w:sz w:val="20"/>
          <w:szCs w:val="20"/>
          <w:color w:val="auto"/>
        </w:rPr>
      </w:pPr>
    </w:p>
    <w:p>
      <w:pPr>
        <w:ind w:right="140" w:firstLine="589"/>
        <w:spacing w:after="0" w:line="220" w:lineRule="exact"/>
        <w:rPr>
          <w:sz w:val="20"/>
          <w:szCs w:val="20"/>
          <w:color w:val="auto"/>
        </w:rPr>
      </w:pPr>
      <w:r>
        <w:rPr>
          <w:rFonts w:ascii="Arial" w:cs="Arial" w:eastAsia="Arial" w:hAnsi="Arial"/>
          <w:sz w:val="17"/>
          <w:szCs w:val="17"/>
          <w:color w:val="auto"/>
        </w:rPr>
        <w:t>Therapeutic options for coronaviruses are currently limited and have significant drawbacks. Remdesivir, a drug originally advanced for HCV and Respiratory Syncytial Virus, but repurposed for Ebola and, now, SARS</w:t>
      </w:r>
      <w:r>
        <w:rPr>
          <w:rFonts w:ascii="MS PGothic" w:cs="MS PGothic" w:eastAsia="MS PGothic" w:hAnsi="MS PGothic"/>
          <w:sz w:val="17"/>
          <w:szCs w:val="17"/>
          <w:color w:val="auto"/>
        </w:rPr>
        <w:t>‑</w:t>
      </w:r>
      <w:r>
        <w:rPr>
          <w:rFonts w:ascii="Arial" w:cs="Arial" w:eastAsia="Arial" w:hAnsi="Arial"/>
          <w:sz w:val="17"/>
          <w:szCs w:val="17"/>
          <w:color w:val="auto"/>
        </w:rPr>
        <w:t>CoV-2, is currently limited to IV administration in hospitalized patients and has been commonly associated with a high risk of ALT elevation. Dexamethasone, a corticosteroid, has been shown to lower mortality in severe SARS-CoV-2 infections, but has important safety liabilities, including immunosuppression, impaired wound healing and, rarely, anaphylaxis.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ind w:right="80" w:firstLine="589"/>
        <w:spacing w:after="0" w:line="218" w:lineRule="exact"/>
        <w:rPr>
          <w:sz w:val="20"/>
          <w:szCs w:val="20"/>
          <w:color w:val="auto"/>
        </w:rPr>
      </w:pPr>
      <w:r>
        <w:rPr>
          <w:rFonts w:ascii="Arial" w:cs="Arial" w:eastAsia="Arial" w:hAnsi="Arial"/>
          <w:sz w:val="18"/>
          <w:szCs w:val="18"/>
          <w:color w:val="auto"/>
        </w:rPr>
        <w:t>We are leveraging our expertise in virology and utilizing both our oligonucleotide and small molecule platforms to develop purpose-built pan-coronavirus drug candidates targeting key steps of the viral life cycle, which we intend to evaluate in combination. Building on the success of HIV and HCV protease inhibitors, which are integral components of existing therapies, we are exploring small molecule peptidomimetics that inhibit the 3C-like protease (3CLPro). 3CLPro is the essential enzyme that is responsible for cleaving well-defined regions of the viral polyprotein and is highly conserved across major coronaviruses including MERS, SARS-CoV-1 and SARS</w:t>
      </w:r>
      <w:r>
        <w:rPr>
          <w:rFonts w:ascii="MS PGothic" w:cs="MS PGothic" w:eastAsia="MS PGothic" w:hAnsi="MS PGothic"/>
          <w:sz w:val="18"/>
          <w:szCs w:val="18"/>
          <w:color w:val="auto"/>
        </w:rPr>
        <w:t>‑</w:t>
      </w:r>
      <w:r>
        <w:rPr>
          <w:rFonts w:ascii="Arial" w:cs="Arial" w:eastAsia="Arial" w:hAnsi="Arial"/>
          <w:sz w:val="18"/>
          <w:szCs w:val="18"/>
          <w:color w:val="auto"/>
        </w:rPr>
        <w:t>CoV-2. Drug candidates inhibiting the 3CLPro have the potential to be active against a wide range of coronavirus strains and become a foundational component of future combination regimens. We have identified multiple distinct proprietary lead series with potent nanomolar activity in a SARS-CoV-2 3CLPro protease assay and in multiple coronavirus cell-based assays. Our work in this area is being performed in collaboration with KU Leuven’s Rega Institute for Medical Research, as well as its Centre for Drug Design and Discovery.</w:t>
      </w:r>
    </w:p>
    <w:p>
      <w:pPr>
        <w:spacing w:after="0" w:line="204"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We are also leveraging our oligonucleotide platform to develop broadly active coronavirus drug candidates. Using our bioinformatics capabilities, we have identified over 350 highly conserved regions across coronavirus genomes. We are currently evaluating oligonucleotides with the goal of identifying a suitable lead sequence for further optimization into a drug candidate.</w:t>
      </w:r>
    </w:p>
    <w:p>
      <w:pPr>
        <w:spacing w:after="0" w:line="184"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Drawing on our small molecule and oligonucleotide approaches, we plan to develop a combination drug regimen that can serve in both treatment and prophylactic settings.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We plan to advance our coronavirus drug candidates individually in Phase 1 studies designed to evaluate the safety and pharmacokinetics of single and multiple ascending doses in healthy volunteers. Following this, we plan to conduct dose range finding Phase 2 studies in subjects infected</w:t>
      </w:r>
    </w:p>
    <w:p>
      <w:pPr>
        <w:spacing w:after="0" w:line="253" w:lineRule="auto"/>
        <w:rPr>
          <w:sz w:val="20"/>
          <w:szCs w:val="20"/>
          <w:color w:val="auto"/>
        </w:rPr>
      </w:pPr>
      <w:r>
        <w:rPr>
          <w:rFonts w:ascii="Arial" w:cs="Arial" w:eastAsia="Arial" w:hAnsi="Arial"/>
          <w:sz w:val="18"/>
          <w:szCs w:val="18"/>
          <w:color w:val="auto"/>
        </w:rPr>
        <w:t>with COVID-19 to evaluate proof of activity and identify a dosing regimen(s) to advance into larger confirmatory studies that could support drug registration. Following the initial Phase 2 study, we may evaluate combinations of our drug candidates, with or without the then-prevailing standard of care. We intend to assess a range of patient populations, including community and hospital-based subjects, as well as various degrees of disease severity, following the establishment of proof of activity. In addition to evaluating our drug candidates as treatment options after infection, we may also evaluate them as potential prophylactic or post-exposure therapies.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stage discovery efforts</w:t>
      </w:r>
    </w:p>
    <w:p>
      <w:pPr>
        <w:spacing w:after="0" w:line="121"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For all of our drug candidates, we are pursuing backup candidates in order to create a robust portfolio of assets which we can draw upon to create an optimized combination regimen for treatment in all of our disease areas of interest. We are also targeting additional novel viral and host targets with our oligonucleotide and small molecule platforms.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All of our assets are currently pre-commercial, and as such we have not yet established a sales and marketing organization or distribution capabilities. We intend to pursue independent development and commercialization in select indications and markets, and plan to build a commercial infrastructure to support a specialty sales and marketing organization, as well as distribution capabilities. Similar to our research, clinical and manufacturing operations, we expect to manage sales, marketing and distribution through dedicated staff and third-party contractors and consultants. We may opportunistically explore licensing agreements, collaborations or partnerships with one or more pharmaceutical companies to enhance our commercial capabilities.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We are currently developing drug candidates in two primary modalities: oligonucleotides and small molecules. We have internal oligonucleotide and small molecule chemistry teams that are able to produce drug candidates at sufficient scale to support discovery activities. In addition, we have a dedicated internal chemistry, manufacturing and control (CMC) team that works with contract development and manufacturing organizations to produce drug candidates in larger quantities, including to support nonclinical and clinical studies. We have built the teams and infrastructure needed to conduct and manage process development, analytical development, quality, manufacturing and supply chain activities.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Oligonucleotides</w:t>
      </w:r>
    </w:p>
    <w:p>
      <w:pPr>
        <w:spacing w:after="0" w:line="117" w:lineRule="exact"/>
        <w:rPr>
          <w:sz w:val="20"/>
          <w:szCs w:val="20"/>
          <w:color w:val="auto"/>
        </w:rPr>
      </w:pPr>
    </w:p>
    <w:p>
      <w:pPr>
        <w:ind w:right="340" w:firstLine="589"/>
        <w:spacing w:after="0" w:line="291" w:lineRule="auto"/>
        <w:rPr>
          <w:sz w:val="20"/>
          <w:szCs w:val="20"/>
          <w:color w:val="auto"/>
        </w:rPr>
      </w:pPr>
      <w:r>
        <w:rPr>
          <w:rFonts w:ascii="Arial" w:cs="Arial" w:eastAsia="Arial" w:hAnsi="Arial"/>
          <w:sz w:val="16"/>
          <w:szCs w:val="16"/>
          <w:color w:val="auto"/>
        </w:rPr>
        <w:t>Oligonucleotide manufacturing technology has matured significantly over the last several decades, with advanced oligonucleotide synthesizers commercially available to support smaller-scale synthesis, and a network of oligonucleotide contract manufacturers available to support larger-</w:t>
      </w:r>
    </w:p>
    <w:p>
      <w:pPr>
        <w:ind w:right="520"/>
        <w:spacing w:after="0" w:line="260" w:lineRule="auto"/>
        <w:rPr>
          <w:sz w:val="20"/>
          <w:szCs w:val="20"/>
          <w:color w:val="auto"/>
        </w:rPr>
      </w:pPr>
      <w:r>
        <w:rPr>
          <w:rFonts w:ascii="Arial" w:cs="Arial" w:eastAsia="Arial" w:hAnsi="Arial"/>
          <w:sz w:val="18"/>
          <w:szCs w:val="18"/>
          <w:color w:val="auto"/>
        </w:rPr>
        <w:t>scale syntheses. Our internal CMC team supports our contract manufacturers with process development and optimization, or, where needed, we may collaborate with external consultants and contractors to optimize synthesis and scale-up.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molecules</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Small molecule manufacturing is a mature industry and is well supported by an extensive network of contract manufacturers. Like our approach for oligonucleotides, our internal CMC team conducts process development and optimization, and supports our contract manufacturers with technology transfer.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The biotechnology industry is intensely competitive and subject to rapid and significant technological change. Our competitors include multinational pharmaceutical companies, specialized biotechnology companies, universities and other research institutions. Many of our competitors have substantially greater financial, technical, human and other resources than we do and may be better equipped to develop, manufacture and market technologically superior products. In addition, many of these competitors may have significantly greater experience than we have in undertaking nonclinical studies and human clinical trials of new pharmaceutical drug candidates and in obtaining regulatory approvals of human therapeutic candidates. Accordingly, our competitors may develop superior drug candidates and may succeed in obtaining FDA approval for such candidates. Many of our competitors have established distribution channels for the commercialization of their products, whereas we have no such channel or capabilities. In addition, many competitors have greater name recognition and more extensive collaborative relationships.</w:t>
      </w:r>
    </w:p>
    <w:p>
      <w:pPr>
        <w:spacing w:after="0" w:line="178"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Any drug candidates that we successfully develop and commercialize may compete with existing therapies and/or new therapies that may become available in the future. Our competitors may obtain regulatory approval of their candidates more rapidly than we do or may obtain patent protection or other intellectual property rights that limit our ability to develop or commercialize our drug candidates or any future drug candidates. Our competitors may also develop drugs that are more effective, more convenient, more widely used and less costly or that have a better safety profile than our drugs (if any) and these competitors may also be more successful than we are in manufacturing and marketing their products. If we are unable to compete effectively against our competitors, we may not be able to commercialize our drug candidates or any future drug candidates or achieve a competitive position in the market. This would adversely affect our ability to generate revenue. It is likely that our competitors, either working alone or in collaboration with others, will have significantly greater financial resources, an established presence in target markets, expertise in research and development, manufacturing, nonclinical and clinical testing, and experience obtaining regulatory approvals and reimbursement and marketing approved products than we do. We are also in competition for the limited qualified scientific, sales, marketing and management personnel, space at clinical trial sites, for patient registration for clinical trials and technologies complementary to, or necessary for, our programs. New competitors may emerge, smaller or early-stage companies may grow, either on their own or through collaborative arrangements with large and established companies and competitors may concentrate through mergers and acquisitions.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Chronic Hepatitis B (CHB)</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Current FDA-approved treatments for chronic HBV infection include peg-IFNα, marketed by Roche Holding AG (Roche), and oral antiviral agents such as nucleoside analogs, marketed by Gilead Sciences, Inc. (Gilead) and Bristol-Myers Squibb Company. These treatments do not lead to either a functional or a complete cure in the vast majority of patients, and in the case of nucleoside analogs, may require life-long treatment. Several large and small pharmaceutical companies are developing programs with various mechanisms of action, to be used alone or in combination, with the goal of achieving higher rates of functional or complete cure in patients with CHB. Companies with oligonucleotide agents in clinical development include Arbutus Biopharma Corporation, Dicerna Pharmaceuticals, Inc. (together with Roche), Ionis Pharmaceuticals, Inc. (together with GlaxoSmithKline plc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380"/>
        <w:spacing w:after="0" w:line="257" w:lineRule="auto"/>
        <w:rPr>
          <w:sz w:val="20"/>
          <w:szCs w:val="20"/>
          <w:color w:val="auto"/>
        </w:rPr>
      </w:pPr>
      <w:r>
        <w:rPr>
          <w:rFonts w:ascii="Arial" w:cs="Arial" w:eastAsia="Arial" w:hAnsi="Arial"/>
          <w:sz w:val="18"/>
          <w:szCs w:val="18"/>
          <w:color w:val="auto"/>
        </w:rPr>
        <w:t>(GSK)), Arrowhead Pharmaceuticals, Inc. (together with Janssen Pharmaceuticals, Inc. (Janssen)), and Vir Biotechnology, Inc. (together with Alnylam Pharmaceuticals, Inc.). Several companies are developing CAMs, including Johnson &amp; Johnson, Assembly Biosciences Inc., Arbutus Biopharma Corporation, Roche and Enanta Pharmaceuticals. Several companies, including Altimmune, Inc., GSK, Janssen and Transgene SA, are developing therapeutic vaccines for HBV, and several others have approved HBV vaccines, including Dynavax Technologies, Inc., GSK, Johnson &amp; Johnson, and Merck. Replicor, Inc. is developing NAPs for use in CHB patients.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Nonalcoholic Steatohepatitis (NASH)</w:t>
      </w:r>
    </w:p>
    <w:p>
      <w:pPr>
        <w:spacing w:after="0" w:line="117" w:lineRule="exact"/>
        <w:rPr>
          <w:sz w:val="20"/>
          <w:szCs w:val="20"/>
          <w:color w:val="auto"/>
        </w:rPr>
      </w:pPr>
    </w:p>
    <w:p>
      <w:pPr>
        <w:ind w:right="160" w:firstLine="589"/>
        <w:spacing w:after="0" w:line="270" w:lineRule="auto"/>
        <w:rPr>
          <w:sz w:val="20"/>
          <w:szCs w:val="20"/>
          <w:color w:val="auto"/>
        </w:rPr>
      </w:pPr>
      <w:r>
        <w:rPr>
          <w:rFonts w:ascii="Arial" w:cs="Arial" w:eastAsia="Arial" w:hAnsi="Arial"/>
          <w:sz w:val="17"/>
          <w:szCs w:val="17"/>
          <w:color w:val="auto"/>
        </w:rPr>
        <w:t>There currently are no FDA-approved treatments for NASH. A number of pharmaceutical companies, including AbbVie, Inc., AstraZeneca PLC/MedImmune LLC, Bristol-Myers Squibb Company, Eli Lilly and Company, Janssen, Merck, Novartis Pharmaceuticals Corporation (together with Pfizer, Inc.), Novo Nordisk A/S, Pfizer Inc., Roche, Sanofi S.A. and Takeda Pharmaceutical Company Limited (together with HemoShear Therapeutics, LLC), as well as large and small biotechnology companies such as 89bio, Inc., Akero Therapeutics, Inc., Blade Therapeutics, Inc., Cirius Therapeutics, Inc., Enanta Pharmaceuticals, Inc., FronThera US Pharmaceuticals LLC,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 are pursuing the development or marketing of pharmaceuticals that target NASH. It is also probable that the number of companies seeking to develop products and therapies for the treatment of serious metabolic diseases, such as NASH, will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Coronaviruses</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Other than Remdesivir, which is FDA-approved, there are currently no approved antiviral treatments for SARS-CoV-2. Several drugs are likely being used off-label for treatment, such as dexamethasone. Several approved drugs are being studied for their utility in reducing the severity of SARS-CoV-2 infections, including Soliris by Alexion Pharmaceuticals Inc., Jakafi by Incyte Corporation, and Kevzara by Sanofi S.A./Regeneron Pharmaceuticals, Inc. There are significant efforts globally to develop both therapeutic and prophylactic drug candidates. Several companies are focused on antibody treatments, including Amgen Inc. (together with Adaptive Biotechnologies Corporation), Abcellera Biologics, Inc. (together with Eli Lilly and Company), Regeneron Pharmaceuticals, Inc. and Vir Biotechnology, Inc. (together with GSK, Biogen Inc. and WuXi Biologics Ltd.). Numerous efforts are underway to develop vaccines against SARS-CoV-2, including by Altimmune, Inc., AstraZeneca PLC (together with Oxford University), BioNTech SE (together with Pfizer Inc.), GSK (together with Sanofi S.A.), Heat Biologics, Inc., Inovio Pharmaceuticals, Inc., Johnson &amp; Johnson, Moderna, Inc., Novavax, Inc., and Vaxart, Inc. The recent authorization of efficacious vaccines, if widely adopted, could reduce or eliminate the market for therapies to treat COVID-19.</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Emory University</w:t>
      </w:r>
    </w:p>
    <w:p>
      <w:pPr>
        <w:spacing w:after="0" w:line="117"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In June 2018, we entered into the Emory License Agreement. In June 2020, we amended the Emory License Agreement (the Emory Amendment). Under the Emory License Agreement, Emory granted us a worldwide, sublicenseable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will become non-exclusive with respect to all fields except for the treatment and prevention of HBV; however, we may select up to six compounds which will maintain exclusivity with respect to all therapeutic and prophylactic uses. With respect to all other compounds that are enabled by the licensed patents, those which are jointly invented by Aligos and Emory or inventors in the Schinazi laboratory, or which are disclosed in a specified licensed patent, are licensed to us exclusively including as to Emory, whereas all other such compounds are licensed to us non-exclusively. We have the right to sublicense rights licensed under the Emory License Agreement, provided that the sublicense agreement must be in compliance and consistent with the terms of the Emory License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jc w:val="both"/>
        <w:ind w:right="140" w:firstLine="589"/>
        <w:spacing w:after="0" w:line="286" w:lineRule="auto"/>
        <w:rPr>
          <w:sz w:val="20"/>
          <w:szCs w:val="20"/>
          <w:color w:val="auto"/>
        </w:rPr>
      </w:pPr>
      <w:r>
        <w:rPr>
          <w:rFonts w:ascii="Arial" w:cs="Arial" w:eastAsia="Arial" w:hAnsi="Arial"/>
          <w:sz w:val="17"/>
          <w:szCs w:val="17"/>
          <w:color w:val="auto"/>
        </w:rPr>
        <w:t>Emory reserves the right for itself to practice, and have practiced by other entities solely for purposes of collaborative research with Emory, under the licensed patents for educational purposes, Emory’s internal purposes, and for non-commercial research, patient care and treatment. Emory can further grant licenses to not-for-profit and governmental institutions for their internal non-commercial research and scholarly use.</w:t>
      </w:r>
    </w:p>
    <w:p>
      <w:pPr>
        <w:spacing w:after="0" w:line="165"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Ownership of any new inventions arising out of our activities under the Emory License Agreement follows the inventorship laws of the United States. With respect to the licensed patents owned by Emory, we are required to prepare documents and filings for the prosecution and maintenance of such licensed patents, while Emory retains the option to provide final edits and approval of such documents and is responsible for the actual filing of such documents. We are responsible for the cost of the prosecution and maintenance of the licensed patents, and we have the first right, but not the obligation, to enforce such patents. We are solely responsible for the costs of any lawsuits we elect to initiate to enforce the licensed patents and cannot enter into a settlement in respect of such lawsuits without the prior written consent of Emory. Any sums recovered in such lawsuits will be shared equally between us and Emory after reimbursement of our costs for such litigation, except that for any award based on lost profits, Emory shall recover the greater of fifty percent of the award or the royalty Emory would have received had the infringing sales been made by us.</w:t>
      </w:r>
    </w:p>
    <w:p>
      <w:pPr>
        <w:spacing w:after="0" w:line="178" w:lineRule="exact"/>
        <w:rPr>
          <w:sz w:val="20"/>
          <w:szCs w:val="20"/>
          <w:color w:val="auto"/>
        </w:rPr>
      </w:pPr>
    </w:p>
    <w:p>
      <w:pPr>
        <w:ind w:right="60" w:firstLine="594"/>
        <w:spacing w:after="0" w:line="259" w:lineRule="auto"/>
        <w:rPr>
          <w:sz w:val="20"/>
          <w:szCs w:val="20"/>
          <w:color w:val="auto"/>
        </w:rPr>
      </w:pPr>
      <w:r>
        <w:rPr>
          <w:rFonts w:ascii="Arial" w:cs="Arial" w:eastAsia="Arial" w:hAnsi="Arial"/>
          <w:sz w:val="18"/>
          <w:szCs w:val="18"/>
          <w:color w:val="auto"/>
        </w:rPr>
        <w:t>The technology claimed by the licensed patents under the Emory License Agreement may have been developed using U.S. government funding and the licenses therefore may be subject to a non-exclusive license held by the U.S. government, certain requirements that licensed products be manufactured substantially in the United States and U.S. government march-in rights. For more information on risks related to technology developed using government funding see the section titled “Risk Factors—Risks related to intellectual property.”</w:t>
      </w:r>
    </w:p>
    <w:p>
      <w:pPr>
        <w:spacing w:after="0" w:line="187" w:lineRule="exact"/>
        <w:rPr>
          <w:sz w:val="20"/>
          <w:szCs w:val="20"/>
          <w:color w:val="auto"/>
        </w:rPr>
      </w:pPr>
    </w:p>
    <w:p>
      <w:pPr>
        <w:ind w:right="100" w:firstLine="594"/>
        <w:spacing w:after="0" w:line="277" w:lineRule="auto"/>
        <w:rPr>
          <w:sz w:val="20"/>
          <w:szCs w:val="20"/>
          <w:color w:val="auto"/>
        </w:rPr>
      </w:pPr>
      <w:r>
        <w:rPr>
          <w:rFonts w:ascii="Arial" w:cs="Arial" w:eastAsia="Arial" w:hAnsi="Arial"/>
          <w:sz w:val="18"/>
          <w:szCs w:val="18"/>
          <w:color w:val="auto"/>
        </w:rPr>
        <w:t>Under the terms of the Emory License Agreement, we are obligated to use commercially reasonable efforts to bring licensed products to market in accordance with a mutually agreed upon development plan.</w:t>
      </w:r>
    </w:p>
    <w:p>
      <w:pPr>
        <w:spacing w:after="0" w:line="170" w:lineRule="exact"/>
        <w:rPr>
          <w:sz w:val="20"/>
          <w:szCs w:val="20"/>
          <w:color w:val="auto"/>
        </w:rPr>
      </w:pPr>
    </w:p>
    <w:p>
      <w:pPr>
        <w:ind w:firstLine="594"/>
        <w:spacing w:after="0" w:line="286" w:lineRule="auto"/>
        <w:rPr>
          <w:sz w:val="20"/>
          <w:szCs w:val="20"/>
          <w:color w:val="auto"/>
        </w:rPr>
      </w:pPr>
      <w:r>
        <w:rPr>
          <w:rFonts w:ascii="Arial" w:cs="Arial" w:eastAsia="Arial" w:hAnsi="Arial"/>
          <w:sz w:val="16"/>
          <w:szCs w:val="16"/>
          <w:color w:val="auto"/>
        </w:rPr>
        <w:t>Pursuant to the Emory License Agreement, we paid an upfront fee of $290,000 to Emory, reimbursed Emory for past patent expenses, and issued a convertible promissory note with a principal amount of $600,000 to Emory. In August 2018, the convertible promissory note was cancelled and converted into 64,980 shares of Series A convertible preferred stock. We paid Emory an additional $150,000 in connection with the Emory Amendment. Additionally, we agreed to pay Emory up to an aggregate of $125 million upon the achievement of specified development, regulatory, and commercial milestones, and all ongoing patent costs. We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Our obligation to pay royalties expires on a product-by-product and country-by-country basis upon the later of ten years after the date of first commercial sale of such product in such country and the expiration of the last-to-expire licensed patent right covering such product in such country. Lastly, if we sublicense any of the licensed patent rights, we are required to pay Emory a percentage of any license issuance or upfront fees we might receive, with the percent decreasing if we sublicense after the first anniversary and third anniversary of the effective date of the Emory License Agreement from a mid-double digit to a mid-single digit percentage rate. To date we have not granted any sublicense.</w:t>
      </w:r>
    </w:p>
    <w:p>
      <w:pPr>
        <w:spacing w:after="0" w:line="171" w:lineRule="exact"/>
        <w:rPr>
          <w:sz w:val="20"/>
          <w:szCs w:val="20"/>
          <w:color w:val="auto"/>
        </w:rPr>
      </w:pPr>
    </w:p>
    <w:p>
      <w:pPr>
        <w:ind w:firstLine="594"/>
        <w:spacing w:after="0" w:line="288" w:lineRule="auto"/>
        <w:rPr>
          <w:sz w:val="20"/>
          <w:szCs w:val="20"/>
          <w:color w:val="auto"/>
        </w:rPr>
      </w:pPr>
      <w:r>
        <w:rPr>
          <w:rFonts w:ascii="Arial" w:cs="Arial" w:eastAsia="Arial" w:hAnsi="Arial"/>
          <w:sz w:val="16"/>
          <w:szCs w:val="16"/>
          <w:color w:val="auto"/>
        </w:rPr>
        <w:t>The Emory License Agreement will expire upon expiration of the last-to-expire patent licensed to us thereunder. We may terminate the Emory License Agreement at any time in its entirety or with respect to specific patents for convenience by providing Emory with 90 days’ written notice, and are required to terminate the Emory License Agreement if we make a final decision to cease research, development or commercialization of any licensed products. Either party may terminate the Emory License Agreement if the other party materially breaches such agreement and fails to timely cure such breach. Emory may terminate the Emory License Agreement if we fail to reach a milestone at an agreed date and fail to timely provide commercially reasonable evidence of a reasonable, good-faith business or technical justification for such failure. Upon termination of the Emory License Agreement for our material breach, we will, upon Emory’s request, grant to Emory a non-exclusive, royalty-free license to all of our rights in patents owned by, licensed or controlled by us to the extent they relate to our exercise of the licensed rights under the Emory License Agreement and include claims covering the manufacture, use or sale of any licensed products containing the licensed compounds. The Emory License Agreement will automatically terminate if we become bankrupt or insolvent or if we challenge the validity or enforceability of any patent licensed to us under the Emory License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right="320" w:firstLine="589"/>
        <w:spacing w:after="0" w:line="263" w:lineRule="auto"/>
        <w:rPr>
          <w:sz w:val="20"/>
          <w:szCs w:val="20"/>
          <w:color w:val="auto"/>
        </w:rPr>
      </w:pPr>
      <w:r>
        <w:rPr>
          <w:rFonts w:ascii="Arial" w:cs="Arial" w:eastAsia="Arial" w:hAnsi="Arial"/>
          <w:sz w:val="18"/>
          <w:szCs w:val="18"/>
          <w:color w:val="auto"/>
        </w:rPr>
        <w:t>We have agreed to indemnify Emory and certain others under the Emory License Agreement for losses they may suffer arising out of the rights licensed thereunder or the manufacturing, testing, design, use, sale or labeling of any product containing a licensed compound, unless caused by such potential indemnitee’s negligence.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Luxna Biotech Co., Ltd.</w:t>
      </w:r>
    </w:p>
    <w:p>
      <w:pPr>
        <w:spacing w:after="0" w:line="117" w:lineRule="exact"/>
        <w:rPr>
          <w:sz w:val="20"/>
          <w:szCs w:val="20"/>
          <w:color w:val="auto"/>
        </w:rPr>
      </w:pPr>
    </w:p>
    <w:p>
      <w:pPr>
        <w:jc w:val="both"/>
        <w:ind w:right="40" w:firstLine="589"/>
        <w:spacing w:after="0" w:line="286" w:lineRule="auto"/>
        <w:rPr>
          <w:sz w:val="20"/>
          <w:szCs w:val="20"/>
          <w:color w:val="auto"/>
        </w:rPr>
      </w:pPr>
      <w:r>
        <w:rPr>
          <w:rFonts w:ascii="Arial" w:cs="Arial" w:eastAsia="Arial" w:hAnsi="Arial"/>
          <w:sz w:val="16"/>
          <w:szCs w:val="16"/>
          <w:color w:val="auto"/>
        </w:rPr>
        <w:t>In December 2018, we entered into the Luxna Agreement. Under the Luxna Agreement, Luxna granted us an exclusive, worldwide, sublicenseable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we may select at any time during the first eight years of the term, to the extent not licensed to a third party, and</w:t>
      </w:r>
    </w:p>
    <w:p>
      <w:pPr>
        <w:spacing w:after="0" w:line="1" w:lineRule="exact"/>
        <w:rPr>
          <w:sz w:val="20"/>
          <w:szCs w:val="20"/>
          <w:color w:val="auto"/>
        </w:rPr>
      </w:pPr>
    </w:p>
    <w:p>
      <w:pPr>
        <w:ind w:firstLine="8"/>
        <w:spacing w:after="0" w:line="268" w:lineRule="auto"/>
        <w:tabs>
          <w:tab w:leader="none" w:pos="3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products containing oligonucleotides targeting up to three genes which contribute to HCC, which we may select at any time during the first three years of the term. During the first three years of the term, Luxna will not grant rights to any third parties under the licensed patents to research or develop any compounds or products targeting an HCC gene target. As of June 30, 2020, we have identified two HCC gene targets and two NASH gene targets for the exclusive license. In addition, we have a right of first refusal for any additional xeno-nucleic acid (XNA) and/or gapmer modifications that are not claimed by the licensed patents that Luxna controls. If we exercise this right, we and Luxna will use good faith, diligent efforts to negotiate additional commercially reasonable financial terms for such additional modifications. We are obligated to use commercially reasonable efforts to pursue the research, development and commercialization of the licensed products throughout the term. We have the right to sublicense our licensed rights provided that the sublicense agreement must be in compliance and consistent with the terms of the Luxna Agreement.</w:t>
      </w:r>
    </w:p>
    <w:p>
      <w:pPr>
        <w:spacing w:after="0" w:line="183" w:lineRule="exact"/>
        <w:rPr>
          <w:sz w:val="20"/>
          <w:szCs w:val="20"/>
          <w:color w:val="auto"/>
        </w:rPr>
      </w:pPr>
    </w:p>
    <w:p>
      <w:pPr>
        <w:ind w:right="100" w:firstLine="589"/>
        <w:spacing w:after="0" w:line="286" w:lineRule="auto"/>
        <w:rPr>
          <w:sz w:val="20"/>
          <w:szCs w:val="20"/>
          <w:color w:val="auto"/>
        </w:rPr>
      </w:pPr>
      <w:r>
        <w:rPr>
          <w:rFonts w:ascii="Arial" w:cs="Arial" w:eastAsia="Arial" w:hAnsi="Arial"/>
          <w:sz w:val="17"/>
          <w:szCs w:val="17"/>
          <w:color w:val="auto"/>
        </w:rPr>
        <w:t>Additionally, pursuant to an April 2020 amendment to the Luxna Agreement (the Luxna Amendment), we obtained an exclusive, worldwide license under the licensed patents to research, develop, make, have made, and commercialize products containing oligonucleotides targeting three families of viruses: orthomyxoviridae, paramyxoviridae, and coronaviridae (a family which includes SARS-CoV-2).</w:t>
      </w:r>
    </w:p>
    <w:p>
      <w:pPr>
        <w:spacing w:after="0" w:line="165"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Pursuant to the Luxna Agreement, we paid Luxna an upfront fee of $600,000 and pursuant to the Luxna Amendment, we paid Luxna an additional $200,000. Additionally, we agreed to pay Luxna up to an aggregate of $55.5 million upon achievement of specified development, regulatory, and commercial milestones. We also agreed to pay Luxna tiered royalties on worldwide annual net sales of licensed products, on a product-by-product basis, spanning a range of rates within low-single digit percentages, on a quarterly basis. With respect to each licensed product, our obligation to pay royalties will continue until the expiration of the last-to-expire licensed patent covering such licensed product in any country.</w:t>
      </w:r>
    </w:p>
    <w:p>
      <w:pPr>
        <w:spacing w:after="0" w:line="176"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Luxna’s rights to the intellectual property subject to the Luxna Agreement stem from an exclusive license (the Luxna-Osaka Agreement) from Osaka University (Osaka) for certain rights pertaining to modifications of XNA and other gapmer technologies covered by the licensed patents. Separately, Osaka granted rights to certain third parties in connection with the licensed patents, such as rights to amido-bridged nucleic acid (AmNA) for specific indications including NASH, rights to manufacture reagents containing the modifications of AmNA and rights to use specified genes. Such rights are not included in the scope of rights granted to us under the Luxna Agreement and the Luxna Agreement does not prevent Osaka from using any of the licensed rights under the Luxna Agreement for its non-commercial research purposes relating to the modifications of XNA.</w:t>
      </w:r>
    </w:p>
    <w:p>
      <w:pPr>
        <w:spacing w:after="0" w:line="178"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Ownership of any new inventions arising out of our activities under the Luxna Agreement will follow the inventorship laws of the United States. Luxna retains the responsibility for the prosecution and maintenance of the licensed patents, provided that Luxna consider our comments and suggestions in connection therewith. We retain step-in rights should Luxna decide to no longer prosecute or maintain any licensed patents under the Luxna Agreement. We have the first right, but not the obligation, at our sole expense to enforce the licensed patents. In connection with any infringement suit, neither party can enter into a settlement without the prior written consent of the other.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right="20" w:firstLine="589"/>
        <w:spacing w:after="0" w:line="257" w:lineRule="auto"/>
        <w:rPr>
          <w:sz w:val="20"/>
          <w:szCs w:val="20"/>
          <w:color w:val="auto"/>
        </w:rPr>
      </w:pPr>
      <w:r>
        <w:rPr>
          <w:rFonts w:ascii="Arial" w:cs="Arial" w:eastAsia="Arial" w:hAnsi="Arial"/>
          <w:sz w:val="18"/>
          <w:szCs w:val="18"/>
          <w:color w:val="auto"/>
        </w:rPr>
        <w:t>The Luxna Agreement will expire upon expiration of the last-to-expire patent licensed to us under the agreement. We may terminate the Luxna Agreement at any time for convenience by providing Luxna with 90 days’ written notice. In addition, we have agreed to terminate the Luxna Agreement if we make a final decision to cease research, development or commercialization of the licensed products. Either party may terminate the Luxna Agreement if the other party materially breaches the Luxna Agreement and fails to timely cure such breach. The Luxna Agreement will automatically terminate if we become bankrupt or insolvent.</w:t>
      </w:r>
    </w:p>
    <w:p>
      <w:pPr>
        <w:spacing w:after="0" w:line="188" w:lineRule="exact"/>
        <w:rPr>
          <w:sz w:val="20"/>
          <w:szCs w:val="20"/>
          <w:color w:val="auto"/>
        </w:rPr>
      </w:pPr>
    </w:p>
    <w:p>
      <w:pPr>
        <w:ind w:right="360" w:firstLine="589"/>
        <w:spacing w:after="0" w:line="263" w:lineRule="auto"/>
        <w:rPr>
          <w:sz w:val="20"/>
          <w:szCs w:val="20"/>
          <w:color w:val="auto"/>
        </w:rPr>
      </w:pPr>
      <w:r>
        <w:rPr>
          <w:rFonts w:ascii="Arial" w:cs="Arial" w:eastAsia="Arial" w:hAnsi="Arial"/>
          <w:sz w:val="18"/>
          <w:szCs w:val="18"/>
          <w:color w:val="auto"/>
        </w:rPr>
        <w:t>We have agreed to indemnify Luxna and certain others under the Luxna Agreement for losses they may suffer arising out of the rights licensed thereunder or the manufacturing, testing, design, use, sale or labeling of any product containing a licensed product, unless caused by such potential indemnitee’s negligence.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Collaboration with Merck</w:t>
      </w:r>
    </w:p>
    <w:p>
      <w:pPr>
        <w:spacing w:after="0" w:line="225" w:lineRule="exact"/>
        <w:rPr>
          <w:sz w:val="20"/>
          <w:szCs w:val="20"/>
          <w:color w:val="auto"/>
        </w:rPr>
      </w:pPr>
    </w:p>
    <w:p>
      <w:pPr>
        <w:ind w:right="80" w:firstLine="864"/>
        <w:spacing w:after="0" w:line="272" w:lineRule="auto"/>
        <w:rPr>
          <w:sz w:val="20"/>
          <w:szCs w:val="20"/>
          <w:color w:val="auto"/>
        </w:rPr>
      </w:pPr>
      <w:r>
        <w:rPr>
          <w:rFonts w:ascii="Arial" w:cs="Arial" w:eastAsia="Arial" w:hAnsi="Arial"/>
          <w:sz w:val="17"/>
          <w:szCs w:val="17"/>
          <w:color w:val="auto"/>
        </w:rPr>
        <w:t>In December 2020, we entered into an exclusive License and Research Collaboration Agreement with Merck under which Merck and Aligos will apply our oligonucleotide platform technology to discover, research, optimize and develop oligonucleotides directed against a NASH target and up to one additional liver-targeted cardiometabolic and/or fibroses target. Under the terms of the agreement, Aligos will receive an upfront payment from Merck as well as an additional payment after designation of a research plan for such an additional target. With respect to each collaboration target, Aligos will be eligible to receive up to $458 million in development and commercialization milestones as well as tiered royalties on net sales. We will be primarily responsible for designing, preparing and evaluating the oligonucleotide molecules and delivering optimized lead molecules, and Merck will be responsible for subsequent research, clinical development and commercialization efforts.</w:t>
      </w:r>
    </w:p>
    <w:p>
      <w:pPr>
        <w:spacing w:after="0" w:line="17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Merck has the right to terminate the License and Research Collaboration Agreement in its entirety or on a target-by-target basis at any time by giving us 90 days’ written notice. From the time Merck assumes responsibility for subsequent research until achievement of a certain regulatory event, we may terminate the License and Research Collaboration Agreement if Merck ceases all development activities for a specified period and fails to resume such activities within a reasonable time after we provide them with a resumption notice. Either party may terminate the License and Research Collaboration Agreement upon the other party’s uncured material breach or insolvency. Upon termination for any reason other than our material breach, we will have the right to acquire from Merck the products and compounds being developed or commercialized by Merck under the License and Research Collaboration Agreement. Good faith negotiations between the Company and Merck would be performed to enact a transition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94"/>
        <w:spacing w:after="0" w:line="285" w:lineRule="auto"/>
        <w:rPr>
          <w:sz w:val="20"/>
          <w:szCs w:val="20"/>
          <w:color w:val="auto"/>
        </w:rPr>
      </w:pPr>
      <w:r>
        <w:rPr>
          <w:rFonts w:ascii="Arial" w:cs="Arial" w:eastAsia="Arial" w:hAnsi="Arial"/>
          <w:sz w:val="16"/>
          <w:szCs w:val="16"/>
          <w:color w:val="auto"/>
        </w:rPr>
        <w:t>One key to our success is our ability to establish and maintain protection for our drug candidates, platform technology and know-how, in order to enforce and defend our intellectual property rights. To protect our drug candidates and technologies, we file U.S., Patent Cooperation Treaty (PCT) and foreign patent applications related to our inventions, improvements, manufacturing and analytical processes and technology. We also rely on our know-how, confidential methodologies and processes and continuing technological innovation as well as our active third-party intellectual property in-licensing program to develop and maintain our proprietary positions, in addition to trademarks, copyrights and trade secret laws, and employee disclosure and invention assignment agreements.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or being used in our current or planned business or research and development, are our exclusive property. In addition, we take other appropriate precautions, such as physical and technological security measures, to guard against misappropriation of our proprietary technology by third parties. However, such agreements and policies may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ind w:right="180"/>
        <w:spacing w:after="0" w:line="277" w:lineRule="auto"/>
        <w:rPr>
          <w:sz w:val="20"/>
          <w:szCs w:val="20"/>
          <w:color w:val="auto"/>
        </w:rPr>
      </w:pPr>
      <w:r>
        <w:rPr>
          <w:rFonts w:ascii="Arial" w:cs="Arial" w:eastAsia="Arial" w:hAnsi="Arial"/>
          <w:sz w:val="18"/>
          <w:szCs w:val="18"/>
          <w:color w:val="auto"/>
        </w:rPr>
        <w:t>be breached, and we may not have adequate remedies for such breaches. For more information regarding the risks related to our intellectual property, see the section titled “Risk Factors—Risks related to intellectual property.”</w:t>
      </w:r>
    </w:p>
    <w:p>
      <w:pPr>
        <w:spacing w:after="0" w:line="170" w:lineRule="exact"/>
        <w:rPr>
          <w:sz w:val="20"/>
          <w:szCs w:val="20"/>
          <w:color w:val="auto"/>
        </w:rPr>
      </w:pPr>
    </w:p>
    <w:p>
      <w:pPr>
        <w:ind w:right="80" w:firstLine="594"/>
        <w:spacing w:after="0" w:line="275" w:lineRule="auto"/>
        <w:rPr>
          <w:sz w:val="20"/>
          <w:szCs w:val="20"/>
          <w:color w:val="auto"/>
        </w:rPr>
      </w:pPr>
      <w:r>
        <w:rPr>
          <w:rFonts w:ascii="Arial" w:cs="Arial" w:eastAsia="Arial" w:hAnsi="Arial"/>
          <w:sz w:val="17"/>
          <w:szCs w:val="17"/>
          <w:color w:val="auto"/>
        </w:rPr>
        <w:t>We have licensed patents and patent applications from various entities, including Emory, Luxna and AM Chemicals, which are further described below. As of December 31, 2020, we own 13 U.S. non-provisional patent applications, 35 U.S. provisional patent applications (excluding any non-expired U.S. provisional applications to which priority has already been claimed), 13 PCT applications and 14 foreign patent applications, including pending applications in Argentina and Taiwan. The projected expiration date of any patent that issues from our non-provisional U.S. and foreign applications is between 2039 to 2040, excluding any additional term from a potential patent term extension and/or patent term adjustment.</w:t>
      </w:r>
    </w:p>
    <w:p>
      <w:pPr>
        <w:spacing w:after="0" w:line="176" w:lineRule="exact"/>
        <w:rPr>
          <w:sz w:val="20"/>
          <w:szCs w:val="20"/>
          <w:color w:val="auto"/>
        </w:rPr>
      </w:pPr>
    </w:p>
    <w:p>
      <w:pPr>
        <w:ind w:right="140" w:firstLine="589"/>
        <w:spacing w:after="0" w:line="220" w:lineRule="exact"/>
        <w:rPr>
          <w:sz w:val="20"/>
          <w:szCs w:val="20"/>
          <w:color w:val="auto"/>
        </w:rPr>
      </w:pPr>
      <w:r>
        <w:rPr>
          <w:rFonts w:ascii="Arial" w:cs="Arial" w:eastAsia="Arial" w:hAnsi="Arial"/>
          <w:sz w:val="18"/>
          <w:szCs w:val="18"/>
          <w:color w:val="auto"/>
        </w:rPr>
        <w:t>For our drug candidates, although we have filed and licensed certain patent applications and we generally intend to pursue patent protection covering compositions of matter, methods of making, and methods of use, as of December 31, 2020, we do not own or license any issued patents directed to our ALG</w:t>
      </w:r>
      <w:r>
        <w:rPr>
          <w:rFonts w:ascii="MS PGothic" w:cs="MS PGothic" w:eastAsia="MS PGothic" w:hAnsi="MS PGothic"/>
          <w:sz w:val="18"/>
          <w:szCs w:val="18"/>
          <w:color w:val="auto"/>
        </w:rPr>
        <w:t>‑</w:t>
      </w:r>
      <w:r>
        <w:rPr>
          <w:rFonts w:ascii="Arial" w:cs="Arial" w:eastAsia="Arial" w:hAnsi="Arial"/>
          <w:sz w:val="18"/>
          <w:szCs w:val="18"/>
          <w:color w:val="auto"/>
        </w:rPr>
        <w:t>010133, ALG</w:t>
      </w:r>
      <w:r>
        <w:rPr>
          <w:rFonts w:ascii="MS PGothic" w:cs="MS PGothic" w:eastAsia="MS PGothic" w:hAnsi="MS PGothic"/>
          <w:sz w:val="18"/>
          <w:szCs w:val="18"/>
          <w:color w:val="auto"/>
        </w:rPr>
        <w:t>‑</w:t>
      </w:r>
      <w:r>
        <w:rPr>
          <w:rFonts w:ascii="Arial" w:cs="Arial" w:eastAsia="Arial" w:hAnsi="Arial"/>
          <w:sz w:val="18"/>
          <w:szCs w:val="18"/>
          <w:color w:val="auto"/>
        </w:rPr>
        <w:t>000184, ALG</w:t>
      </w:r>
      <w:r>
        <w:rPr>
          <w:rFonts w:ascii="MS PGothic" w:cs="MS PGothic" w:eastAsia="MS PGothic" w:hAnsi="MS PGothic"/>
          <w:sz w:val="18"/>
          <w:szCs w:val="18"/>
          <w:color w:val="auto"/>
        </w:rPr>
        <w:t>‑</w:t>
      </w:r>
      <w:r>
        <w:rPr>
          <w:rFonts w:ascii="Arial" w:cs="Arial" w:eastAsia="Arial" w:hAnsi="Arial"/>
          <w:sz w:val="18"/>
          <w:szCs w:val="18"/>
          <w:color w:val="auto"/>
        </w:rPr>
        <w:t>020572, ALG</w:t>
      </w:r>
      <w:r>
        <w:rPr>
          <w:rFonts w:ascii="MS PGothic" w:cs="MS PGothic" w:eastAsia="MS PGothic" w:hAnsi="MS PGothic"/>
          <w:sz w:val="18"/>
          <w:szCs w:val="18"/>
          <w:color w:val="auto"/>
        </w:rPr>
        <w:t>‑</w:t>
      </w:r>
      <w:r>
        <w:rPr>
          <w:rFonts w:ascii="Arial" w:cs="Arial" w:eastAsia="Arial" w:hAnsi="Arial"/>
          <w:sz w:val="18"/>
          <w:szCs w:val="18"/>
          <w:color w:val="auto"/>
        </w:rPr>
        <w:t>125097 and ALG</w:t>
      </w:r>
      <w:r>
        <w:rPr>
          <w:rFonts w:ascii="MS PGothic" w:cs="MS PGothic" w:eastAsia="MS PGothic" w:hAnsi="MS PGothic"/>
          <w:sz w:val="18"/>
          <w:szCs w:val="18"/>
          <w:color w:val="auto"/>
        </w:rPr>
        <w:t>‑</w:t>
      </w:r>
      <w:r>
        <w:rPr>
          <w:rFonts w:ascii="Arial" w:cs="Arial" w:eastAsia="Arial" w:hAnsi="Arial"/>
          <w:sz w:val="18"/>
          <w:szCs w:val="18"/>
          <w:color w:val="auto"/>
        </w:rPr>
        <w:t>055009 drug candidates.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Emory University</w:t>
      </w:r>
    </w:p>
    <w:p>
      <w:pPr>
        <w:spacing w:after="0" w:line="117" w:lineRule="exact"/>
        <w:rPr>
          <w:sz w:val="20"/>
          <w:szCs w:val="20"/>
          <w:color w:val="auto"/>
        </w:rPr>
      </w:pPr>
    </w:p>
    <w:p>
      <w:pPr>
        <w:ind w:right="40" w:firstLine="589"/>
        <w:spacing w:after="0" w:line="286" w:lineRule="auto"/>
        <w:rPr>
          <w:sz w:val="20"/>
          <w:szCs w:val="20"/>
          <w:color w:val="auto"/>
        </w:rPr>
      </w:pPr>
      <w:r>
        <w:rPr>
          <w:rFonts w:ascii="Arial" w:cs="Arial" w:eastAsia="Arial" w:hAnsi="Arial"/>
          <w:sz w:val="17"/>
          <w:szCs w:val="17"/>
          <w:color w:val="auto"/>
        </w:rPr>
        <w:t>We have licensed the exclusive rights to a patent estate from Emory in the CAM chemical space, consisting of one issued U.S. patent, one pending nonprovisional U.S. patent application as well as 1 PCT patent application, 2 issued foreign patents and 21 foreign patent applications. The issued U.S. patent has an expected expiration of March 2037, excluding any potential patent term extension or adjustment.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Luxna</w:t>
      </w:r>
    </w:p>
    <w:p>
      <w:pPr>
        <w:spacing w:after="0" w:line="117"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We have licensed the right to a patent estate from Luxna in the oligonucleotide chemical space, consisting of 3 issued U.S. patents, 2 nonprovisional U.S. patent applications and 14 issued foreign patents and 6 foreign patent applications. We have exclusive rights to use this technology in the development of drug candidates for CHB, as well as rights to certain named targets in NASH and respiratory diseases, including coronaviruses. These U.S. patents have an expected expiration between October 2030 and February 2035, excluding any potential patent term extension or adjustment.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 Chemicals</w:t>
      </w:r>
    </w:p>
    <w:p>
      <w:pPr>
        <w:spacing w:after="0" w:line="117"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We have licensed the exclusive right to the use of specific constructs encompassed by the patent estate from AM Chemicals, including 1 issued U.S. patent, 1 U.S. non-provisional patent application and 2 foreign patent applications. The issued U.S. patent has an expected expiration of July 2037. Any patent issuing from such non-provisional applications in this patent estate is projected to expire in July 2037, excluding any potential patent term extension or patent term adjustment.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candidate intellectual property</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Hepatitis B—ALG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010133 and additional potential drug candidates</w:t>
      </w:r>
    </w:p>
    <w:p>
      <w:pPr>
        <w:spacing w:after="0" w:line="117" w:lineRule="exact"/>
        <w:rPr>
          <w:sz w:val="20"/>
          <w:szCs w:val="20"/>
          <w:color w:val="auto"/>
        </w:rPr>
      </w:pPr>
    </w:p>
    <w:p>
      <w:pPr>
        <w:ind w:right="40" w:firstLine="589"/>
        <w:spacing w:after="0" w:line="220" w:lineRule="exact"/>
        <w:rPr>
          <w:sz w:val="20"/>
          <w:szCs w:val="20"/>
          <w:color w:val="auto"/>
        </w:rPr>
      </w:pPr>
      <w:r>
        <w:rPr>
          <w:rFonts w:ascii="Arial" w:cs="Arial" w:eastAsia="Arial" w:hAnsi="Arial"/>
          <w:sz w:val="17"/>
          <w:szCs w:val="17"/>
          <w:color w:val="auto"/>
        </w:rPr>
        <w:t>We own a patent family that includes 5 applications pending across multiple jurisdictions (including the United States) and have claims directed to composition of matter, including ALG</w:t>
      </w:r>
      <w:r>
        <w:rPr>
          <w:rFonts w:ascii="MS PGothic" w:cs="MS PGothic" w:eastAsia="MS PGothic" w:hAnsi="MS PGothic"/>
          <w:sz w:val="17"/>
          <w:szCs w:val="17"/>
          <w:color w:val="auto"/>
        </w:rPr>
        <w:t>‑</w:t>
      </w:r>
      <w:r>
        <w:rPr>
          <w:rFonts w:ascii="Arial" w:cs="Arial" w:eastAsia="Arial" w:hAnsi="Arial"/>
          <w:sz w:val="17"/>
          <w:szCs w:val="17"/>
          <w:color w:val="auto"/>
        </w:rPr>
        <w:t>010133 (our lead STOPS molecule), pharmaceutical composition and method of use. This patent family also includes claims directed to combination treatment with our lead molecule with other modes of action drugs and drug candidates directed against CHB. The U.S. application, if issued, is projected to expire in November 2039, excluding any potential patent term extension or adjustment.</w:t>
      </w:r>
    </w:p>
    <w:p>
      <w:pPr>
        <w:spacing w:after="0" w:line="31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Hepatitis B—ALG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000184 and additional potential drug candidates</w:t>
      </w:r>
    </w:p>
    <w:p>
      <w:pPr>
        <w:spacing w:after="0" w:line="117" w:lineRule="exact"/>
        <w:rPr>
          <w:sz w:val="20"/>
          <w:szCs w:val="20"/>
          <w:color w:val="auto"/>
        </w:rPr>
      </w:pPr>
    </w:p>
    <w:p>
      <w:pPr>
        <w:ind w:firstLine="589"/>
        <w:spacing w:after="0" w:line="221" w:lineRule="exact"/>
        <w:rPr>
          <w:sz w:val="20"/>
          <w:szCs w:val="20"/>
          <w:color w:val="auto"/>
        </w:rPr>
      </w:pPr>
      <w:r>
        <w:rPr>
          <w:rFonts w:ascii="Arial" w:cs="Arial" w:eastAsia="Arial" w:hAnsi="Arial"/>
          <w:sz w:val="16"/>
          <w:szCs w:val="16"/>
          <w:color w:val="auto"/>
        </w:rPr>
        <w:t>We own a patent family that includes 3 applications pending across multiple jurisdictions (including the United States), and have claims directed to composition of matter, including ALG</w:t>
      </w:r>
      <w:r>
        <w:rPr>
          <w:rFonts w:ascii="MS PGothic" w:cs="MS PGothic" w:eastAsia="MS PGothic" w:hAnsi="MS PGothic"/>
          <w:sz w:val="16"/>
          <w:szCs w:val="16"/>
          <w:color w:val="auto"/>
        </w:rPr>
        <w:t>‑</w:t>
      </w:r>
      <w:r>
        <w:rPr>
          <w:rFonts w:ascii="Arial" w:cs="Arial" w:eastAsia="Arial" w:hAnsi="Arial"/>
          <w:sz w:val="16"/>
          <w:szCs w:val="16"/>
          <w:color w:val="auto"/>
        </w:rPr>
        <w:t>000184 (our lead CAM molecule), pharmaceutical composition and method of use claims. This patent family also includes claims directed to combination treatment with our lead molecule with other modes of action drugs and drug candidates directed</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against CHB. The U.S. application, if issued, is projected to expire in April 2040, excluding any potential patent term extension or adjustment.</w:t>
      </w:r>
    </w:p>
    <w:p>
      <w:pPr>
        <w:spacing w:after="0" w:line="33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Hepatitis B—ALG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020572 and additional potential drug candidates</w:t>
      </w:r>
    </w:p>
    <w:p>
      <w:pPr>
        <w:spacing w:after="0" w:line="117" w:lineRule="exact"/>
        <w:rPr>
          <w:sz w:val="20"/>
          <w:szCs w:val="20"/>
          <w:color w:val="auto"/>
        </w:rPr>
      </w:pPr>
    </w:p>
    <w:p>
      <w:pPr>
        <w:ind w:right="40" w:firstLine="589"/>
        <w:spacing w:after="0" w:line="220" w:lineRule="exact"/>
        <w:rPr>
          <w:sz w:val="20"/>
          <w:szCs w:val="20"/>
          <w:color w:val="auto"/>
        </w:rPr>
      </w:pPr>
      <w:r>
        <w:rPr>
          <w:rFonts w:ascii="Arial" w:cs="Arial" w:eastAsia="Arial" w:hAnsi="Arial"/>
          <w:sz w:val="18"/>
          <w:szCs w:val="18"/>
          <w:color w:val="auto"/>
        </w:rPr>
        <w:t>We own a patent family that includes 3 patent applications pending across multiple jurisdictions (including the United States), and have claims to compositions of matter, including ALG</w:t>
      </w:r>
      <w:r>
        <w:rPr>
          <w:rFonts w:ascii="MS PGothic" w:cs="MS PGothic" w:eastAsia="MS PGothic" w:hAnsi="MS PGothic"/>
          <w:sz w:val="18"/>
          <w:szCs w:val="18"/>
          <w:color w:val="auto"/>
        </w:rPr>
        <w:t>‑</w:t>
      </w:r>
      <w:r>
        <w:rPr>
          <w:rFonts w:ascii="Arial" w:cs="Arial" w:eastAsia="Arial" w:hAnsi="Arial"/>
          <w:sz w:val="18"/>
          <w:szCs w:val="18"/>
          <w:color w:val="auto"/>
        </w:rPr>
        <w:t>020572, our lead ASO candidate, and methods of use. This patent family also discloses combination therapies with our lead molecule. Any patent that issues from such non-provisional applications in this patent family is projected to expire in May 2040, excluding any potential patent term extension or patent term adjustment.</w:t>
      </w:r>
    </w:p>
    <w:p>
      <w:pPr>
        <w:spacing w:after="0" w:line="31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Hepatitis B—ALG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125755 and additional potential drug candidates</w:t>
      </w:r>
    </w:p>
    <w:p>
      <w:pPr>
        <w:spacing w:after="0" w:line="117" w:lineRule="exact"/>
        <w:rPr>
          <w:sz w:val="20"/>
          <w:szCs w:val="20"/>
          <w:color w:val="auto"/>
        </w:rPr>
      </w:pPr>
    </w:p>
    <w:p>
      <w:pPr>
        <w:ind w:right="180" w:firstLine="589"/>
        <w:spacing w:after="0" w:line="220" w:lineRule="exact"/>
        <w:rPr>
          <w:sz w:val="20"/>
          <w:szCs w:val="20"/>
          <w:color w:val="auto"/>
        </w:rPr>
      </w:pPr>
      <w:r>
        <w:rPr>
          <w:rFonts w:ascii="Arial" w:cs="Arial" w:eastAsia="Arial" w:hAnsi="Arial"/>
          <w:sz w:val="18"/>
          <w:szCs w:val="18"/>
          <w:color w:val="auto"/>
        </w:rPr>
        <w:t>We own a patent family that includes 2 U.S. provisional application, and have claims to compositions of matter, including ALG</w:t>
      </w:r>
      <w:r>
        <w:rPr>
          <w:rFonts w:ascii="MS PGothic" w:cs="MS PGothic" w:eastAsia="MS PGothic" w:hAnsi="MS PGothic"/>
          <w:sz w:val="18"/>
          <w:szCs w:val="18"/>
          <w:color w:val="auto"/>
        </w:rPr>
        <w:t>‑</w:t>
      </w:r>
      <w:r>
        <w:rPr>
          <w:rFonts w:ascii="Arial" w:cs="Arial" w:eastAsia="Arial" w:hAnsi="Arial"/>
          <w:sz w:val="18"/>
          <w:szCs w:val="18"/>
          <w:color w:val="auto"/>
        </w:rPr>
        <w:t>125755, our lead siRNA candidate, and methods of use. This patent family will also disclose combination therapies with our lead molecule. Any patent that issues from such non-provisional applications in this patent family is projected to expire in March 2041, excluding additional term from a potential patent term extension and/or patent term adjustment.</w:t>
      </w:r>
    </w:p>
    <w:p>
      <w:pPr>
        <w:spacing w:after="0" w:line="31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NASH—ALG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055009 and additional potential drug candidates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own a patent family that includes 3 applications across multiple jurisdictions, and have claims to compositions of matter,</w:t>
      </w:r>
    </w:p>
    <w:p>
      <w:pPr>
        <w:spacing w:after="0" w:line="23" w:lineRule="exact"/>
        <w:rPr>
          <w:sz w:val="20"/>
          <w:szCs w:val="20"/>
          <w:color w:val="auto"/>
        </w:rPr>
      </w:pPr>
    </w:p>
    <w:p>
      <w:pPr>
        <w:jc w:val="both"/>
        <w:ind w:right="200"/>
        <w:spacing w:after="0" w:line="216" w:lineRule="exact"/>
        <w:rPr>
          <w:sz w:val="20"/>
          <w:szCs w:val="20"/>
          <w:color w:val="auto"/>
        </w:rPr>
      </w:pPr>
      <w:r>
        <w:rPr>
          <w:rFonts w:ascii="Arial" w:cs="Arial" w:eastAsia="Arial" w:hAnsi="Arial"/>
          <w:sz w:val="18"/>
          <w:szCs w:val="18"/>
          <w:color w:val="auto"/>
        </w:rPr>
        <w:t>including ALG</w:t>
      </w:r>
      <w:r>
        <w:rPr>
          <w:rFonts w:ascii="MS PGothic" w:cs="MS PGothic" w:eastAsia="MS PGothic" w:hAnsi="MS PGothic"/>
          <w:sz w:val="18"/>
          <w:szCs w:val="18"/>
          <w:color w:val="auto"/>
        </w:rPr>
        <w:t>‑</w:t>
      </w:r>
      <w:r>
        <w:rPr>
          <w:rFonts w:ascii="Arial" w:cs="Arial" w:eastAsia="Arial" w:hAnsi="Arial"/>
          <w:sz w:val="18"/>
          <w:szCs w:val="18"/>
          <w:color w:val="auto"/>
        </w:rPr>
        <w:t>055009, our lead drug candidate for the treatment of NASH, and methods of use. This patent family also discloses combination therapies with our lead molecule. Any patent that issues from such non-provisional applications in this patent family is projected to expire in May 2040, excluding any potential patent term extension or patent term adjustment.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pipeline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Hepatitis B</w:t>
      </w:r>
    </w:p>
    <w:p>
      <w:pPr>
        <w:spacing w:after="0" w:line="117" w:lineRule="exact"/>
        <w:rPr>
          <w:sz w:val="20"/>
          <w:szCs w:val="20"/>
          <w:color w:val="auto"/>
        </w:rPr>
      </w:pPr>
    </w:p>
    <w:p>
      <w:pPr>
        <w:jc w:val="both"/>
        <w:ind w:right="220" w:firstLine="589"/>
        <w:spacing w:after="0" w:line="291" w:lineRule="auto"/>
        <w:rPr>
          <w:sz w:val="20"/>
          <w:szCs w:val="20"/>
          <w:color w:val="auto"/>
        </w:rPr>
      </w:pPr>
      <w:r>
        <w:rPr>
          <w:rFonts w:ascii="Arial" w:cs="Arial" w:eastAsia="Arial" w:hAnsi="Arial"/>
          <w:sz w:val="16"/>
          <w:szCs w:val="16"/>
          <w:color w:val="auto"/>
        </w:rPr>
        <w:t>We own multiple families of applications that include claims to compositions of matter, pharmaceutical compositions and methods of use for the treatment of CHB with our additional drug candidates. This includes 4 U.S. non-provisional patent applications, 4 U.S. provisional patent applications,</w:t>
      </w:r>
    </w:p>
    <w:p>
      <w:pPr>
        <w:ind w:right="60"/>
        <w:spacing w:after="0" w:line="273" w:lineRule="auto"/>
        <w:rPr>
          <w:sz w:val="20"/>
          <w:szCs w:val="20"/>
          <w:color w:val="auto"/>
        </w:rPr>
      </w:pPr>
      <w:r>
        <w:rPr>
          <w:rFonts w:ascii="Arial" w:cs="Arial" w:eastAsia="Arial" w:hAnsi="Arial"/>
          <w:sz w:val="17"/>
          <w:szCs w:val="17"/>
          <w:color w:val="auto"/>
        </w:rPr>
        <w:t>5 PCT patent applications and 4 foreign patent applications in the small molecule space and 2 U.S. non-provisional patent applications, 1 U.S. provisional application, 2 PCT patent applications and 3 foreign patent applications in the oligonucleotide space. These patent families also disclose combination therapies with our drug candidates and other compounds for treating CHB. Any patent that issues from a non-provisional application in one of these patent families is projected to expire in 2040 to 2041, excluding any potential patent term extension or patent term adjustment.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NASH</w:t>
      </w:r>
    </w:p>
    <w:p>
      <w:pPr>
        <w:spacing w:after="0" w:line="117"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color w:val="auto"/>
        </w:rPr>
        <w:t>We have filed 6 U.S. provisional applications that include claims to compositions of matter and methods of use with our additional drug candidates for the treatment of NASH. These U.S. provisional applications also disclose combination therapies with our drug candidates and other compounds for treating NASH. Any patent that issues from a non-provisional application claiming priority to this U.S. provisional application is projected to expire in 2041, excluding any potential patent term extension or patent term adjustment.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Coronaviruses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have filed 13 provisional U.S. patent applications that include claims to compositions of matter, pharmaceutical compositions and methods of use for treating coronaviruses. This includes multiple applications covering both small molecule and oligonucleotide approaches. These patent families also include disclosure relating to combination therapy strategies for treating coronaviruses. Any patent that issues from a non-provisional patent application claiming priority to one or more of these U.S. provisional applications is projected to expire in 2041, excluding any potential patent term extension or patent term adjustment.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5" w:name="page36"/>
    <w:bookmarkEnd w:id="35"/>
    <w:p>
      <w:pPr>
        <w:ind w:right="40" w:firstLine="589"/>
        <w:spacing w:after="0" w:line="284" w:lineRule="auto"/>
        <w:rPr>
          <w:sz w:val="20"/>
          <w:szCs w:val="20"/>
          <w:color w:val="auto"/>
        </w:rPr>
      </w:pPr>
      <w:r>
        <w:rPr>
          <w:rFonts w:ascii="Arial" w:cs="Arial" w:eastAsia="Arial" w:hAnsi="Arial"/>
          <w:sz w:val="16"/>
          <w:szCs w:val="16"/>
          <w:color w:val="auto"/>
        </w:rPr>
        <w:t>With respect to both our licensed and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our platforms and drug candidates and the methods used to manufacture them. Moreover, the time required for development, testing and regulatory review of our candidate drug candidates may shorten the length of effective patent protection following commercialization. If we do obtain any patents for our drug candidates, the term of such patents depends upon the legal term of the patents in the countries in which they are obtained. In most countries in which we file, the patent term is 20 years from the earliest date of filing of</w:t>
      </w:r>
    </w:p>
    <w:p>
      <w:pPr>
        <w:spacing w:after="0" w:line="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non-provisional patent application. In the United States, the patent term of a patent that covers an FDA 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other foreign jurisdictions to extend the term of a patent that covers an approved drug or biologic. In the future, if our drug candidates receive FDA approval and if our patent applications relating to such drug candidates issue as patents, we expect to apply for patent term extensions where applicable on patents covering those drugs. We plan to seek patent term extensions to any of our future issued patents in any jurisdiction where these are available, however there is no guarantee that the applicable authorities, including FDA in the United States, will agree with our assessment of whether these extensions should be granted, and if granted, the length of these extensions. For this and other risks related to our proprietary technology, inventions, improvements, platforms and product candidates, see the section titled “Risk Factors—Risks related to intellectual property.”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Our trademark portfolio contains several trademark applications and registrations, including U.S. and foreign, as of December 31, 2020. The trademark portfolio includes the marks ALIGOS and STOPS. The mark STOPS is registered in Australia and the EU and is pending in the United States and Japan. The mark ALIGOS is registered in the United States, the EU and Japan.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FDA and other regulatory authorities at the federal, state, and local level, as well as in foreign countries, extensively regulate, among other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things, the research, development, testing, manufacture, storage, recordkeeping, approval, labeling, marketing and promotion, distribution, post-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monitoring and reporting, sampling, and import and export of pharmaceutical products, such as those we are developing. The process of obtaining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approvals and the subsequent compliance with appropriate federal, state, local and foreign statutes and regulations require the expenditure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substantial time and financial resources.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regulation</w:t>
      </w:r>
    </w:p>
    <w:p>
      <w:pPr>
        <w:spacing w:after="0" w:line="117" w:lineRule="exact"/>
        <w:rPr>
          <w:sz w:val="20"/>
          <w:szCs w:val="20"/>
          <w:color w:val="auto"/>
        </w:rPr>
      </w:pPr>
    </w:p>
    <w:p>
      <w:pPr>
        <w:ind w:right="340" w:firstLine="589"/>
        <w:spacing w:after="0" w:line="296" w:lineRule="auto"/>
        <w:rPr>
          <w:sz w:val="20"/>
          <w:szCs w:val="20"/>
          <w:color w:val="auto"/>
        </w:rPr>
      </w:pPr>
      <w:r>
        <w:rPr>
          <w:rFonts w:ascii="Arial" w:cs="Arial" w:eastAsia="Arial" w:hAnsi="Arial"/>
          <w:sz w:val="16"/>
          <w:szCs w:val="16"/>
          <w:color w:val="auto"/>
        </w:rPr>
        <w:t>In the United States, the FDA regulates drugs under the Federal Food, Drug, and Cosmetic Act (the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left="600"/>
        <w:spacing w:after="0"/>
        <w:rPr>
          <w:sz w:val="20"/>
          <w:szCs w:val="20"/>
          <w:color w:val="auto"/>
        </w:rPr>
      </w:pPr>
      <w:r>
        <w:rPr>
          <w:rFonts w:ascii="Arial" w:cs="Arial" w:eastAsia="Arial" w:hAnsi="Arial"/>
          <w:sz w:val="18"/>
          <w:szCs w:val="18"/>
          <w:color w:val="auto"/>
        </w:rPr>
        <w:t>The process required by the FDA before drug candidates may be marketed in the United States generally involves the following:</w:t>
      </w:r>
    </w:p>
    <w:p>
      <w:pPr>
        <w:spacing w:after="0" w:line="117" w:lineRule="exact"/>
        <w:rPr>
          <w:sz w:val="20"/>
          <w:szCs w:val="20"/>
          <w:color w:val="auto"/>
        </w:rPr>
      </w:pPr>
    </w:p>
    <w:p>
      <w:pPr>
        <w:ind w:left="1160" w:right="8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where all supporting safety and toxicity studies are performed in accordance with the FDA’s Good Laboratory Practice (GLP) regulations;</w:t>
      </w:r>
    </w:p>
    <w:p>
      <w:pPr>
        <w:spacing w:after="0" w:line="62"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begin and must be updated annually or when significant changes are made;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representing each clinical site before a clinical trial may be initiated;</w:t>
      </w:r>
    </w:p>
    <w:p>
      <w:pPr>
        <w:spacing w:after="0" w:line="155" w:lineRule="exact"/>
        <w:rPr>
          <w:rFonts w:ascii="Arial" w:cs="Arial" w:eastAsia="Arial" w:hAnsi="Arial"/>
          <w:sz w:val="17"/>
          <w:szCs w:val="17"/>
          <w:color w:val="auto"/>
        </w:rPr>
      </w:pPr>
    </w:p>
    <w:p>
      <w:pPr>
        <w:ind w:left="1160" w:right="8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(GCP) regulations to establish the safety and efficacy of the product candidate for each proposed indication;</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preparation of and submission to the FDA of a new drug application (NDA);</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44" w:lineRule="exact"/>
        <w:rPr>
          <w:rFonts w:ascii="Arial" w:cs="Arial" w:eastAsia="Arial" w:hAnsi="Arial"/>
          <w:sz w:val="18"/>
          <w:szCs w:val="18"/>
          <w:color w:val="auto"/>
        </w:rPr>
      </w:pPr>
    </w:p>
    <w:p>
      <w:pPr>
        <w:ind w:left="1160" w:right="80" w:hanging="572"/>
        <w:spacing w:after="0" w:line="263"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facility(ies) where the product is manufactured to assess compliance with current good manufacturing practice (cGMP) regulations, and of selected clinical investigation sites to assess compliance with GCP; and</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FDA review and approval of an NDA to permit commercial marketing of the product for its particular labeled uses in the United States.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and clinical studies</w:t>
      </w:r>
    </w:p>
    <w:p>
      <w:pPr>
        <w:spacing w:after="0" w:line="117"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The nonclinical and clinical testing process can take many years and the actual time required to obtain approval, if any, may vary substantially based upon the type, complexity and novelty of the drug or condition being treated.</w:t>
      </w:r>
    </w:p>
    <w:p>
      <w:pPr>
        <w:spacing w:after="0" w:line="170"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Nonclinical tests include laboratory (in vitro) evaluation of drug chemistry, formulation and toxicity, as well as animal (in vivo) studies to assess the characteristics and potential safety and efficacy of the drug candidate. The conduct of nonclinical studies that provide safety and toxicological information must comply with federal regulations and requirements, including GLPs. The results of nonclinical studies are submitted to the FDA as part of an IND along with other information, including information about drug CMC and any available human data or literature to support use of the drug in humans. Long-term nonclinical tests, such as animal tests of reproductive toxicity and carcinogenicity, may continue after the IND is submitted.</w:t>
      </w:r>
    </w:p>
    <w:p>
      <w:pPr>
        <w:spacing w:after="0" w:line="16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w:t>
      </w:r>
    </w:p>
    <w:p>
      <w:pPr>
        <w:spacing w:after="0" w:line="187"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spacing w:after="0" w:line="157" w:lineRule="exact"/>
        <w:rPr>
          <w:sz w:val="20"/>
          <w:szCs w:val="20"/>
          <w:color w:val="auto"/>
        </w:rPr>
      </w:pPr>
    </w:p>
    <w:p>
      <w:pPr>
        <w:ind w:right="800" w:firstLine="589"/>
        <w:spacing w:after="0" w:line="27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in accordance with GCPs, which include the requirement that all research subjects provide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ind w:right="120"/>
        <w:spacing w:after="0" w:line="255" w:lineRule="auto"/>
        <w:rPr>
          <w:sz w:val="20"/>
          <w:szCs w:val="20"/>
          <w:color w:val="auto"/>
        </w:rPr>
      </w:pPr>
      <w:r>
        <w:rPr>
          <w:rFonts w:ascii="Arial" w:cs="Arial" w:eastAsia="Arial" w:hAnsi="Arial"/>
          <w:sz w:val="18"/>
          <w:szCs w:val="18"/>
          <w:color w:val="auto"/>
        </w:rPr>
        <w:t>their informed consent for participation in each clinical trial. Clinical trials are conducted under protocols detailing, among other things, the objectives of the trial,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a trial may be initiated at the site, and the IRB must monitor the trial until completed. Sponsors of clinical trials generally must register and report ongoing clinical trials and clinical trial results to public registries, including the website maintained by the U.S. National Institutes of Health, ClinicalTrials.gov.</w:t>
      </w:r>
    </w:p>
    <w:p>
      <w:pPr>
        <w:spacing w:after="0" w:line="192"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For purposes of NDA approval, human clinical trials are typically divided into three or four phases. Although the phases are usually conducted sequentially, they may overlap or be combined.</w:t>
      </w:r>
    </w:p>
    <w:p>
      <w:pPr>
        <w:spacing w:after="0" w:line="58" w:lineRule="exact"/>
        <w:rPr>
          <w:sz w:val="20"/>
          <w:szCs w:val="20"/>
          <w:color w:val="auto"/>
        </w:rPr>
      </w:pPr>
    </w:p>
    <w:p>
      <w:pPr>
        <w:ind w:left="1160" w:right="140" w:hanging="572"/>
        <w:spacing w:after="0" w:line="266"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drug is initially introduced into healthy human subjects or into patients with the target disease or condition. These studies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designed to evaluate the safety, dosage tolerance, metabolism and pharmacologic actions of the drug in humans, the side effects associated with increasing doses, and if possible, to gain early evidence of effectiveness.</w:t>
      </w:r>
    </w:p>
    <w:p>
      <w:pPr>
        <w:spacing w:after="0" w:line="67" w:lineRule="exact"/>
        <w:rPr>
          <w:rFonts w:ascii="Arial" w:cs="Arial" w:eastAsia="Arial" w:hAnsi="Arial"/>
          <w:sz w:val="18"/>
          <w:szCs w:val="18"/>
          <w:color w:val="auto"/>
        </w:rPr>
      </w:pPr>
    </w:p>
    <w:p>
      <w:pPr>
        <w:ind w:left="1160" w:right="160" w:hanging="572"/>
        <w:spacing w:after="0" w:line="266"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drug is administered to a limited patient population to evaluate tolerance and optimal dose, identify possible adverse side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effects and safety risks, and preliminarily evaluate efficacy. Multiple Phase 2 trials may be conducted to obtain additional data prior to beginning Phase 3 trials.</w:t>
      </w:r>
    </w:p>
    <w:p>
      <w:pPr>
        <w:spacing w:after="0" w:line="67" w:lineRule="exact"/>
        <w:rPr>
          <w:rFonts w:ascii="Arial" w:cs="Arial" w:eastAsia="Arial" w:hAnsi="Arial"/>
          <w:sz w:val="18"/>
          <w:szCs w:val="18"/>
          <w:color w:val="auto"/>
        </w:rPr>
      </w:pPr>
    </w:p>
    <w:p>
      <w:pPr>
        <w:ind w:left="1160" w:right="20" w:hanging="572"/>
        <w:spacing w:after="0" w:line="266"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drug is administered to an expanded patient population, generally at geographically dispersed clinical trial sites to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enough data to statistically evaluate dosage, clinical effectiveness and safety, to establish the overall benefit-risk relationship of the investigational drug and to provide an adequate basis for drug approval.</w:t>
      </w:r>
    </w:p>
    <w:p>
      <w:pPr>
        <w:spacing w:after="0" w:line="67" w:lineRule="exact"/>
        <w:rPr>
          <w:rFonts w:ascii="Arial" w:cs="Arial" w:eastAsia="Arial" w:hAnsi="Arial"/>
          <w:sz w:val="18"/>
          <w:szCs w:val="18"/>
          <w:color w:val="auto"/>
        </w:rPr>
      </w:pPr>
    </w:p>
    <w:p>
      <w:pPr>
        <w:ind w:left="1160" w:right="260" w:hanging="572"/>
        <w:spacing w:after="0" w:line="289"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Phase 4</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some cases, the FDA may condition approval of an NDA for a drug candidate on the sponsor’s agreement to conduct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clinical trials after approval. In other cases, a sponsor may voluntarily conduct additional clinical trials after approval to gain more information about the drug. Such post-approval trials are typically referred to as Phase 4 clinical trials.</w:t>
      </w:r>
    </w:p>
    <w:p>
      <w:pPr>
        <w:spacing w:after="0" w:line="162"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FDA, the IRB or the clinical trial sponsor may suspend or terminate a clinical trial at any time on various grounds, including a finding that the research subjects are being exposed to an unacceptable health risk. The sponsor may also suspend or terminate a clinical trial based on evolving business objectives and/or competitive climate.</w:t>
      </w:r>
    </w:p>
    <w:p>
      <w:pPr>
        <w:spacing w:after="0" w:line="184"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Concurrent with clinical trials, companies may complete additional in vivo studies and develop additional information about the characteristics of the drug candidate. Companies must also finalize a process for manufacturing the drug in commercially applicable quantities in accordance with cGMP requirements. The manufacturing process must be capable of consistently producing quality batches of the drug and, among other things, must use validated methods for testing the drug against specifications to confirm its identity, strength, quality and purity. Additionally, appropriate packaging must be selected and tested, and stability studies must be conducted to demonstrate that the drug does not undergo unacceptable deterioration over its shelf life.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an NDA to the FDA</w:t>
      </w:r>
    </w:p>
    <w:p>
      <w:pPr>
        <w:spacing w:after="0" w:line="117" w:lineRule="exact"/>
        <w:rPr>
          <w:sz w:val="20"/>
          <w:szCs w:val="20"/>
          <w:color w:val="auto"/>
        </w:rPr>
      </w:pPr>
    </w:p>
    <w:p>
      <w:pPr>
        <w:ind w:right="620" w:firstLine="589"/>
        <w:spacing w:after="0" w:line="311"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and testing are submitted to the FDA in the form of an NDA requesting approval to market the drug for one or more indications. The submission of an NDA requires payment of a substantial application user fee to the FDA, unless a waiver or exemption applies.</w:t>
      </w:r>
    </w:p>
    <w:p>
      <w:pPr>
        <w:spacing w:after="0" w:line="149"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An NDA must include all relevant data available from pertinent nonclinical studies and clinical trials, including negative or ambiguous results as well as positive findings, together with detailed information relating to the drug’s chemistry, manufacturing, controls and proposed labeling, among other things. Data can come from company-sponsored clinical trials intended to test the safety and effectiveness of the drug for a specific use, or from a number of alternative sources, including studies initiated by investigators. To support marketing approval, the data submitted must be sufficient in quality and quantity to establish the safety and effectiveness of the drug to the satisfaction of the FDA.</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8" w:name="page39"/>
    <w:bookmarkEnd w:id="38"/>
    <w:p>
      <w:pPr>
        <w:ind w:right="140" w:firstLine="589"/>
        <w:spacing w:after="0" w:line="254"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(PDUFA) performance goals, the FDA endeavors to review NDAs for drugs containing new molecular entities within ten months of the 60-day filing date under standard review or within six months of the 60-day filing date under priority review.</w:t>
      </w:r>
    </w:p>
    <w:p>
      <w:pPr>
        <w:spacing w:after="0" w:line="195" w:lineRule="exact"/>
        <w:rPr>
          <w:sz w:val="20"/>
          <w:szCs w:val="20"/>
          <w:color w:val="auto"/>
        </w:rPr>
      </w:pPr>
    </w:p>
    <w:p>
      <w:pPr>
        <w:ind w:right="360" w:firstLine="589"/>
        <w:spacing w:after="0" w:line="308" w:lineRule="auto"/>
        <w:rPr>
          <w:sz w:val="20"/>
          <w:szCs w:val="20"/>
          <w:color w:val="auto"/>
        </w:rPr>
      </w:pPr>
      <w:r>
        <w:rPr>
          <w:rFonts w:ascii="Arial" w:cs="Arial" w:eastAsia="Arial" w:hAnsi="Arial"/>
          <w:sz w:val="17"/>
          <w:szCs w:val="17"/>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146"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drug is manufactured. The FDA will not approve an application unless it determines that the manufacturing processes and facilities are in compliance with cGMP requirements and are adequate to assure consistent production of the drug within required specifications. Additionally, the FDA will typically inspect one or more clinical sites to assure that relevant trial data was obtained in compliance with GCP requirements.</w:t>
      </w:r>
    </w:p>
    <w:p>
      <w:pPr>
        <w:spacing w:after="0" w:line="187"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164"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 a condition of NDA approval, the FDA may require a Risk Evaluation and Mitigation Strategy (REMS) program to help ensure that the benefits of the drug outweigh its risks. If the FDA determines a REMS program is necessary, the drug sponsor must develop and submit a REMS as part of its NDA prior to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192" w:lineRule="exact"/>
        <w:rPr>
          <w:sz w:val="20"/>
          <w:szCs w:val="20"/>
          <w:color w:val="auto"/>
        </w:rPr>
      </w:pPr>
    </w:p>
    <w:p>
      <w:pPr>
        <w:ind w:right="200" w:firstLine="589"/>
        <w:spacing w:after="0" w:line="272" w:lineRule="auto"/>
        <w:rPr>
          <w:sz w:val="20"/>
          <w:szCs w:val="20"/>
          <w:color w:val="auto"/>
        </w:rPr>
      </w:pPr>
      <w:r>
        <w:rPr>
          <w:rFonts w:ascii="Arial" w:cs="Arial" w:eastAsia="Arial" w:hAnsi="Arial"/>
          <w:sz w:val="17"/>
          <w:szCs w:val="17"/>
          <w:color w:val="auto"/>
        </w:rPr>
        <w:t>Further, the FDA may require substantial post-approval testing and surveillance as a condition of NDA approval to monitor the drug’s safety and efficacy, and the FDA has the authority to prevent or limit further marketing of a product based on the results of these post-marketing programs. Once granted, product approvals may be withdrawn if compliance with regulatory requirements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The FDA offers a number of expedited development and review programs for qualifying drugs, one or more of which may be available for our current or future drug candidates.</w:t>
      </w:r>
    </w:p>
    <w:p>
      <w:pPr>
        <w:spacing w:after="0" w:line="170"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New drug candidates are eligible for fast track designation if they are intended to treat a serious or life-threatening disease or condition and demonstrate the potential to address unmet medical needs for the disease or condition. Fast track designation applies to the combination of the drug and the specific indication for which it is being studied. The sponsor of a fast track drug candidate has opportunities for frequent interactions with the review</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 w:name="page40"/>
    <w:bookmarkEnd w:id="39"/>
    <w:p>
      <w:pPr>
        <w:ind w:right="60"/>
        <w:spacing w:after="0" w:line="279" w:lineRule="auto"/>
        <w:rPr>
          <w:sz w:val="20"/>
          <w:szCs w:val="20"/>
          <w:color w:val="auto"/>
        </w:rPr>
      </w:pPr>
      <w:r>
        <w:rPr>
          <w:rFonts w:ascii="Arial" w:cs="Arial" w:eastAsia="Arial" w:hAnsi="Arial"/>
          <w:sz w:val="17"/>
          <w:szCs w:val="17"/>
          <w:color w:val="auto"/>
        </w:rPr>
        <w:t>team during drug development and, once an NDA is submitted, the drug candidate may be eligible for priority review. A fast track drug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1"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A drug candidate intended to treat a serious or life-threatening disease or condition may also be eligible for breakthrough therapy designation to expedite its development and review. A drug candidate can receive breakthrough therapy designation if preliminary clinical evidence indicates that the drug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drug candidate, including involvement of senior managers.</w:t>
      </w:r>
    </w:p>
    <w:p>
      <w:pPr>
        <w:spacing w:after="0" w:line="192"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After an NDA is submitted for a drug candidate, including a drug candidate with a fast track designation and/or breakthrough therapy designation, the NDA may be eligible for priority review. An NDA is eligible for priority review if it has the potential to provide a significant improvement in the treatment, diagnosis or prevention of a serious disease or condition compared to marketed products. Depending on whether a drug candidate contains a new molecular entity, priority review designation means the FDA’s goal is to take an action on the marketing application within six to eight months of the 60-day filing date, compared with ten to twelve months under standard review.</w:t>
      </w:r>
    </w:p>
    <w:p>
      <w:pPr>
        <w:spacing w:after="0" w:line="188"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Additionally, drug candidates studied for their safety and effectiveness in treating serious or life-threatening diseases or conditions may receive accelerated approval upon a determination that the drug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drug.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may pursue orphan drug designation for one or more of our current or future drug candidates, as appropriate, with the potential to obtain orphan drug exclusivity for our products, if approved.</w:t>
      </w:r>
    </w:p>
    <w:p>
      <w:pPr>
        <w:spacing w:after="0" w:line="170"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78"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If a drug that has orphan drug designation subsequently receives the first FDA approval for the disease for which it has such designation, the drug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drug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right="260" w:firstLine="589"/>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drug to meet the needs of patients with the rare disease or condition.</w:t>
      </w:r>
    </w:p>
    <w:p>
      <w:pPr>
        <w:spacing w:after="0" w:line="187"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Under the Pediatric Research Equity Act,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amended the FDCA to require that a sponsor who is planning to submit an NDA for a drug that includes a new active ingredient, new indication, new dosage form, new dosing regimen or new route of administration submit an initial Pediatric Study Plan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nonclinical studies, early phase clinical trials and/or other clinical development programs.</w:t>
      </w:r>
    </w:p>
    <w:p>
      <w:pPr>
        <w:spacing w:after="0" w:line="172" w:lineRule="exact"/>
        <w:rPr>
          <w:sz w:val="20"/>
          <w:szCs w:val="20"/>
          <w:color w:val="auto"/>
        </w:rPr>
      </w:pPr>
    </w:p>
    <w:p>
      <w:pPr>
        <w:ind w:right="300" w:firstLine="589"/>
        <w:spacing w:after="0" w:line="286" w:lineRule="auto"/>
        <w:rPr>
          <w:sz w:val="20"/>
          <w:szCs w:val="20"/>
          <w:color w:val="auto"/>
        </w:rPr>
      </w:pPr>
      <w:r>
        <w:rPr>
          <w:rFonts w:ascii="Arial" w:cs="Arial" w:eastAsia="Arial" w:hAnsi="Arial"/>
          <w:sz w:val="17"/>
          <w:szCs w:val="17"/>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Once an NDA is approved, a drug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77"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After approval, most changes to the approved drug, such as adding new indications or other labeling claims, are subject to prior FDA review and approval. There also are continuing user fee requirements, under which FDA assesses an annual program fee for each drug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manufacturers and their subcontractors, if applicable. Accordingly, manufacturers must continue to expend time, money and effort in the area of production and quality control to maintain compliance with cGMP and other aspects of regulatory compliance.</w:t>
      </w:r>
    </w:p>
    <w:p>
      <w:pPr>
        <w:spacing w:after="0" w:line="165"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FDA may withdraw approval of a drug if compliance with regulatory requirements is not maintained or if problems occur after the drug reaches the market. Later discovery of previously unknown problems with a drug,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distribution restrictions or other restrictions under a REMS program. Other potential consequences include, among other things:</w:t>
      </w:r>
    </w:p>
    <w:p>
      <w:pPr>
        <w:spacing w:after="0" w:line="117" w:lineRule="exact"/>
        <w:rPr>
          <w:sz w:val="20"/>
          <w:szCs w:val="20"/>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drug, complete withdrawal of the drug from the market or drug recalls;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44"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drug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drug seizure or detention, or refusal of the FDA to permit the import or export of drugs; or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In addition to regulations in the United States, we are subject to certain and could become subject to a variety of additional foreign regulations regarding development, approval, commercial sales and distribution of our drugs if we seek to market our drugs (if approved) in other jurisdictions. Whether or not we obtain FDA approval for a drug candidate, we must obtain the necessary approvals by the comparable regulatory authorities of foreign countries before we can commence clinical trials or marketing of the drug in those countries. The approval process varies from country to country and can involve additional drug testing and additional review periods, and the time may be longer or shorter than that required to obtain FDA approval. The requirements governing, among other things, the conduct of clinical trials, drug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drug recalls, seizure of drugs, operating restrictions and criminal prosecution.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240" w:firstLine="589"/>
        <w:spacing w:after="0" w:line="254"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In the United States, such laws include, without limitation, state and federal anti-kickback, fraud and abuse, false claims, price reporting, and transparency laws and regulations regarding payments and other transfers of value made to physicians and other healthcare providers.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imprisonment.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Significant uncertainty exists as to the coverage and reimbursement status of any drug candidates for which we or our collaborators obtain regulatory approval. In the United States and markets in other countries, sales of any drugs for which we or our collaborators receive regulatory approval for commercial sale will depend, in part, on the extent to which third-party payors provide coverage, and establish adequate reimbursement levels for such drug products.</w:t>
      </w:r>
    </w:p>
    <w:p>
      <w:pPr>
        <w:spacing w:after="0" w:line="187"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In the United States, third-party payors include federal and state healthcare programs, government authorities, private managed care providers, private health insurers, and other organizations. Third-party payors are increasingly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2" w:name="page43"/>
    <w:bookmarkEnd w:id="42"/>
    <w:p>
      <w:pPr>
        <w:ind w:right="100"/>
        <w:spacing w:after="0" w:line="272" w:lineRule="auto"/>
        <w:rPr>
          <w:sz w:val="20"/>
          <w:szCs w:val="20"/>
          <w:color w:val="auto"/>
        </w:rPr>
      </w:pPr>
      <w:r>
        <w:rPr>
          <w:rFonts w:ascii="Arial" w:cs="Arial" w:eastAsia="Arial" w:hAnsi="Arial"/>
          <w:sz w:val="17"/>
          <w:szCs w:val="17"/>
          <w:color w:val="auto"/>
        </w:rPr>
        <w:t>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drugs, in addition to the costs required to obtain the FDA approvals. Nonetheless, our drug candidates may not be considered medically necessary or cost-effective. A payor’s decision to provide coverage for a drug product does not imply that an adequate reimbursement rate will be approved. Further, one payor’s determination to provide coverage for a drug product does not assure that other payors will also provide coverage for the drug product.</w:t>
      </w:r>
    </w:p>
    <w:p>
      <w:pPr>
        <w:spacing w:after="0" w:line="177"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Moreover, the process for determining whether a third-party payor will provide coverage for a drug product may be separate from the process for setting the price of a drug product or for establishing the reimbursement rate that such a payor will pay for the drug product. For drugs administered under the supervision of a physician, obtaining coverage and adequate reimbursement may be particularly difficult because of the higher prices often associated with such drugs. Additionally, separate reimbursement for the drug itself or the treatment for which the drug is used may not be available, which may impact physician utilization. Adequate third-party reimbursement may not be available to enable us to maintain price levels sufficient to realize an appropriate return on our investment in drug development.</w:t>
      </w:r>
    </w:p>
    <w:p>
      <w:pPr>
        <w:spacing w:after="0" w:line="192"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Different pricing and reimbursement schemes exist in other countries. In Europe,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drugs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drugs. In addition, in some countries, cross-border imports from low-priced markets exert a commercial pressure on pricing within a country.</w:t>
      </w:r>
    </w:p>
    <w:p>
      <w:pPr>
        <w:spacing w:after="0" w:line="178" w:lineRule="exact"/>
        <w:rPr>
          <w:sz w:val="20"/>
          <w:szCs w:val="20"/>
          <w:color w:val="auto"/>
        </w:rPr>
      </w:pPr>
    </w:p>
    <w:p>
      <w:pPr>
        <w:ind w:right="140" w:firstLine="589"/>
        <w:spacing w:after="0" w:line="296" w:lineRule="auto"/>
        <w:rPr>
          <w:sz w:val="20"/>
          <w:szCs w:val="20"/>
          <w:color w:val="auto"/>
        </w:rPr>
      </w:pPr>
      <w:r>
        <w:rPr>
          <w:rFonts w:ascii="Arial" w:cs="Arial" w:eastAsia="Arial" w:hAnsi="Arial"/>
          <w:sz w:val="16"/>
          <w:szCs w:val="16"/>
          <w:color w:val="auto"/>
        </w:rPr>
        <w:t>The marketability of any drug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drug candidates for which we or our collaborators receive regulatory approval, less favorable coverage policies and reimbursement rates may be implemented in the future.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was enacted, which affected existing government healthcare programs and resulted in the development of new programs.</w:t>
      </w:r>
    </w:p>
    <w:p>
      <w:pPr>
        <w:spacing w:after="0" w:line="17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Among the Affordable Care Act’s provisions of importance to the pharmaceutical industry, in addition to those otherwise described above, are the following:</w:t>
      </w:r>
    </w:p>
    <w:p>
      <w:pPr>
        <w:spacing w:after="0" w:line="62" w:lineRule="exact"/>
        <w:rPr>
          <w:sz w:val="20"/>
          <w:szCs w:val="20"/>
          <w:color w:val="auto"/>
        </w:rPr>
      </w:pPr>
    </w:p>
    <w:p>
      <w:pPr>
        <w:ind w:left="1160" w:right="180" w:hanging="572"/>
        <w:spacing w:after="0" w:line="308" w:lineRule="auto"/>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38" w:lineRule="exact"/>
        <w:rPr>
          <w:rFonts w:ascii="Arial" w:cs="Arial" w:eastAsia="Arial" w:hAnsi="Arial"/>
          <w:sz w:val="17"/>
          <w:szCs w:val="17"/>
          <w:color w:val="auto"/>
        </w:rPr>
      </w:pPr>
    </w:p>
    <w:p>
      <w:pPr>
        <w:ind w:left="1160" w:right="4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3" w:name="page44"/>
    <w:bookmarkEnd w:id="43"/>
    <w:p>
      <w:pPr>
        <w:ind w:left="1160"/>
        <w:spacing w:after="0"/>
        <w:rPr>
          <w:sz w:val="20"/>
          <w:szCs w:val="20"/>
          <w:color w:val="auto"/>
        </w:rPr>
      </w:pPr>
      <w:r>
        <w:rPr>
          <w:rFonts w:ascii="Arial" w:cs="Arial" w:eastAsia="Arial" w:hAnsi="Arial"/>
          <w:sz w:val="18"/>
          <w:szCs w:val="18"/>
          <w:color w:val="auto"/>
        </w:rPr>
        <w:t>respectively, and a cap on the total rebate amount for innovator drugs at 100% of the Average Manufacturer Price (AMP);</w:t>
      </w:r>
    </w:p>
    <w:p>
      <w:pPr>
        <w:spacing w:after="0" w:line="144" w:lineRule="exact"/>
        <w:rPr>
          <w:sz w:val="20"/>
          <w:szCs w:val="20"/>
          <w:color w:val="auto"/>
        </w:rPr>
      </w:pPr>
    </w:p>
    <w:p>
      <w:pPr>
        <w:ind w:left="1160" w:right="100" w:hanging="572"/>
        <w:spacing w:after="0" w:line="263"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160" w:right="40" w:hanging="572"/>
        <w:spacing w:after="0" w:line="263"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and</w:t>
      </w:r>
    </w:p>
    <w:p>
      <w:pPr>
        <w:spacing w:after="0" w:line="144" w:lineRule="exact"/>
        <w:rPr>
          <w:rFonts w:ascii="Arial" w:cs="Arial" w:eastAsia="Arial" w:hAnsi="Arial"/>
          <w:sz w:val="18"/>
          <w:szCs w:val="18"/>
          <w:color w:val="auto"/>
        </w:rPr>
      </w:pPr>
    </w:p>
    <w:p>
      <w:pPr>
        <w:ind w:left="1160" w:right="52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20" w:firstLine="589"/>
        <w:spacing w:after="0" w:line="270"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Affordable Care Act. For example, the TCJA was enacted, which included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Affordable Care Act, and therefore, because it was repealed as part of the TCJA, the remaining provisions of the Affordable Care Act are invalid as well. Additionally, on December 18, 2019, the U.S. Court of Appeals for the 5th Circuit ruled that that the individual mandate was unconstitutional and remanded the case back to the District Court to determine whether the remaining provisions of the Affordable Care Act are invalid as well. The U.S. Supreme Court is currently reviewing this case, although it is unclear how the Supreme Court will rule. It is also unclear how other efforts, if any, to challenge, repeal or replace the Affordable Care Act will impact the law.</w:t>
      </w:r>
    </w:p>
    <w:p>
      <w:pPr>
        <w:spacing w:after="0" w:line="181"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Other legislative changes have been proposed and adopted in the United States since the Affordable Care Act was enacted. On August 2, 2011, the Budget Control Act of 2011, among other things, included aggregate reductions to Medicare payments to providers of 2% per fiscal year, which went into effect on April 1, 2013, and will remain in effect through 2030, with the exception of a temporary suspension from May 1, 2020 through March 31, 2021, unless additional Congressional action is taken. In addition,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8" w:lineRule="exact"/>
        <w:rPr>
          <w:sz w:val="20"/>
          <w:szCs w:val="20"/>
          <w:color w:val="auto"/>
        </w:rPr>
      </w:pPr>
    </w:p>
    <w:p>
      <w:pPr>
        <w:ind w:right="200" w:firstLine="589"/>
        <w:spacing w:after="0" w:line="275" w:lineRule="auto"/>
        <w:rPr>
          <w:sz w:val="20"/>
          <w:szCs w:val="20"/>
          <w:color w:val="auto"/>
        </w:rPr>
      </w:pPr>
      <w:r>
        <w:rPr>
          <w:rFonts w:ascii="Arial" w:cs="Arial" w:eastAsia="Arial" w:hAnsi="Arial"/>
          <w:sz w:val="17"/>
          <w:szCs w:val="17"/>
          <w:color w:val="auto"/>
        </w:rPr>
        <w:t>There has also been heightened governmental scrutiny recently over the manner in which pharmaceutical companies set prices for their marketed products, which has resulted in several Congressional inquiries and proposed federal legislation, as well as state efforts, designed to, among other things, bring more transparency to drug pricing, reduce the cost of prescription drugs under Medicare, review the relationship between pricing and manufacturer patient programs, and reform government program reimbursement methodologies for drug products. It is unclear whether the Biden administration will work to reverse these measures or pursue similar policy initiatives to control drug costs.</w:t>
      </w:r>
    </w:p>
    <w:p>
      <w:pPr>
        <w:spacing w:after="0" w:line="176"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We anticipate that these new laws will result in additional downward pressure on coverage and the price that we receive for any approved drug,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drugs (if approved). In addition, it is possible that there will be further legislation or regulation that could harm our business,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We may also be subject to federal, state and foreign data privacy and security laws and regulations.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could apply to our operations or the operations of our partners. The Health Insurance Portability and Accountability Act of 1996 (HIPAA), as amended by the Health Information Technology for Economic and Clinical Health Act (HITECH), and regulations implemented thereunder, impose requirements relating to the privacy, security and transmission of individually identifiable health information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as the result of a breach of unsecured protected health information, a complaint about privacy practices or an audit by U.S. Department of Health &amp;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186"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Even when HIPAA does not apply, according to the FTC, violating consumers’ privacy rights or failing to take appropriate steps to keep consumers’ personal information secure may constitute unfair acts or practices in or affecting commerce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8" w:lineRule="exact"/>
        <w:rPr>
          <w:sz w:val="20"/>
          <w:szCs w:val="20"/>
          <w:color w:val="auto"/>
        </w:rPr>
      </w:pPr>
    </w:p>
    <w:p>
      <w:pPr>
        <w:ind w:right="120" w:firstLine="589"/>
        <w:spacing w:after="0" w:line="286" w:lineRule="auto"/>
        <w:rPr>
          <w:sz w:val="20"/>
          <w:szCs w:val="20"/>
          <w:color w:val="auto"/>
        </w:rPr>
      </w:pPr>
      <w:r>
        <w:rPr>
          <w:rFonts w:ascii="Arial" w:cs="Arial" w:eastAsia="Arial" w:hAnsi="Arial"/>
          <w:sz w:val="16"/>
          <w:szCs w:val="16"/>
          <w:color w:val="auto"/>
        </w:rPr>
        <w:t>In addition, state laws govern the privacy and security of health information in specified circumstances, many of which differ from each other in significant ways and may not have the same effect, thus complicating compliance efforts. By way of example, California recently enacted the California Consumer Privacy Act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became effective on January 1, 2020, and the California Attorney General may bring enforcement actions for violations beginning July 1, 2020. Further, the California Privacy Rights Act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privacy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conditions.</w:t>
      </w:r>
    </w:p>
    <w:p>
      <w:pPr>
        <w:spacing w:after="0" w:line="174"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also are or will become subject to privacy laws in the jurisdictions in which we sell or market our products or run clinical trials. For example, in the EU we are subject to the EU General Data Protection Regulation (GDPR) in relation to our collection, control, processing, and other use of personal data (i.e. data relating to an identifiable living individual). We process personal data in relation to participants in our clinical trials in the European Economic Area (EEA), including the health and medical information of these participants. The GDPR is directly applicable in each EU and EEA Member State, however, it provides that EU and EEA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pseudonymized (i.e., key-coded) data; introduces mandatory data breach notification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line="269" w:lineRule="auto"/>
        <w:rPr>
          <w:sz w:val="20"/>
          <w:szCs w:val="20"/>
          <w:color w:val="auto"/>
        </w:rPr>
      </w:pPr>
      <w:r>
        <w:rPr>
          <w:rFonts w:ascii="Arial" w:cs="Arial" w:eastAsia="Arial" w:hAnsi="Arial"/>
          <w:sz w:val="17"/>
          <w:szCs w:val="17"/>
          <w:color w:val="auto"/>
        </w:rPr>
        <w:t>requirements; and sets higher standards for data controllers to demonstrate that they have obtained valid consent for certain data processing activities. We are also subject to EEA rules with respect to cross-border transfers of personal data out of the EEA. Recent legal developments in the EU have created complexity and uncertainty regarding transfers of personal data from the EEA to the United States. On July 16, 2020, the Court of Justice of the European Union (CJEU) invalidated the EU-US Privacy Shield Framework (the Privacy Shield) under which personal data could be transferred from the EEA to US entities who had self-certified under the Privacy Shield scheme. While the CJEU upheld the adequacy, subject to certain conditions, of the standard contractual clauses (a standard form of contract approved by the European Commission as an adequate personal data transfer mechanism), future regulatory guidance could result in changes to the use of standard contractual clauses.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operate and the geographical location or segregation of our relevant systems and operations, and could adversely affect our financial results.</w:t>
      </w:r>
    </w:p>
    <w:p>
      <w:pPr>
        <w:spacing w:after="0" w:line="182"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We are subject to the supervision of local data protection authorities in those EU jurisdictions where we are subject to the GDPR, and we maintain an office in Belgium, which has its own set of stringent privacy and data protection laws and regulations. Fines for certain breaches of the GDPR are significant: up to the greater of €20 million or 4% of total global annual turnover. Further, from January 1, 2021, companies have to comply with the GDPR and also the United Kingdom GDPR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compliance costs and could increase our overall risk. In addition to the foregoing, a breach of the GDPR or other applicable privacy and data protection laws and regulations could result in regulatory investigations, reputational damage, orders to cease / change our use of data, enforcement notices, or potential civil claims including class action type litigation.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140" w:firstLine="589"/>
        <w:spacing w:after="0" w:line="342" w:lineRule="auto"/>
        <w:rPr>
          <w:sz w:val="20"/>
          <w:szCs w:val="20"/>
          <w:color w:val="auto"/>
        </w:rPr>
      </w:pPr>
      <w:r>
        <w:rPr>
          <w:rFonts w:ascii="Arial" w:cs="Arial" w:eastAsia="Arial" w:hAnsi="Arial"/>
          <w:sz w:val="16"/>
          <w:szCs w:val="16"/>
          <w:color w:val="auto"/>
        </w:rPr>
        <w:t>As of December 31, 2020, we had 74 full-time employees, including 58 employees engaged in research and development. None of our employees are represented by labor unions or covered by collective bargaining agreements. We consider our relationship with our employees to be good.</w:t>
      </w:r>
    </w:p>
    <w:p>
      <w:pPr>
        <w:spacing w:after="0" w:line="16" w:lineRule="exact"/>
        <w:rPr>
          <w:sz w:val="20"/>
          <w:szCs w:val="20"/>
          <w:color w:val="auto"/>
        </w:rPr>
      </w:pPr>
    </w:p>
    <w:p>
      <w:pPr>
        <w:ind w:right="120" w:firstLine="589"/>
        <w:spacing w:after="0" w:line="286"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We were founded in February 2018 as a Delaware corporation. Our principal executive offices are located at One Corporate Dr., 2nd Floor, South San Francisco, California 94080, and our telephone number is (800) 466-6059.</w:t>
      </w:r>
    </w:p>
    <w:p>
      <w:pPr>
        <w:spacing w:after="0" w:line="62"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Our website address is www.aligos.com. 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References to our website address do not constitute incorporation by reference of the information contained on the website, and the information contained on the website is not part of this document or any other document that we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right="660"/>
        <w:spacing w:after="0" w:line="277" w:lineRule="auto"/>
        <w:rPr>
          <w:sz w:val="20"/>
          <w:szCs w:val="20"/>
          <w:color w:val="auto"/>
        </w:rPr>
      </w:pPr>
      <w:r>
        <w:rPr>
          <w:rFonts w:ascii="Arial" w:cs="Arial" w:eastAsia="Arial" w:hAnsi="Arial"/>
          <w:sz w:val="18"/>
          <w:szCs w:val="18"/>
          <w:color w:val="auto"/>
        </w:rPr>
        <w:t>file with or furnish to the SEC. The SEC maintains a site on the worldwide web that contains reports, proxy and information statements and other information regarding our filings at www.sec.gov.</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Annual Report on 10-K, including our consolidated financial statements and the related notes and “Management’s Discussion and Analysis of Financial Condition and Results of Operations,” before deciding whether to invest in our common stock. Many of the following risks and uncertainties are, and will be, exacerbated by the coronavirus pandemic (COVID-19)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 Only two of our drug candidates, ALG-010133 and ALG-000184, are currently in clinical development.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Since inception, we have incurred significant net losses. Our net losses were $108.5 million for the year ended December 31, 2020 and</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$52.3 million for the year ended December 31, 2019. As of December 31, 2020, we had a total stockholders’ equity of $220.0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9"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completing clinical and nonclinical development of drug candidates and programs and identifying and developing new drug candidates;</w:t>
      </w:r>
    </w:p>
    <w:p>
      <w:pPr>
        <w:spacing w:after="0" w:line="167" w:lineRule="exact"/>
        <w:rPr>
          <w:rFonts w:ascii="Arial" w:cs="Arial" w:eastAsia="Arial" w:hAnsi="Arial"/>
          <w:sz w:val="16"/>
          <w:szCs w:val="16"/>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drug candidates that we develop;</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47" w:name="page48"/>
    <w:bookmarkEnd w:id="47"/>
    <w:p>
      <w:pPr>
        <w:ind w:left="1160" w:right="12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drug candidates that we develop;</w:t>
      </w:r>
    </w:p>
    <w:p>
      <w:pPr>
        <w:spacing w:after="0" w:line="144" w:lineRule="exact"/>
        <w:rPr>
          <w:rFonts w:ascii="Arial" w:cs="Arial" w:eastAsia="Arial" w:hAnsi="Arial"/>
          <w:sz w:val="18"/>
          <w:szCs w:val="18"/>
          <w:color w:val="auto"/>
        </w:rPr>
      </w:pPr>
    </w:p>
    <w:p>
      <w:pPr>
        <w:ind w:left="1160" w:right="300" w:hanging="572"/>
        <w:spacing w:after="0" w:line="342" w:lineRule="auto"/>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market acceptance of drug candidates that we develop as viable treatment options;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44"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protecting, enforcing and expanding our portfolio of intellectual property rights, including patents, trade secrets and know-how;</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29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December 31, 2020, we had cash, cash equivalents and investments of $243.5 million. In October 2020, we issued an aggregate of 3,569,630 shares of our Series B-2 redeemable convertible preferred stock in the second tranche of our Series B convertible preferred stock financing for aggregate proceeds to us of $40.0 million. In addition, we have received net proceeds of $151.4 million from the sale of an aggregate of 11,150,000 shares of our common stock on October 20, 2020 and on November 5, 2020 as part of our IPO.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160" w:right="460" w:hanging="57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8" w:name="page49"/>
    <w:bookmarkEnd w:id="48"/>
    <w:p>
      <w:pPr>
        <w:jc w:val="both"/>
        <w:ind w:left="1160" w:right="260" w:hanging="572"/>
        <w:spacing w:after="0" w:line="263"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5" w:lineRule="exact"/>
        <w:rPr>
          <w:rFonts w:ascii="Arial" w:cs="Arial" w:eastAsia="Arial" w:hAnsi="Arial"/>
          <w:sz w:val="18"/>
          <w:szCs w:val="18"/>
          <w:color w:val="auto"/>
        </w:rPr>
      </w:pPr>
    </w:p>
    <w:p>
      <w:pPr>
        <w:ind w:left="1160" w:right="114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44"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52"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COVID-19 pandemic and the macro-economic environment generally.</w:t>
      </w:r>
    </w:p>
    <w:p>
      <w:pPr>
        <w:spacing w:after="0" w:line="17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In particular, the COVID-19 pandemic continues to rapidly evolve and has already resulted in a significant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80" w:lineRule="exact"/>
        <w:rPr>
          <w:sz w:val="20"/>
          <w:szCs w:val="20"/>
          <w:color w:val="auto"/>
        </w:rPr>
      </w:pPr>
    </w:p>
    <w:p>
      <w:pPr>
        <w:ind w:left="1160" w:right="12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research and development activities or eliminate one or more of our development programs altogether; or</w:t>
      </w:r>
    </w:p>
    <w:p>
      <w:pPr>
        <w:spacing w:after="0" w:line="62" w:lineRule="exact"/>
        <w:rPr>
          <w:rFonts w:ascii="Arial" w:cs="Arial" w:eastAsia="Arial" w:hAnsi="Arial"/>
          <w:sz w:val="18"/>
          <w:szCs w:val="18"/>
          <w:color w:val="auto"/>
        </w:rPr>
      </w:pPr>
    </w:p>
    <w:p>
      <w:pPr>
        <w:jc w:val="both"/>
        <w:ind w:left="1160" w:right="200" w:hanging="572"/>
        <w:spacing w:after="0" w:line="263"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2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62" w:lineRule="exact"/>
        <w:rPr>
          <w:sz w:val="20"/>
          <w:szCs w:val="20"/>
          <w:color w:val="auto"/>
        </w:rPr>
      </w:pPr>
    </w:p>
    <w:p>
      <w:pPr>
        <w:ind w:right="600" w:firstLine="589"/>
        <w:spacing w:after="0" w:line="308" w:lineRule="auto"/>
        <w:rPr>
          <w:sz w:val="20"/>
          <w:szCs w:val="20"/>
          <w:color w:val="auto"/>
        </w:rPr>
      </w:pPr>
      <w:r>
        <w:rPr>
          <w:rFonts w:ascii="Arial" w:cs="Arial" w:eastAsia="Arial" w:hAnsi="Arial"/>
          <w:sz w:val="17"/>
          <w:szCs w:val="17"/>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38" w:lineRule="exact"/>
        <w:rPr>
          <w:sz w:val="20"/>
          <w:szCs w:val="20"/>
          <w:color w:val="auto"/>
        </w:rPr>
      </w:pPr>
    </w:p>
    <w:p>
      <w:pPr>
        <w:ind w:left="1160" w:right="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44" w:lineRule="exact"/>
        <w:rPr>
          <w:rFonts w:ascii="Arial" w:cs="Arial" w:eastAsia="Arial" w:hAnsi="Arial"/>
          <w:sz w:val="18"/>
          <w:szCs w:val="18"/>
          <w:color w:val="auto"/>
        </w:rPr>
      </w:pPr>
    </w:p>
    <w:p>
      <w:pPr>
        <w:ind w:left="1160" w:right="420" w:hanging="572"/>
        <w:spacing w:after="0" w:line="308"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left="1160" w:right="14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produced, and the terms of any agreements we enter into with third-party suppliers;</w:t>
      </w:r>
    </w:p>
    <w:p>
      <w:pPr>
        <w:spacing w:after="0" w:line="62" w:lineRule="exact"/>
        <w:rPr>
          <w:rFonts w:ascii="Arial" w:cs="Arial" w:eastAsia="Arial" w:hAnsi="Arial"/>
          <w:sz w:val="18"/>
          <w:szCs w:val="18"/>
          <w:color w:val="auto"/>
        </w:rPr>
      </w:pPr>
    </w:p>
    <w:p>
      <w:pPr>
        <w:ind w:left="1160" w:right="400" w:hanging="572"/>
        <w:spacing w:after="0" w:line="308"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amount of any milestone, royalty or other payments due under any current or future collaboration or license agreement, including our existing license agreements with Emory University (Emory) and Luxna Biotech Co., Ltd. (Luxna);</w:t>
      </w:r>
    </w:p>
    <w:p>
      <w:pPr>
        <w:spacing w:after="0" w:line="38" w:lineRule="exact"/>
        <w:rPr>
          <w:rFonts w:ascii="Arial" w:cs="Arial" w:eastAsia="Arial" w:hAnsi="Arial"/>
          <w:sz w:val="17"/>
          <w:szCs w:val="17"/>
          <w:color w:val="auto"/>
        </w:rPr>
      </w:pPr>
    </w:p>
    <w:p>
      <w:pPr>
        <w:ind w:left="1160" w:right="56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any future approved products, and potential future drugs that compete with our products;</w:t>
      </w:r>
    </w:p>
    <w:p>
      <w:pPr>
        <w:spacing w:after="0" w:line="62" w:lineRule="exact"/>
        <w:rPr>
          <w:rFonts w:ascii="Arial" w:cs="Arial" w:eastAsia="Arial" w:hAnsi="Arial"/>
          <w:sz w:val="18"/>
          <w:szCs w:val="18"/>
          <w:color w:val="auto"/>
        </w:rPr>
      </w:pPr>
    </w:p>
    <w:p>
      <w:pPr>
        <w:ind w:left="1160" w:right="140" w:hanging="572"/>
        <w:spacing w:after="0" w:line="308"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principles or our accounting policies; and</w:t>
      </w:r>
    </w:p>
    <w:p>
      <w:pPr>
        <w:spacing w:after="0" w:line="144" w:lineRule="exact"/>
        <w:rPr>
          <w:rFonts w:ascii="Arial" w:cs="Arial" w:eastAsia="Arial" w:hAnsi="Arial"/>
          <w:sz w:val="18"/>
          <w:szCs w:val="18"/>
          <w:color w:val="auto"/>
        </w:rPr>
      </w:pPr>
    </w:p>
    <w:p>
      <w:pPr>
        <w:ind w:left="1160" w:right="20" w:hanging="572"/>
        <w:spacing w:after="0" w:line="308"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146"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4"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26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Our business could be materially adversely affected by the effects of health pandemics or epidemics, including the current outbreak of COVID-19 and future coronavirus outbreaks,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41"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Our business could be materially adversely affected by the effects of health pandemics or epidemics, including the current outbreak of COVID-19, which the World Health Organization declared a global pandemic and which has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implemented work-from-home policies for most of our employees. While modified from time to time since March 2020, the California state-wide order has no current expiration date, and Californians continue to be directed to stay at home except to go to an essential job or to shop for essential needs. The state-wide shelter order, the local shelter-in-place orders implemented by San Mateo County and any other San Francisco Bay Area counties, government-imposed quarantines and our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upticks in COVID-19 cases and other limitations on our ability to conduct our business in the ordinary course. Although we do not anticipate any impacts to our clinical programs, these and similar, and perhaps more severe, disruptions in our operations could negatively impact our business, operating results and financial condition in the future.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firstLine="589"/>
        <w:spacing w:after="0" w:line="275" w:lineRule="auto"/>
        <w:rPr>
          <w:sz w:val="20"/>
          <w:szCs w:val="20"/>
          <w:color w:val="auto"/>
        </w:rPr>
      </w:pPr>
      <w:r>
        <w:rPr>
          <w:rFonts w:ascii="Arial" w:cs="Arial" w:eastAsia="Arial" w:hAnsi="Arial"/>
          <w:sz w:val="17"/>
          <w:szCs w:val="17"/>
          <w:color w:val="auto"/>
        </w:rPr>
        <w:t>Quarantines, shutdowns and shelter-in-place and similar government orders related to COVID-19 or other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Although we do not anticipate any clinical supply issues or concerns for our planned clinical trials, restrictions resulting from the COVID-19 outbreak may disrupt our supply chain in the future and delay or limit our ability to obtain sufficient materials for our drug candidates.</w:t>
      </w:r>
    </w:p>
    <w:p>
      <w:pPr>
        <w:spacing w:after="0" w:line="176"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In addition, our current clinical trial and planned clinical trials may be affected by the ongoing COVID-19 pandemic. Site initiation and patient enrollment may be delayed due to prioritization of hospital resources toward the COVID-19 pandemic,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COVID-19, may be delayed or disrupted, which may adversely impact our clinical trial operations.</w:t>
      </w:r>
    </w:p>
    <w:p>
      <w:pPr>
        <w:spacing w:after="0" w:line="16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In addition, the global COVID-19 pandemic has adversely affected, and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187" w:lineRule="exact"/>
        <w:rPr>
          <w:sz w:val="20"/>
          <w:szCs w:val="20"/>
          <w:color w:val="auto"/>
        </w:rPr>
      </w:pPr>
    </w:p>
    <w:p>
      <w:pPr>
        <w:ind w:right="320" w:firstLine="589"/>
        <w:spacing w:after="0" w:line="259" w:lineRule="auto"/>
        <w:rPr>
          <w:sz w:val="20"/>
          <w:szCs w:val="20"/>
          <w:color w:val="auto"/>
        </w:rPr>
      </w:pPr>
      <w:r>
        <w:rPr>
          <w:rFonts w:ascii="Arial" w:cs="Arial" w:eastAsia="Arial" w:hAnsi="Arial"/>
          <w:sz w:val="18"/>
          <w:szCs w:val="18"/>
          <w:color w:val="auto"/>
        </w:rPr>
        <w:t>In addition, while the duration and severity of the effects of COVID-19 may be difficult to assess or predict, a continuing widespread pandemic could result in significant disruption of global financial markets, reducing our ability to access capital, which could negatively affect our liquidity and ability to progress our operations. In addition, a recession, down-turn or market correction resulting from the COVID-19 pandemic could materially adversely affect the value of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regulatory process</w:t>
      </w:r>
    </w:p>
    <w:p>
      <w:pPr>
        <w:spacing w:after="0" w:line="12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41" w:lineRule="exact"/>
        <w:rPr>
          <w:sz w:val="20"/>
          <w:szCs w:val="20"/>
          <w:color w:val="auto"/>
        </w:rPr>
      </w:pPr>
    </w:p>
    <w:p>
      <w:pPr>
        <w:jc w:val="both"/>
        <w:ind w:right="100" w:firstLine="589"/>
        <w:spacing w:after="0" w:line="218" w:lineRule="exact"/>
        <w:rPr>
          <w:sz w:val="20"/>
          <w:szCs w:val="20"/>
          <w:color w:val="auto"/>
        </w:rPr>
      </w:pPr>
      <w:r>
        <w:rPr>
          <w:rFonts w:ascii="Arial" w:cs="Arial" w:eastAsia="Arial" w:hAnsi="Arial"/>
          <w:sz w:val="16"/>
          <w:szCs w:val="16"/>
          <w:color w:val="auto"/>
        </w:rPr>
        <w:t>Our clinical development efforts across our drug candidates are in an early stage. In August 2020 and October 2020, we initiated clinical trials for our most advanced drug candidates, ALG</w:t>
      </w:r>
      <w:r>
        <w:rPr>
          <w:rFonts w:ascii="MS PGothic" w:cs="MS PGothic" w:eastAsia="MS PGothic" w:hAnsi="MS PGothic"/>
          <w:sz w:val="16"/>
          <w:szCs w:val="16"/>
          <w:color w:val="auto"/>
        </w:rPr>
        <w:t>‑</w:t>
      </w:r>
      <w:r>
        <w:rPr>
          <w:rFonts w:ascii="Arial" w:cs="Arial" w:eastAsia="Arial" w:hAnsi="Arial"/>
          <w:sz w:val="16"/>
          <w:szCs w:val="16"/>
          <w:color w:val="auto"/>
        </w:rPr>
        <w:t>010133 and ALG</w:t>
      </w:r>
      <w:r>
        <w:rPr>
          <w:rFonts w:ascii="MS PGothic" w:cs="MS PGothic" w:eastAsia="MS PGothic" w:hAnsi="MS PGothic"/>
          <w:sz w:val="16"/>
          <w:szCs w:val="16"/>
          <w:color w:val="auto"/>
        </w:rPr>
        <w:t>‑</w:t>
      </w:r>
      <w:r>
        <w:rPr>
          <w:rFonts w:ascii="Arial" w:cs="Arial" w:eastAsia="Arial" w:hAnsi="Arial"/>
          <w:sz w:val="16"/>
          <w:szCs w:val="16"/>
          <w:color w:val="auto"/>
        </w:rPr>
        <w:t>000184, respectively, in New Zealand.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204"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right="40" w:firstLine="589"/>
        <w:spacing w:after="0" w:line="217" w:lineRule="exact"/>
        <w:rPr>
          <w:sz w:val="20"/>
          <w:szCs w:val="20"/>
          <w:color w:val="auto"/>
        </w:rPr>
      </w:pPr>
      <w:r>
        <w:rPr>
          <w:rFonts w:ascii="Arial" w:cs="Arial" w:eastAsia="Arial" w:hAnsi="Arial"/>
          <w:sz w:val="16"/>
          <w:szCs w:val="16"/>
          <w:color w:val="auto"/>
        </w:rPr>
        <w:t>As an organization, we have not yet completed any clinical trials for any of our drug candidates. Each of our lead drug candidates, ALG</w:t>
      </w:r>
      <w:r>
        <w:rPr>
          <w:rFonts w:ascii="MS PGothic" w:cs="MS PGothic" w:eastAsia="MS PGothic" w:hAnsi="MS PGothic"/>
          <w:sz w:val="16"/>
          <w:szCs w:val="16"/>
          <w:color w:val="auto"/>
        </w:rPr>
        <w:t>‑</w:t>
      </w:r>
      <w:r>
        <w:rPr>
          <w:rFonts w:ascii="Arial" w:cs="Arial" w:eastAsia="Arial" w:hAnsi="Arial"/>
          <w:sz w:val="16"/>
          <w:szCs w:val="16"/>
          <w:color w:val="auto"/>
        </w:rPr>
        <w:t>010133 and ALG</w:t>
      </w:r>
      <w:r>
        <w:rPr>
          <w:rFonts w:ascii="MS PGothic" w:cs="MS PGothic" w:eastAsia="MS PGothic" w:hAnsi="MS PGothic"/>
          <w:sz w:val="16"/>
          <w:szCs w:val="16"/>
          <w:color w:val="auto"/>
        </w:rPr>
        <w:t>‑</w:t>
      </w:r>
      <w:r>
        <w:rPr>
          <w:rFonts w:ascii="Arial" w:cs="Arial" w:eastAsia="Arial" w:hAnsi="Arial"/>
          <w:sz w:val="16"/>
          <w:szCs w:val="16"/>
          <w:color w:val="auto"/>
        </w:rPr>
        <w:t>00184, is currently being evaluated in Phase 1 clinical trials in New Zealand and has been approved to commence Phase 1 clinical trials in Hong Kong and Moldova.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203"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success of our current and future drug candidates will depend on many factors, which may include the following:</w:t>
      </w:r>
    </w:p>
    <w:p>
      <w:pPr>
        <w:spacing w:after="0" w:line="117" w:lineRule="exact"/>
        <w:rPr>
          <w:sz w:val="20"/>
          <w:szCs w:val="20"/>
          <w:color w:val="auto"/>
        </w:rPr>
      </w:pPr>
    </w:p>
    <w:p>
      <w:pPr>
        <w:ind w:left="1160" w:right="10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and successfully utilize our drug discovery platforms;</w:t>
      </w:r>
    </w:p>
    <w:p>
      <w:pPr>
        <w:spacing w:after="0" w:line="144"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62"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(INDs), CTAs and/or similar applications in other jurisdictions for our planned and future clinical trials;</w:t>
      </w:r>
    </w:p>
    <w:p>
      <w:pPr>
        <w:spacing w:after="0" w:line="62"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w:t>
      </w:r>
    </w:p>
    <w:p>
      <w:pPr>
        <w:spacing w:after="0" w:line="144" w:lineRule="exact"/>
        <w:rPr>
          <w:rFonts w:ascii="Arial" w:cs="Arial" w:eastAsia="Arial" w:hAnsi="Arial"/>
          <w:sz w:val="18"/>
          <w:szCs w:val="18"/>
          <w:color w:val="auto"/>
        </w:rPr>
      </w:pPr>
    </w:p>
    <w:p>
      <w:pPr>
        <w:ind w:left="1160" w:right="92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drug candidates in the intended populations;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44"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drug candidates are approved;</w:t>
      </w:r>
    </w:p>
    <w:p>
      <w:pPr>
        <w:spacing w:after="0" w:line="62" w:lineRule="exact"/>
        <w:rPr>
          <w:rFonts w:ascii="Arial" w:cs="Arial" w:eastAsia="Arial" w:hAnsi="Arial"/>
          <w:sz w:val="18"/>
          <w:szCs w:val="18"/>
          <w:color w:val="auto"/>
        </w:rPr>
      </w:pPr>
    </w:p>
    <w:p>
      <w:pPr>
        <w:ind w:left="1160" w:right="280" w:hanging="572"/>
        <w:spacing w:after="0" w:line="263"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drug candidates in select indications or geographies;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obtaining, maintaining and expanding our portfolio of intellectual property rights, including patents, trade secrets and know-how;</w:t>
      </w:r>
    </w:p>
    <w:p>
      <w:pPr>
        <w:spacing w:after="0" w:line="155" w:lineRule="exact"/>
        <w:rPr>
          <w:rFonts w:ascii="Arial" w:cs="Arial" w:eastAsia="Arial" w:hAnsi="Arial"/>
          <w:sz w:val="17"/>
          <w:szCs w:val="17"/>
          <w:color w:val="auto"/>
        </w:rPr>
      </w:pPr>
    </w:p>
    <w:p>
      <w:pPr>
        <w:ind w:left="1160" w:right="82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drug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launching commercial sales of our drug candidates, if approved;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drug candidate’s benefits and uses, if approved, by patients, the medical community and third-party payors;</w:t>
      </w:r>
    </w:p>
    <w:p>
      <w:pPr>
        <w:spacing w:after="0" w:line="144"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drug candidates following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52" w:lineRule="exact"/>
        <w:rPr>
          <w:sz w:val="20"/>
          <w:szCs w:val="20"/>
          <w:color w:val="auto"/>
        </w:rPr>
      </w:pPr>
    </w:p>
    <w:p>
      <w:pPr>
        <w:ind w:right="240" w:firstLine="589"/>
        <w:spacing w:after="0" w:line="257"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76" w:lineRule="exact"/>
        <w:rPr>
          <w:sz w:val="20"/>
          <w:szCs w:val="20"/>
          <w:color w:val="auto"/>
        </w:rPr>
      </w:pPr>
    </w:p>
    <w:p>
      <w:pPr>
        <w:ind w:right="20" w:firstLine="589"/>
        <w:spacing w:after="0" w:line="217" w:lineRule="exact"/>
        <w:rPr>
          <w:sz w:val="20"/>
          <w:szCs w:val="20"/>
          <w:color w:val="auto"/>
        </w:rPr>
      </w:pPr>
      <w:r>
        <w:rPr>
          <w:rFonts w:ascii="Arial" w:cs="Arial" w:eastAsia="Arial" w:hAnsi="Arial"/>
          <w:sz w:val="17"/>
          <w:szCs w:val="17"/>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have two drug candidates being evaluated in Phase 1 clinical trials in New Zealand, ALG</w:t>
      </w:r>
      <w:r>
        <w:rPr>
          <w:rFonts w:ascii="MS PGothic" w:cs="MS PGothic" w:eastAsia="MS PGothic" w:hAnsi="MS PGothic"/>
          <w:sz w:val="17"/>
          <w:szCs w:val="17"/>
          <w:color w:val="auto"/>
        </w:rPr>
        <w:t>‑</w:t>
      </w:r>
      <w:r>
        <w:rPr>
          <w:rFonts w:ascii="Arial" w:cs="Arial" w:eastAsia="Arial" w:hAnsi="Arial"/>
          <w:sz w:val="17"/>
          <w:szCs w:val="17"/>
          <w:color w:val="auto"/>
        </w:rPr>
        <w:t>010133 and ALG</w:t>
      </w:r>
      <w:r>
        <w:rPr>
          <w:rFonts w:ascii="MS PGothic" w:cs="MS PGothic" w:eastAsia="MS PGothic" w:hAnsi="MS PGothic"/>
          <w:sz w:val="17"/>
          <w:szCs w:val="17"/>
          <w:color w:val="auto"/>
        </w:rPr>
        <w:t>‑</w:t>
      </w:r>
      <w:r>
        <w:rPr>
          <w:rFonts w:ascii="Arial" w:cs="Arial" w:eastAsia="Arial" w:hAnsi="Arial"/>
          <w:sz w:val="17"/>
          <w:szCs w:val="17"/>
          <w:color w:val="auto"/>
        </w:rPr>
        <w:t>000184, which candidates have also been approved to commence Phase 1 clinical trials in Hong Kong and Moldova. The rest of our programs are in nonclinical research or earlier stages of development, including our other chronic hepatitis B (CHB) drug candidates, our nonalcoholic steatohepatitis (NASH) drug candidate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208"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color w:val="auto"/>
        </w:rPr>
        <w:t>have no control. The commencement and rate of completion of nonclinical studies and clinical trials for a drug candidate may be delayed by many factors, including:</w:t>
      </w:r>
    </w:p>
    <w:p>
      <w:pPr>
        <w:spacing w:after="0" w:line="62" w:lineRule="exact"/>
        <w:rPr>
          <w:sz w:val="20"/>
          <w:szCs w:val="20"/>
          <w:color w:val="auto"/>
        </w:rPr>
      </w:pPr>
    </w:p>
    <w:p>
      <w:pPr>
        <w:ind w:left="1160" w:right="30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or failure by us or third parties to comply with regulatory requirements, including the requirements of good laboratory practice (GLP);</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generate sufficient nonclinical or other in vivo or in vitro data to support the initiation of clinical studies;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study design and obtaining regulatory authorization to commence clinical trials;</w:t>
      </w:r>
    </w:p>
    <w:p>
      <w:pPr>
        <w:spacing w:after="0" w:line="167" w:lineRule="exact"/>
        <w:rPr>
          <w:rFonts w:ascii="Arial" w:cs="Arial" w:eastAsia="Arial" w:hAnsi="Arial"/>
          <w:sz w:val="16"/>
          <w:szCs w:val="16"/>
          <w:color w:val="auto"/>
        </w:rPr>
      </w:pPr>
    </w:p>
    <w:p>
      <w:pPr>
        <w:ind w:left="1160" w:right="12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sufficient quantities of our drug candidates for use in nonclinical studies and clinical trials from third-party suppliers on a timely basis;</w:t>
      </w:r>
    </w:p>
    <w:p>
      <w:pPr>
        <w:spacing w:after="0" w:line="62" w:lineRule="exact"/>
        <w:rPr>
          <w:rFonts w:ascii="Arial" w:cs="Arial" w:eastAsia="Arial" w:hAnsi="Arial"/>
          <w:sz w:val="18"/>
          <w:szCs w:val="18"/>
          <w:color w:val="auto"/>
        </w:rPr>
      </w:pPr>
    </w:p>
    <w:p>
      <w:pPr>
        <w:ind w:left="1160" w:hanging="572"/>
        <w:spacing w:after="0" w:line="286" w:lineRule="auto"/>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due to the COVID-19 pandemic, including due to reduced workforce productivity as a result of our implementation of a temporary work-from-home policy or illness among personnel, or due to delays at our third-party contract research organizations throughout the world for similar reasons or due to restrictions imposed by applicable governmental authorities; and</w:t>
      </w:r>
    </w:p>
    <w:p>
      <w:pPr>
        <w:spacing w:after="0" w:line="57" w:lineRule="exact"/>
        <w:rPr>
          <w:rFonts w:ascii="Arial" w:cs="Arial" w:eastAsia="Arial" w:hAnsi="Arial"/>
          <w:sz w:val="17"/>
          <w:szCs w:val="17"/>
          <w:color w:val="auto"/>
        </w:rPr>
      </w:pPr>
    </w:p>
    <w:p>
      <w:pPr>
        <w:ind w:left="1160" w:hanging="572"/>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due to other global-scale potentially catastrophic events, including other pandemics, terrorism, war, and climate changes.</w:t>
      </w:r>
    </w:p>
    <w:p>
      <w:pPr>
        <w:spacing w:after="0" w:line="264" w:lineRule="exact"/>
        <w:rPr>
          <w:sz w:val="20"/>
          <w:szCs w:val="20"/>
          <w:color w:val="auto"/>
        </w:rPr>
      </w:pPr>
    </w:p>
    <w:p>
      <w:pPr>
        <w:jc w:val="both"/>
        <w:ind w:right="40" w:firstLine="589"/>
        <w:spacing w:after="0" w:line="259" w:lineRule="auto"/>
        <w:rPr>
          <w:sz w:val="20"/>
          <w:szCs w:val="20"/>
          <w:color w:val="auto"/>
        </w:rPr>
      </w:pPr>
      <w:r>
        <w:rPr>
          <w:rFonts w:ascii="Arial" w:cs="Arial" w:eastAsia="Arial" w:hAnsi="Arial"/>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295"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1"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1160" w:hanging="572"/>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55" w:lineRule="exact"/>
        <w:rPr>
          <w:rFonts w:ascii="Arial" w:cs="Arial" w:eastAsia="Arial" w:hAnsi="Arial"/>
          <w:sz w:val="17"/>
          <w:szCs w:val="17"/>
          <w:color w:val="auto"/>
        </w:rPr>
      </w:pPr>
    </w:p>
    <w:p>
      <w:pPr>
        <w:ind w:left="1160" w:right="68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drug candidate is safe or effective for its proposed indication;</w:t>
      </w:r>
    </w:p>
    <w:p>
      <w:pPr>
        <w:spacing w:after="0" w:line="62" w:lineRule="exact"/>
        <w:rPr>
          <w:rFonts w:ascii="Arial" w:cs="Arial" w:eastAsia="Arial" w:hAnsi="Arial"/>
          <w:sz w:val="18"/>
          <w:szCs w:val="18"/>
          <w:color w:val="auto"/>
        </w:rPr>
      </w:pPr>
    </w:p>
    <w:p>
      <w:pPr>
        <w:ind w:left="1160" w:right="70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44" w:lineRule="exact"/>
        <w:rPr>
          <w:rFonts w:ascii="Arial" w:cs="Arial" w:eastAsia="Arial" w:hAnsi="Arial"/>
          <w:sz w:val="18"/>
          <w:szCs w:val="18"/>
          <w:color w:val="auto"/>
        </w:rPr>
      </w:pPr>
    </w:p>
    <w:p>
      <w:pPr>
        <w:ind w:left="1160" w:right="68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nonclinical studies;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left="1160" w:right="2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to the FDA or other submission or to obtain regulatory approval in the United States, the European Union or elsewhere;</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160" w:right="52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70"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176"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188"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292" w:lineRule="exact"/>
        <w:rPr>
          <w:sz w:val="20"/>
          <w:szCs w:val="20"/>
          <w:color w:val="auto"/>
        </w:rPr>
      </w:pPr>
    </w:p>
    <w:p>
      <w:pPr>
        <w:ind w:right="240"/>
        <w:spacing w:after="0" w:line="340" w:lineRule="auto"/>
        <w:rPr>
          <w:sz w:val="20"/>
          <w:szCs w:val="20"/>
          <w:color w:val="auto"/>
        </w:rPr>
      </w:pPr>
      <w:r>
        <w:rPr>
          <w:rFonts w:ascii="Arial" w:cs="Arial" w:eastAsia="Arial" w:hAnsi="Arial"/>
          <w:sz w:val="15"/>
          <w:szCs w:val="15"/>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23" w:lineRule="exact"/>
        <w:rPr>
          <w:sz w:val="20"/>
          <w:szCs w:val="20"/>
          <w:color w:val="auto"/>
        </w:rPr>
      </w:pPr>
    </w:p>
    <w:p>
      <w:pPr>
        <w:ind w:right="180" w:firstLine="589"/>
        <w:spacing w:after="0" w:line="311" w:lineRule="auto"/>
        <w:rPr>
          <w:sz w:val="20"/>
          <w:szCs w:val="20"/>
          <w:color w:val="auto"/>
        </w:rPr>
      </w:pPr>
      <w:r>
        <w:rPr>
          <w:rFonts w:ascii="Arial" w:cs="Arial" w:eastAsia="Arial" w:hAnsi="Arial"/>
          <w:sz w:val="16"/>
          <w:szCs w:val="16"/>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w:t>
      </w:r>
    </w:p>
    <w:p>
      <w:pPr>
        <w:spacing w:after="0" w:line="149"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76" w:lineRule="exact"/>
        <w:rPr>
          <w:sz w:val="20"/>
          <w:szCs w:val="20"/>
          <w:color w:val="auto"/>
        </w:rPr>
      </w:pPr>
    </w:p>
    <w:p>
      <w:pPr>
        <w:ind w:left="1160" w:right="14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44" w:lineRule="exact"/>
        <w:rPr>
          <w:rFonts w:ascii="Arial" w:cs="Arial" w:eastAsia="Arial" w:hAnsi="Arial"/>
          <w:sz w:val="18"/>
          <w:szCs w:val="18"/>
          <w:color w:val="auto"/>
        </w:rPr>
      </w:pPr>
    </w:p>
    <w:p>
      <w:pPr>
        <w:ind w:left="1160" w:hanging="572"/>
        <w:spacing w:after="0" w:line="342"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left="1160" w:right="120" w:hanging="572"/>
        <w:spacing w:after="0" w:line="263"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75"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materials for drug candidates we develop or other materials necessary to conduct clinical trials may be insufficient or inadequate; and</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experience disruptions by man-made or natural disasters or public health pandemics or epidemics or other business interruptions, including the current COVID-19 pandemic and future outbreaks of the disease.</w:t>
      </w:r>
    </w:p>
    <w:p>
      <w:pPr>
        <w:spacing w:after="0" w:line="170"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177" w:lineRule="exact"/>
        <w:rPr>
          <w:sz w:val="20"/>
          <w:szCs w:val="20"/>
          <w:color w:val="auto"/>
        </w:rPr>
      </w:pPr>
    </w:p>
    <w:p>
      <w:pPr>
        <w:ind w:right="260" w:firstLine="589"/>
        <w:spacing w:after="0" w:line="218" w:lineRule="exact"/>
        <w:rPr>
          <w:sz w:val="20"/>
          <w:szCs w:val="20"/>
          <w:color w:val="auto"/>
        </w:rPr>
      </w:pPr>
      <w:r>
        <w:rPr>
          <w:rFonts w:ascii="Arial" w:cs="Arial" w:eastAsia="Arial" w:hAnsi="Arial"/>
          <w:sz w:val="18"/>
          <w:szCs w:val="18"/>
          <w:color w:val="auto"/>
        </w:rPr>
        <w:t>Further, we are currently conducting a clinical trial for each of ALG</w:t>
      </w:r>
      <w:r>
        <w:rPr>
          <w:rFonts w:ascii="MS PGothic" w:cs="MS PGothic" w:eastAsia="MS PGothic" w:hAnsi="MS PGothic"/>
          <w:sz w:val="18"/>
          <w:szCs w:val="18"/>
          <w:color w:val="auto"/>
        </w:rPr>
        <w:t>‑</w:t>
      </w:r>
      <w:r>
        <w:rPr>
          <w:rFonts w:ascii="Arial" w:cs="Arial" w:eastAsia="Arial" w:hAnsi="Arial"/>
          <w:sz w:val="18"/>
          <w:szCs w:val="18"/>
          <w:color w:val="auto"/>
        </w:rPr>
        <w:t>010133 and ALG</w:t>
      </w:r>
      <w:r>
        <w:rPr>
          <w:rFonts w:ascii="MS PGothic" w:cs="MS PGothic" w:eastAsia="MS PGothic" w:hAnsi="MS PGothic"/>
          <w:sz w:val="18"/>
          <w:szCs w:val="18"/>
          <w:color w:val="auto"/>
        </w:rPr>
        <w:t>‑</w:t>
      </w:r>
      <w:r>
        <w:rPr>
          <w:rFonts w:ascii="Arial" w:cs="Arial" w:eastAsia="Arial" w:hAnsi="Arial"/>
          <w:sz w:val="18"/>
          <w:szCs w:val="18"/>
          <w:color w:val="auto"/>
        </w:rPr>
        <w:t>000184 in New Zealand and each of such candidates has been approved to commence clinical trials in Hong Kong and Moldova. We may also in the future conduct clinical trials for ALG</w:t>
      </w:r>
      <w:r>
        <w:rPr>
          <w:rFonts w:ascii="MS PGothic" w:cs="MS PGothic" w:eastAsia="MS PGothic" w:hAnsi="MS PGothic"/>
          <w:sz w:val="18"/>
          <w:szCs w:val="18"/>
          <w:color w:val="auto"/>
        </w:rPr>
        <w:t>‑</w:t>
      </w:r>
      <w:r>
        <w:rPr>
          <w:rFonts w:ascii="Arial" w:cs="Arial" w:eastAsia="Arial" w:hAnsi="Arial"/>
          <w:sz w:val="18"/>
          <w:szCs w:val="18"/>
          <w:color w:val="auto"/>
        </w:rPr>
        <w:t>010133, ALG</w:t>
      </w:r>
      <w:r>
        <w:rPr>
          <w:rFonts w:ascii="MS PGothic" w:cs="MS PGothic" w:eastAsia="MS PGothic" w:hAnsi="MS PGothic"/>
          <w:sz w:val="18"/>
          <w:szCs w:val="18"/>
          <w:color w:val="auto"/>
        </w:rPr>
        <w:t>‑</w:t>
      </w:r>
      <w:r>
        <w:rPr>
          <w:rFonts w:ascii="Arial" w:cs="Arial" w:eastAsia="Arial" w:hAnsi="Arial"/>
          <w:sz w:val="18"/>
          <w:szCs w:val="18"/>
          <w:color w:val="auto"/>
        </w:rPr>
        <w:t>00184 and other drug candidates in other countries and territories, including South Korea, the United Kingdom, and China,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207"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92" w:lineRule="exact"/>
        <w:rPr>
          <w:sz w:val="20"/>
          <w:szCs w:val="20"/>
          <w:color w:val="auto"/>
        </w:rPr>
      </w:pPr>
    </w:p>
    <w:p>
      <w:pPr>
        <w:ind w:right="60" w:firstLine="589"/>
        <w:spacing w:after="0" w:line="218" w:lineRule="exact"/>
        <w:rPr>
          <w:sz w:val="20"/>
          <w:szCs w:val="20"/>
          <w:color w:val="auto"/>
        </w:rPr>
      </w:pPr>
      <w:r>
        <w:rPr>
          <w:rFonts w:ascii="Arial" w:cs="Arial" w:eastAsia="Arial" w:hAnsi="Arial"/>
          <w:sz w:val="16"/>
          <w:szCs w:val="16"/>
          <w:color w:val="auto"/>
        </w:rPr>
        <w:t>Specifically, the clinical trial sites for our current and future planned drug trials, including for ALG</w:t>
      </w:r>
      <w:r>
        <w:rPr>
          <w:rFonts w:ascii="MS PGothic" w:cs="MS PGothic" w:eastAsia="MS PGothic" w:hAnsi="MS PGothic"/>
          <w:sz w:val="16"/>
          <w:szCs w:val="16"/>
          <w:color w:val="auto"/>
        </w:rPr>
        <w:t>‑</w:t>
      </w:r>
      <w:r>
        <w:rPr>
          <w:rFonts w:ascii="Arial" w:cs="Arial" w:eastAsia="Arial" w:hAnsi="Arial"/>
          <w:sz w:val="16"/>
          <w:szCs w:val="16"/>
          <w:color w:val="auto"/>
        </w:rPr>
        <w:t>010133 and ALG</w:t>
      </w:r>
      <w:r>
        <w:rPr>
          <w:rFonts w:ascii="MS PGothic" w:cs="MS PGothic" w:eastAsia="MS PGothic" w:hAnsi="MS PGothic"/>
          <w:sz w:val="16"/>
          <w:szCs w:val="16"/>
          <w:color w:val="auto"/>
        </w:rPr>
        <w:t>‑</w:t>
      </w:r>
      <w:r>
        <w:rPr>
          <w:rFonts w:ascii="Arial" w:cs="Arial" w:eastAsia="Arial" w:hAnsi="Arial"/>
          <w:sz w:val="16"/>
          <w:szCs w:val="16"/>
          <w:color w:val="auto"/>
        </w:rPr>
        <w:t>000184, may be affected by the COVID-19 outbreak due to prioritization of hospital resources toward COVID-19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w:t>
      </w:r>
    </w:p>
    <w:p>
      <w:pPr>
        <w:spacing w:after="0" w:line="206"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ind w:right="680"/>
        <w:spacing w:after="0" w:line="277" w:lineRule="auto"/>
        <w:rPr>
          <w:sz w:val="20"/>
          <w:szCs w:val="20"/>
          <w:color w:val="auto"/>
        </w:rPr>
      </w:pPr>
      <w:r>
        <w:rPr>
          <w:rFonts w:ascii="Arial" w:cs="Arial" w:eastAsia="Arial" w:hAnsi="Arial"/>
          <w:sz w:val="18"/>
          <w:szCs w:val="18"/>
          <w:color w:val="auto"/>
        </w:rPr>
        <w:t>jeopardized, which could result in the delay or rejection of any applications we submit. Any such delay or rejection could prevent or delay us from commercializing our current or future drug candidates.</w:t>
      </w:r>
    </w:p>
    <w:p>
      <w:pPr>
        <w:spacing w:after="0" w:line="170"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29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pursuit of potential treatments for NASH is at an early stage and we may be unable to produce a therapy that successfully treats NASH. Even if successful, we may be unable to obtain regulatory approval for and successfully commercialize our drug candidates.</w:t>
      </w:r>
    </w:p>
    <w:p>
      <w:pPr>
        <w:spacing w:after="0" w:line="38"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have invested, and will continue to invest, a significant portion of our time and financial resources in the pursuit of a treatment for NASH.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p>
    <w:p>
      <w:pPr>
        <w:spacing w:after="0" w:line="176"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 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p>
    <w:p>
      <w:pPr>
        <w:spacing w:after="0" w:line="188"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potential therapies for COVID-19 is at an early stage.</w:t>
      </w:r>
    </w:p>
    <w:p>
      <w:pPr>
        <w:spacing w:after="0" w:line="117" w:lineRule="exact"/>
        <w:rPr>
          <w:sz w:val="20"/>
          <w:szCs w:val="20"/>
          <w:color w:val="auto"/>
        </w:rPr>
      </w:pPr>
    </w:p>
    <w:p>
      <w:pPr>
        <w:ind w:right="120" w:firstLine="589"/>
        <w:spacing w:after="0" w:line="311" w:lineRule="auto"/>
        <w:rPr>
          <w:sz w:val="20"/>
          <w:szCs w:val="20"/>
          <w:color w:val="auto"/>
        </w:rPr>
      </w:pPr>
      <w:r>
        <w:rPr>
          <w:rFonts w:ascii="Arial" w:cs="Arial" w:eastAsia="Arial" w:hAnsi="Arial"/>
          <w:sz w:val="16"/>
          <w:szCs w:val="16"/>
          <w:color w:val="auto"/>
        </w:rPr>
        <w:t>In response to the recent outbreak of COVID-19, the disease caused by the virus SARS-CoV-2, we are pursuing various potential therapies to address the disease, including protease inhibitors and oligonucleotides. Our identification and development of these potential therapies is at an early stage, and we may be unable to produce in a timely manner a therapy that successfully treats the virus or that has broad clinical applicability, if at all.</w:t>
      </w:r>
    </w:p>
    <w:p>
      <w:pPr>
        <w:spacing w:after="0" w:line="149"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For example, in June 2020, we entered into a Research, Licensing and Commercialization Agreement (the KU Leuven Agreement) with Katholieke Universiteit Leuven (KU Leuven) under which we are collaborating with KU Leuven’s Rega Institute for Medical Research, as well as its Centre for Drug Design and Discovery, to research, develop, manufacture and commercialize potential protease inhibitors for the treatment of coronaviruses, including SARS-CoV-2. We are in the earliest stages of our collaboration under the KU Leuven Agreement. The KU Leuven Agreement may not result in a therapy that successfully treats SARS-CoV-2. Further, if the KU Leuven Agreement does result in such a therapy, the therapy may not be developed and commercialized in a timely manner.</w:t>
      </w:r>
    </w:p>
    <w:p>
      <w:pPr>
        <w:spacing w:after="0" w:line="19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and Moderna mRNA-1273 COVID-19 vaccines have been authorized for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60"/>
        <w:spacing w:after="0" w:line="254" w:lineRule="auto"/>
        <w:rPr>
          <w:sz w:val="20"/>
          <w:szCs w:val="20"/>
          <w:color w:val="auto"/>
        </w:rPr>
      </w:pPr>
      <w:r>
        <w:rPr>
          <w:rFonts w:ascii="Arial" w:cs="Arial" w:eastAsia="Arial" w:hAnsi="Arial"/>
          <w:sz w:val="18"/>
          <w:szCs w:val="18"/>
          <w:color w:val="auto"/>
        </w:rPr>
        <w:t>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192" w:lineRule="exact"/>
        <w:rPr>
          <w:sz w:val="20"/>
          <w:szCs w:val="20"/>
          <w:color w:val="auto"/>
        </w:rPr>
      </w:pPr>
    </w:p>
    <w:p>
      <w:pPr>
        <w:jc w:val="both"/>
        <w:ind w:right="120" w:firstLine="589"/>
        <w:spacing w:after="0" w:line="311" w:lineRule="auto"/>
        <w:rPr>
          <w:sz w:val="20"/>
          <w:szCs w:val="20"/>
          <w:color w:val="auto"/>
        </w:rPr>
      </w:pPr>
      <w:r>
        <w:rPr>
          <w:rFonts w:ascii="Arial" w:cs="Arial" w:eastAsia="Arial" w:hAnsi="Arial"/>
          <w:sz w:val="16"/>
          <w:szCs w:val="16"/>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149"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Further, other therapies that are more affordable than our potential therapies may be used to treat COVID-19, including existing generic drugs, which could also hurt the funding of and demand for our potential therapies. In addition to BioNTech SE (together with Pfizer Inc.), Moderna, Inc. and Janssen Pharmaceutical Companies of Johnson &amp; Johnson, there are efforts by several other public and private entities to develop a therapy or vaccine for COVID-19, including Alexion Pharmaceuticals Inc., Atea Pharmaceuticals, Inc. (together with Roche), Incyte Corporation, Sanofi S.A., Regeneron Pharmaceuticals, Inc., Amgen Inc. (together with Adaptive Biotechnologies Corporation), Abcellera Biologics, Inc. (together with Eli Lilly and Company), Vir Biotechnology, Inc. (together with Alnylam Pharmaceuticals, GSK, Biogen Inc. and WuXi Biologics Ltd.), Altimmune, Inc., AstraZeneca PLC (together with Oxford University), GlaxoSmithKline (GSK) (together with Sanofi S.A.), Heat Biologics, Inc., Inovio Pharmaceuticals, Inc., Merck (together with Ridgeback Bio), Novavax, Inc., Regeneron Pharmaceuticals Inc., Synairgen, Takeda, and Vaxart, Inc., many of which are further along in the development process than we are.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regulatory pathways for our drug candidates targeting SARS-CoV-2, the virus that causes COVID-19, are continually evolving, and may result in unexpected or unforeseen challenges.</w:t>
      </w:r>
    </w:p>
    <w:p>
      <w:pPr>
        <w:spacing w:after="0" w:line="62"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p>
    <w:p>
      <w:pPr>
        <w:spacing w:after="0" w:line="19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FDA has the authority to grant an Emergency Use Authorization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granted an EUR for each of the COVID-19 vaccines developed by Pfizer/BioNTech, Moderna and Janssen Pharmaceutical Companies of Johnson &amp; Johnson. Depending on the outcomes of our planned nonclinical and initial clinical testing for our proposed COVID-19 therapies, we may seek an EUA for one or more of our drug candidates for use in the ongoing public health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spacing w:after="0" w:line="271" w:lineRule="auto"/>
        <w:rPr>
          <w:sz w:val="20"/>
          <w:szCs w:val="20"/>
          <w:color w:val="auto"/>
        </w:rPr>
      </w:pPr>
      <w:r>
        <w:rPr>
          <w:rFonts w:ascii="Arial" w:cs="Arial" w:eastAsia="Arial" w:hAnsi="Arial"/>
          <w:sz w:val="17"/>
          <w:szCs w:val="17"/>
          <w:color w:val="auto"/>
        </w:rPr>
        <w:t>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nonclinical studies and early-stage clinical trials may not be predictive of future results.</w:t>
      </w:r>
    </w:p>
    <w:p>
      <w:pPr>
        <w:spacing w:after="0" w:line="11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17"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5"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difficulties in patient enrollment in our clinical trials for a variety of reasons. The enrollment of patients depends on many factors, including:</w:t>
      </w:r>
    </w:p>
    <w:p>
      <w:pPr>
        <w:spacing w:after="0" w:line="117" w:lineRule="exact"/>
        <w:rPr>
          <w:sz w:val="20"/>
          <w:szCs w:val="20"/>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1160" w:right="60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in the trial through the completion of evaluation; and</w:t>
      </w:r>
    </w:p>
    <w:p>
      <w:pPr>
        <w:spacing w:after="0" w:line="144"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 by man-made or natural disasters, or public health pandemics or epidemics or other business interruptions, including the current COVID-19 pandemic and future outbreaks of the virus.</w:t>
      </w:r>
    </w:p>
    <w:p>
      <w:pPr>
        <w:spacing w:after="0" w:line="17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195"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drug candidate manufacturing or formulation may result in additional costs or delay.</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entails additional cost and risks potential delay if the reformulated or otherwise altered drug candidate performs different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19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60" w:name="page61"/>
    <w:bookmarkEnd w:id="60"/>
    <w:p>
      <w:pPr>
        <w:ind w:right="500"/>
        <w:spacing w:after="0" w:line="263" w:lineRule="auto"/>
        <w:rPr>
          <w:sz w:val="20"/>
          <w:szCs w:val="20"/>
          <w:color w:val="auto"/>
        </w:rPr>
      </w:pPr>
      <w:r>
        <w:rPr>
          <w:rFonts w:ascii="Arial" w:cs="Arial" w:eastAsia="Arial" w:hAnsi="Arial"/>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8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195"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8"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187"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62" w:lineRule="exact"/>
        <w:rPr>
          <w:sz w:val="20"/>
          <w:szCs w:val="20"/>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44"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44"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160"/>
        <w:spacing w:after="0" w:line="277" w:lineRule="auto"/>
        <w:rPr>
          <w:sz w:val="20"/>
          <w:szCs w:val="20"/>
          <w:color w:val="auto"/>
        </w:rPr>
      </w:pPr>
      <w:r>
        <w:rPr>
          <w:rFonts w:ascii="Arial" w:cs="Arial" w:eastAsia="Arial" w:hAnsi="Arial"/>
          <w:sz w:val="18"/>
          <w:szCs w:val="18"/>
          <w:color w:val="auto"/>
        </w:rPr>
        <w:t>candidates prove to be unsafe, our entire technology platform and pipeline could be affected, which would have a material adverse effect on our business, financial condition, results of operations and prospects.</w:t>
      </w:r>
    </w:p>
    <w:p>
      <w:pPr>
        <w:spacing w:after="0" w:line="2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7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79" w:lineRule="exact"/>
        <w:rPr>
          <w:sz w:val="20"/>
          <w:szCs w:val="20"/>
          <w:color w:val="auto"/>
        </w:rPr>
      </w:pPr>
    </w:p>
    <w:p>
      <w:pPr>
        <w:ind w:right="80" w:firstLine="589"/>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65" w:lineRule="exact"/>
        <w:rPr>
          <w:sz w:val="20"/>
          <w:szCs w:val="20"/>
          <w:color w:val="auto"/>
        </w:rPr>
      </w:pPr>
    </w:p>
    <w:p>
      <w:pPr>
        <w:ind w:right="40" w:firstLine="589"/>
        <w:spacing w:after="0" w:line="308" w:lineRule="auto"/>
        <w:rPr>
          <w:sz w:val="20"/>
          <w:szCs w:val="20"/>
          <w:color w:val="auto"/>
        </w:rPr>
      </w:pPr>
      <w:r>
        <w:rPr>
          <w:rFonts w:ascii="Arial" w:cs="Arial" w:eastAsia="Arial" w:hAnsi="Arial"/>
          <w:sz w:val="17"/>
          <w:szCs w:val="17"/>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p>
    <w:p>
      <w:pPr>
        <w:spacing w:after="0" w:line="68" w:lineRule="exact"/>
        <w:rPr>
          <w:sz w:val="20"/>
          <w:szCs w:val="20"/>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6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192"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25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38"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192"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63" w:name="page64"/>
    <w:bookmarkEnd w:id="63"/>
    <w:p>
      <w:pPr>
        <w:ind w:right="20"/>
        <w:spacing w:after="0" w:line="263" w:lineRule="auto"/>
        <w:rPr>
          <w:sz w:val="20"/>
          <w:szCs w:val="20"/>
          <w:color w:val="auto"/>
        </w:rPr>
      </w:pPr>
      <w:r>
        <w:rPr>
          <w:rFonts w:ascii="Arial" w:cs="Arial" w:eastAsia="Arial" w:hAnsi="Arial"/>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76"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74" w:lineRule="exact"/>
        <w:rPr>
          <w:sz w:val="20"/>
          <w:szCs w:val="20"/>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44"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we filed or suspension or revocation of license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6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jc w:val="both"/>
        <w:ind w:right="460"/>
        <w:spacing w:after="0" w:line="263" w:lineRule="auto"/>
        <w:rPr>
          <w:sz w:val="20"/>
          <w:szCs w:val="20"/>
          <w:color w:val="auto"/>
        </w:rPr>
      </w:pPr>
      <w:r>
        <w:rPr>
          <w:rFonts w:ascii="Arial" w:cs="Arial" w:eastAsia="Arial" w:hAnsi="Arial"/>
          <w:sz w:val="18"/>
          <w:szCs w:val="18"/>
          <w:color w:val="auto"/>
        </w:rPr>
        <w:t>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184" w:lineRule="exact"/>
        <w:rPr>
          <w:sz w:val="20"/>
          <w:szCs w:val="20"/>
          <w:color w:val="auto"/>
        </w:rPr>
      </w:pPr>
    </w:p>
    <w:p>
      <w:pPr>
        <w:ind w:firstLine="589"/>
        <w:spacing w:after="0" w:line="218" w:lineRule="exact"/>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For example, we are conducting our initial clinical trials for ALG</w:t>
      </w:r>
      <w:r>
        <w:rPr>
          <w:rFonts w:ascii="MS PGothic" w:cs="MS PGothic" w:eastAsia="MS PGothic" w:hAnsi="MS PGothic"/>
          <w:sz w:val="18"/>
          <w:szCs w:val="18"/>
          <w:color w:val="auto"/>
        </w:rPr>
        <w:t>‑</w:t>
      </w:r>
      <w:r>
        <w:rPr>
          <w:rFonts w:ascii="Arial" w:cs="Arial" w:eastAsia="Arial" w:hAnsi="Arial"/>
          <w:sz w:val="18"/>
          <w:szCs w:val="18"/>
          <w:color w:val="auto"/>
        </w:rPr>
        <w:t>010133 and ALG</w:t>
      </w:r>
      <w:r>
        <w:rPr>
          <w:rFonts w:ascii="MS PGothic" w:cs="MS PGothic" w:eastAsia="MS PGothic" w:hAnsi="MS PGothic"/>
          <w:sz w:val="18"/>
          <w:szCs w:val="18"/>
          <w:color w:val="auto"/>
        </w:rPr>
        <w:t>‑</w:t>
      </w:r>
      <w:r>
        <w:rPr>
          <w:rFonts w:ascii="Arial" w:cs="Arial" w:eastAsia="Arial" w:hAnsi="Arial"/>
          <w:sz w:val="18"/>
          <w:szCs w:val="18"/>
          <w:color w:val="auto"/>
        </w:rPr>
        <w:t>000184 in New Zealand and plan to conduct additional clinical trials in several other countries and territories within the Asia Pacific and/or Europe, including South Korea, Hong Kong, Moldova, the United Kingdom, and China,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3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62" w:lineRule="exact"/>
        <w:rPr>
          <w:sz w:val="20"/>
          <w:szCs w:val="20"/>
          <w:color w:val="auto"/>
        </w:rPr>
      </w:pPr>
    </w:p>
    <w:p>
      <w:pPr>
        <w:jc w:val="both"/>
        <w:ind w:right="360" w:firstLine="589"/>
        <w:spacing w:after="0" w:line="263" w:lineRule="auto"/>
        <w:rPr>
          <w:sz w:val="20"/>
          <w:szCs w:val="20"/>
          <w:color w:val="auto"/>
        </w:rPr>
      </w:pPr>
      <w:r>
        <w:rPr>
          <w:rFonts w:ascii="Arial" w:cs="Arial" w:eastAsia="Arial" w:hAnsi="Arial"/>
          <w:sz w:val="18"/>
          <w:szCs w:val="18"/>
          <w:color w:val="auto"/>
        </w:rPr>
        <w:t>We engage in international operations with offices in the United States and Belgium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76" w:lineRule="exact"/>
        <w:rPr>
          <w:sz w:val="20"/>
          <w:szCs w:val="20"/>
          <w:color w:val="auto"/>
        </w:rPr>
      </w:pPr>
    </w:p>
    <w:p>
      <w:pPr>
        <w:ind w:left="1160" w:right="50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 candidates in foreign countries, including challenging processes for marketing biopharmaceutical products;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protection for and enforcement of intellectual property rights;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heightened or different data privacy and information security laws, regulations and policies;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disruptions resulting from the impact of public health pandemics or epidemics (including, for example, the ongoing COVID-19 pandemic).</w:t>
      </w:r>
    </w:p>
    <w:p>
      <w:pPr>
        <w:spacing w:after="0" w:line="275"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In addition, there are complex regulatory, tax, labor and other legal requirements imposed by many of the individual countries in which we may operate, with which we will need to comply.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5" w:name="page66"/>
    <w:bookmarkEnd w:id="65"/>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95"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Relatedly,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mission-critical inspections to resumption of all regulatory activities. The resumption of prioritized domestic inspections is dependent on the current COVID-19 data in a given state or county and the rules and guidelines established by state and local government. 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2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6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6" w:name="page67"/>
    <w:bookmarkEnd w:id="66"/>
    <w:p>
      <w:pPr>
        <w:ind w:firstLine="594"/>
        <w:spacing w:after="0" w:line="253" w:lineRule="auto"/>
        <w:rPr>
          <w:sz w:val="20"/>
          <w:szCs w:val="20"/>
          <w:color w:val="auto"/>
        </w:rPr>
      </w:pPr>
      <w:r>
        <w:rPr>
          <w:rFonts w:ascii="Arial" w:cs="Arial" w:eastAsia="Arial" w:hAnsi="Arial"/>
          <w:sz w:val="18"/>
          <w:szCs w:val="18"/>
          <w:color w:val="auto"/>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p>
    <w:p>
      <w:pPr>
        <w:spacing w:after="0" w:line="196" w:lineRule="exact"/>
        <w:rPr>
          <w:sz w:val="20"/>
          <w:szCs w:val="20"/>
          <w:color w:val="auto"/>
        </w:rPr>
      </w:pPr>
    </w:p>
    <w:p>
      <w:pPr>
        <w:ind w:right="100" w:firstLine="594"/>
        <w:spacing w:after="0" w:line="259" w:lineRule="auto"/>
        <w:rPr>
          <w:sz w:val="20"/>
          <w:szCs w:val="20"/>
          <w:color w:val="auto"/>
        </w:rPr>
      </w:pPr>
      <w:r>
        <w:rPr>
          <w:rFonts w:ascii="Arial" w:cs="Arial" w:eastAsia="Arial" w:hAnsi="Arial"/>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2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62"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185"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2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2"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right="60" w:firstLine="589"/>
        <w:spacing w:after="0" w:line="257" w:lineRule="auto"/>
        <w:rPr>
          <w:sz w:val="20"/>
          <w:szCs w:val="20"/>
          <w:color w:val="auto"/>
        </w:rPr>
      </w:pPr>
      <w:r>
        <w:rPr>
          <w:rFonts w:ascii="Arial" w:cs="Arial" w:eastAsia="Arial" w:hAnsi="Arial"/>
          <w:sz w:val="18"/>
          <w:szCs w:val="18"/>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w:t>
      </w:r>
    </w:p>
    <w:p>
      <w:pPr>
        <w:spacing w:after="0" w:line="188"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and Vaxart, Inc. For example, BioNTech SE (together with Pfizer Inc.), Janssen Pharmaceutical Companies of Johnson &amp; Johnson and Moderna Inc. have developed COVID-19 vaccines that have received authorization for emergency use and are being widely administered which may reduce or eliminate the need for our potential COVID therapies to treat the disease and therefore negatively impact the commercial opportunity therefor.</w:t>
      </w:r>
    </w:p>
    <w:p>
      <w:pPr>
        <w:spacing w:after="0" w:line="181"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Blade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p>
    <w:p>
      <w:pPr>
        <w:spacing w:after="0" w:line="195"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195"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70" w:lineRule="exact"/>
        <w:rPr>
          <w:sz w:val="20"/>
          <w:szCs w:val="20"/>
          <w:color w:val="auto"/>
        </w:rPr>
      </w:pPr>
    </w:p>
    <w:p>
      <w:pPr>
        <w:ind w:right="540" w:firstLine="589"/>
        <w:spacing w:after="0" w:line="263" w:lineRule="auto"/>
        <w:rPr>
          <w:sz w:val="20"/>
          <w:szCs w:val="20"/>
          <w:color w:val="auto"/>
        </w:rPr>
      </w:pPr>
      <w:r>
        <w:rPr>
          <w:rFonts w:ascii="Arial" w:cs="Arial" w:eastAsia="Arial" w:hAnsi="Arial"/>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184" w:lineRule="exact"/>
        <w:rPr>
          <w:sz w:val="20"/>
          <w:szCs w:val="20"/>
          <w:color w:val="auto"/>
        </w:rPr>
      </w:pPr>
    </w:p>
    <w:p>
      <w:pPr>
        <w:ind w:right="220" w:firstLine="589"/>
        <w:spacing w:after="0" w:line="286" w:lineRule="auto"/>
        <w:rPr>
          <w:sz w:val="20"/>
          <w:szCs w:val="20"/>
          <w:color w:val="auto"/>
        </w:rPr>
      </w:pPr>
      <w:r>
        <w:rPr>
          <w:rFonts w:ascii="Arial" w:cs="Arial" w:eastAsia="Arial" w:hAnsi="Arial"/>
          <w:sz w:val="17"/>
          <w:szCs w:val="17"/>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8" w:name="page69"/>
    <w:bookmarkEnd w:id="68"/>
    <w:p>
      <w:pPr>
        <w:ind w:right="60"/>
        <w:spacing w:after="0" w:line="277" w:lineRule="auto"/>
        <w:rPr>
          <w:sz w:val="20"/>
          <w:szCs w:val="20"/>
          <w:color w:val="auto"/>
        </w:rPr>
      </w:pPr>
      <w:r>
        <w:rPr>
          <w:rFonts w:ascii="Arial" w:cs="Arial" w:eastAsia="Arial" w:hAnsi="Arial"/>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79"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76"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2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62"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17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firstLine="594"/>
        <w:spacing w:after="0" w:line="253"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96" w:lineRule="exact"/>
        <w:rPr>
          <w:sz w:val="20"/>
          <w:szCs w:val="20"/>
          <w:color w:val="auto"/>
        </w:rPr>
      </w:pPr>
    </w:p>
    <w:p>
      <w:pPr>
        <w:ind w:right="20" w:firstLine="594"/>
        <w:spacing w:after="0" w:line="269" w:lineRule="auto"/>
        <w:rPr>
          <w:sz w:val="20"/>
          <w:szCs w:val="20"/>
          <w:color w:val="auto"/>
        </w:rPr>
      </w:pPr>
      <w:r>
        <w:rPr>
          <w:rFonts w:ascii="Arial" w:cs="Arial" w:eastAsia="Arial" w:hAnsi="Arial"/>
          <w:sz w:val="17"/>
          <w:szCs w:val="17"/>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2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62" w:lineRule="exact"/>
        <w:rPr>
          <w:sz w:val="20"/>
          <w:szCs w:val="20"/>
          <w:color w:val="auto"/>
        </w:rPr>
      </w:pPr>
    </w:p>
    <w:p>
      <w:pPr>
        <w:ind w:right="100" w:firstLine="594"/>
        <w:spacing w:after="0" w:line="259" w:lineRule="auto"/>
        <w:rPr>
          <w:sz w:val="20"/>
          <w:szCs w:val="20"/>
          <w:color w:val="auto"/>
        </w:rPr>
      </w:pPr>
      <w:r>
        <w:rPr>
          <w:rFonts w:ascii="Arial" w:cs="Arial" w:eastAsia="Arial" w:hAnsi="Arial"/>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187" w:lineRule="exact"/>
        <w:rPr>
          <w:sz w:val="20"/>
          <w:szCs w:val="20"/>
          <w:color w:val="auto"/>
        </w:rPr>
      </w:pPr>
    </w:p>
    <w:p>
      <w:pPr>
        <w:jc w:val="both"/>
        <w:ind w:right="20" w:firstLine="594"/>
        <w:spacing w:after="0" w:line="286" w:lineRule="auto"/>
        <w:rPr>
          <w:sz w:val="20"/>
          <w:szCs w:val="20"/>
          <w:color w:val="auto"/>
        </w:rPr>
      </w:pPr>
      <w:r>
        <w:rPr>
          <w:rFonts w:ascii="Arial" w:cs="Arial" w:eastAsia="Arial" w:hAnsi="Arial"/>
          <w:sz w:val="16"/>
          <w:szCs w:val="16"/>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risk/benefit profiles through Phase 1 clinical trials of our drug candidates, ALG-010133 and ALG-000184.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jc w:val="both"/>
        <w:ind w:right="120" w:firstLine="589"/>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29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49"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92"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181"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176"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ind w:right="62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right="180" w:firstLine="594"/>
        <w:spacing w:after="0" w:line="272" w:lineRule="auto"/>
        <w:rPr>
          <w:sz w:val="20"/>
          <w:szCs w:val="20"/>
          <w:color w:val="auto"/>
        </w:rPr>
      </w:pPr>
      <w:r>
        <w:rPr>
          <w:rFonts w:ascii="Arial" w:cs="Arial" w:eastAsia="Arial" w:hAnsi="Arial"/>
          <w:sz w:val="17"/>
          <w:szCs w:val="17"/>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7" w:lineRule="exact"/>
        <w:rPr>
          <w:sz w:val="20"/>
          <w:szCs w:val="20"/>
          <w:color w:val="auto"/>
        </w:rPr>
      </w:pPr>
    </w:p>
    <w:p>
      <w:pPr>
        <w:ind w:firstLine="594"/>
        <w:spacing w:after="0" w:line="290" w:lineRule="auto"/>
        <w:rPr>
          <w:sz w:val="20"/>
          <w:szCs w:val="20"/>
          <w:color w:val="auto"/>
        </w:rPr>
      </w:pPr>
      <w:r>
        <w:rPr>
          <w:rFonts w:ascii="Arial" w:cs="Arial" w:eastAsia="Arial" w:hAnsi="Arial"/>
          <w:sz w:val="16"/>
          <w:szCs w:val="16"/>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5" w:lineRule="exact"/>
        <w:rPr>
          <w:sz w:val="20"/>
          <w:szCs w:val="20"/>
          <w:color w:val="auto"/>
        </w:rPr>
      </w:pPr>
    </w:p>
    <w:p>
      <w:pPr>
        <w:ind w:right="140" w:firstLine="594"/>
        <w:spacing w:after="0" w:line="257"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188" w:lineRule="exact"/>
        <w:rPr>
          <w:sz w:val="20"/>
          <w:szCs w:val="20"/>
          <w:color w:val="auto"/>
        </w:rPr>
      </w:pPr>
    </w:p>
    <w:p>
      <w:pPr>
        <w:ind w:right="20" w:firstLine="594"/>
        <w:spacing w:after="0" w:line="269" w:lineRule="auto"/>
        <w:rPr>
          <w:sz w:val="20"/>
          <w:szCs w:val="20"/>
          <w:color w:val="auto"/>
        </w:rPr>
      </w:pPr>
      <w:r>
        <w:rPr>
          <w:rFonts w:ascii="Arial" w:cs="Arial" w:eastAsia="Arial" w:hAnsi="Arial"/>
          <w:sz w:val="17"/>
          <w:szCs w:val="17"/>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make significant payments under our license agreements with Emory University and Luxna Biotech Co., Ltd.</w:t>
      </w:r>
    </w:p>
    <w:p>
      <w:pPr>
        <w:spacing w:after="0" w:line="129"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We entered into a License Agreement with Emory in June 2018 (the Emory License Agreement), and a License Agreement with Luxna in December 2018 and an amendment in April 2020 (as amended, the Luxna Agreement). Under the Emory License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this report. If these payments become due under the terms of either the Emory University License Agreement or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62"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payments to trial participants or patients;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effects to our results of operations and business;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drug candidate;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52"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170"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ind w:right="60" w:firstLine="589"/>
        <w:spacing w:after="0" w:line="271" w:lineRule="auto"/>
        <w:rPr>
          <w:sz w:val="20"/>
          <w:szCs w:val="20"/>
          <w:color w:val="auto"/>
        </w:rPr>
      </w:pPr>
      <w:r>
        <w:rPr>
          <w:rFonts w:ascii="Arial" w:cs="Arial" w:eastAsia="Arial" w:hAnsi="Arial"/>
          <w:sz w:val="17"/>
          <w:szCs w:val="17"/>
          <w:color w:val="auto"/>
        </w:rPr>
        <w:t>Since its enactment, there have been judicial, executive and Congressional challenges to the ACA. By way of example, the Tax Cuts and Jobs Act of 2017 (the TCJA) was signed into law, which included a provision repealing, effective January 1, 2019, the tax-based shared responsibility payment imposed by the ACA on certain individuals who fail to maintain qualifying health coverage for all or part of a year, commonly referred to as the individual mandate. On December 14, 2018, a Texas U.S. District Court Judge ruled that the ACA is unconstitutional in its entirety because the “individual mandate” was repealed by Congress as part of the TCJA. Additionally, on December 18, 2019, the U.S. Court of Appeals for the 5th Circuit ruled that that the individual mandate was unconstitutional and remanded the case back to the District Court to determine whether the remaining provisions of the ACA are invalid as well. The U.S. Supreme Court is currently reviewing this case, although it is unclear how the Supreme Court will rule. It is also unclear how other efforts, if any, to challenge, repeal or replace the ACA will impact the ACA or our business.</w:t>
      </w:r>
    </w:p>
    <w:p>
      <w:pPr>
        <w:spacing w:after="0" w:line="178"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2021, unless additional Congressional action is taken. In addition, on January 2, 2013, the American Taxpayer Relief Act of 2012 was signed into law, which, among other things, further reduced Medicare payments to several types of providers.</w:t>
      </w:r>
    </w:p>
    <w:p>
      <w:pPr>
        <w:spacing w:after="0" w:line="16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 For example, it is possible that additional governmental action will be taken to address the COVID-19 pandemic, which could impact our business in an as-yet unknown manner.</w:t>
      </w:r>
    </w:p>
    <w:p>
      <w:pPr>
        <w:spacing w:after="0" w:line="188"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It is unclear whether the Biden administration will work to reverse these measures or pursue similar policy initiatives to control drug costs. Any reduction in reimbursement from Medicare and other government programs may result in a similar reduction in payments from private payers.</w:t>
      </w:r>
    </w:p>
    <w:p>
      <w:pPr>
        <w:spacing w:after="0" w:line="28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76"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ind w:right="60" w:firstLine="589"/>
        <w:spacing w:after="0" w:line="272"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provided to us by a HIPAA-covered entity in a manner that is not authorized or permitted by HIPAA.</w:t>
      </w:r>
    </w:p>
    <w:p>
      <w:pPr>
        <w:spacing w:after="0" w:line="17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Further, the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condition.</w:t>
      </w:r>
    </w:p>
    <w:p>
      <w:pPr>
        <w:spacing w:after="0" w:line="168" w:lineRule="exact"/>
        <w:rPr>
          <w:sz w:val="20"/>
          <w:szCs w:val="20"/>
          <w:color w:val="auto"/>
        </w:rPr>
      </w:pPr>
    </w:p>
    <w:p>
      <w:pPr>
        <w:ind w:right="20" w:firstLine="594"/>
        <w:spacing w:after="0" w:line="284" w:lineRule="auto"/>
        <w:rPr>
          <w:sz w:val="20"/>
          <w:szCs w:val="20"/>
          <w:color w:val="auto"/>
        </w:rPr>
      </w:pPr>
      <w:r>
        <w:rPr>
          <w:rFonts w:ascii="Arial" w:cs="Arial" w:eastAsia="Arial" w:hAnsi="Arial"/>
          <w:sz w:val="16"/>
          <w:szCs w:val="16"/>
          <w:color w:val="auto"/>
        </w:rPr>
        <w:t>We currently operate in countries outside of the United States, including Belgium and Australia, where laws may in some cases be more stringent than the requirements in the United States. For example, in Europe, the GDPR went into effect in May 2018 and imposes strict requirements for the collection, storage, use, disclosure, transfer and other processing of the personal data of individuals within the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within 72 hours after discovering the breach,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and the applicable national data protection laws of the EU and EEA member states may result in fines of up to €20 million or up to 4% of the total worldwide annual turnover of our preceding fiscal year, whichever is higher, and other administrative penalties. Further, from January 1, 2021, we have to comply with the GDPR and the UK GDPR, which, together, with the amended Data Protection Act 2018, retains the GDPR in UK national law, the latter regime having the ability to separately fine up to the greater of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costs and increase our overall risk exposure. Failure to comply with the GDPR and other countries’ privacy or data security-related laws, rules or regulations could result in material penalties imposed by regulators, affect our compliance with contracts entered into with our collaborators and other third-party payors, and have an adverse effect on our business and financial condition.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5" w:name="page76"/>
    <w:bookmarkEnd w:id="75"/>
    <w:p>
      <w:pPr>
        <w:ind w:firstLine="594"/>
        <w:spacing w:after="0" w:line="291" w:lineRule="auto"/>
        <w:rPr>
          <w:sz w:val="20"/>
          <w:szCs w:val="20"/>
          <w:color w:val="auto"/>
        </w:rPr>
      </w:pPr>
      <w:r>
        <w:rPr>
          <w:rFonts w:ascii="Arial" w:cs="Arial" w:eastAsia="Arial" w:hAnsi="Arial"/>
          <w:sz w:val="16"/>
          <w:szCs w:val="16"/>
          <w:color w:val="auto"/>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on July 16, 2020, the Court of Justice of the European Union (CJEU) invalidated the EU-US Privacy Shield Framework (the Privacy Shield) under which personal data could be transferred from the EEA to United States entities that had self-certified under the Privacy Shield scheme. While the CJEU upheld the adequacy, subject to certain conditions, of the standard contractual clauses (a standard form of contract approved by the European Commission as an adequate personal data transfer mechanism), future regulatory guidance could result in changes to the use of standard contractual clauses.</w:t>
      </w:r>
    </w:p>
    <w:p>
      <w:pPr>
        <w:spacing w:after="0" w:line="166"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129"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7" w:lineRule="exact"/>
        <w:rPr>
          <w:sz w:val="20"/>
          <w:szCs w:val="20"/>
          <w:color w:val="auto"/>
        </w:rPr>
      </w:pPr>
    </w:p>
    <w:p>
      <w:pPr>
        <w:jc w:val="both"/>
        <w:ind w:right="160" w:firstLine="589"/>
        <w:spacing w:after="0" w:line="275" w:lineRule="auto"/>
        <w:rPr>
          <w:sz w:val="20"/>
          <w:szCs w:val="20"/>
          <w:color w:val="auto"/>
        </w:rPr>
      </w:pPr>
      <w:r>
        <w:rPr>
          <w:rFonts w:ascii="Arial" w:cs="Arial" w:eastAsia="Arial" w:hAnsi="Arial"/>
          <w:sz w:val="17"/>
          <w:szCs w:val="17"/>
          <w:color w:val="auto"/>
        </w:rPr>
        <w:t>We are currently collaborating with third parties to develop certain of our potential drug candidates. For example, we are collaborating with the Rega Institute and Centre for Drug Design and Discovery at KU Leuven with respect to potential protease inhibitors for the treatment of coronaviruses, including SARS-CoV-2, with Emory University with respect to certain aspects of our small molecule CHB program and with Merck with respect to the discovery, research and development of oligonucleotides against a NASH target. In the future, we may form or seek strategic alliances, joint ventures, or collaborations, or enter into additional licensing arrangements with third parties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that we believe will complement or augment our development and commercialization efforts with respect to drug candidates we develop.</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1160" w:right="700" w:hanging="572"/>
        <w:spacing w:after="0" w:line="308" w:lineRule="auto"/>
        <w:tabs>
          <w:tab w:leader="none" w:pos="1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38" w:lineRule="exact"/>
        <w:rPr>
          <w:rFonts w:ascii="Arial" w:cs="Arial" w:eastAsia="Arial" w:hAnsi="Arial"/>
          <w:sz w:val="17"/>
          <w:szCs w:val="17"/>
          <w:color w:val="auto"/>
        </w:rPr>
      </w:pPr>
    </w:p>
    <w:p>
      <w:pPr>
        <w:ind w:left="1160" w:right="14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(if any) or drug candidates;</w:t>
      </w:r>
    </w:p>
    <w:p>
      <w:pPr>
        <w:spacing w:after="0" w:line="62"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62" w:lineRule="exact"/>
        <w:rPr>
          <w:rFonts w:ascii="Arial" w:cs="Arial" w:eastAsia="Arial" w:hAnsi="Arial"/>
          <w:sz w:val="18"/>
          <w:szCs w:val="18"/>
          <w:color w:val="auto"/>
        </w:rPr>
      </w:pPr>
    </w:p>
    <w:p>
      <w:pPr>
        <w:ind w:left="1160" w:right="700" w:hanging="572"/>
        <w:spacing w:after="0" w:line="286" w:lineRule="auto"/>
        <w:tabs>
          <w:tab w:leader="none" w:pos="1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57" w:lineRule="exact"/>
        <w:rPr>
          <w:rFonts w:ascii="Arial" w:cs="Arial" w:eastAsia="Arial" w:hAnsi="Arial"/>
          <w:sz w:val="17"/>
          <w:szCs w:val="17"/>
          <w:color w:val="auto"/>
        </w:rPr>
      </w:pPr>
    </w:p>
    <w:p>
      <w:pPr>
        <w:ind w:left="1160" w:right="22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44" w:lineRule="exact"/>
        <w:rPr>
          <w:rFonts w:ascii="Arial" w:cs="Arial" w:eastAsia="Arial" w:hAnsi="Arial"/>
          <w:sz w:val="18"/>
          <w:szCs w:val="18"/>
          <w:color w:val="auto"/>
        </w:rPr>
      </w:pPr>
    </w:p>
    <w:p>
      <w:pPr>
        <w:jc w:val="both"/>
        <w:ind w:left="1160" w:right="260" w:hanging="572"/>
        <w:spacing w:after="0" w:line="263"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75" w:lineRule="exact"/>
        <w:rPr>
          <w:rFonts w:ascii="Arial" w:cs="Arial" w:eastAsia="Arial" w:hAnsi="Arial"/>
          <w:sz w:val="18"/>
          <w:szCs w:val="18"/>
          <w:color w:val="auto"/>
        </w:rPr>
      </w:pPr>
    </w:p>
    <w:p>
      <w:pPr>
        <w:ind w:left="1160" w:right="40" w:hanging="572"/>
        <w:spacing w:after="0" w:line="308" w:lineRule="auto"/>
        <w:tabs>
          <w:tab w:leader="none" w:pos="1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146"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p>
      <w:pPr>
        <w:ind w:firstLine="589"/>
        <w:spacing w:after="0" w:line="28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172" w:lineRule="exact"/>
        <w:rPr>
          <w:sz w:val="20"/>
          <w:szCs w:val="20"/>
          <w:color w:val="auto"/>
        </w:rPr>
      </w:pPr>
    </w:p>
    <w:p>
      <w:pPr>
        <w:ind w:right="720" w:firstLine="589"/>
        <w:spacing w:after="0" w:line="277" w:lineRule="auto"/>
        <w:rPr>
          <w:sz w:val="20"/>
          <w:szCs w:val="20"/>
          <w:color w:val="auto"/>
        </w:rPr>
      </w:pPr>
      <w:r>
        <w:rPr>
          <w:rFonts w:ascii="Arial" w:cs="Arial" w:eastAsia="Arial" w:hAnsi="Arial"/>
          <w:sz w:val="18"/>
          <w:szCs w:val="18"/>
          <w:color w:val="auto"/>
        </w:rPr>
        <w:t>We may also be restricted under future collaboration agreements from entering into additional agreements on certain terms with potential collaborators.</w:t>
      </w:r>
    </w:p>
    <w:p>
      <w:pPr>
        <w:spacing w:after="0" w:line="170"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70"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184"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296"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23" w:lineRule="exact"/>
        <w:rPr>
          <w:sz w:val="20"/>
          <w:szCs w:val="20"/>
          <w:color w:val="auto"/>
        </w:rPr>
      </w:pPr>
    </w:p>
    <w:p>
      <w:pPr>
        <w:ind w:right="60" w:firstLine="589"/>
        <w:spacing w:after="0" w:line="220" w:lineRule="exact"/>
        <w:rPr>
          <w:sz w:val="20"/>
          <w:szCs w:val="20"/>
          <w:color w:val="auto"/>
        </w:rPr>
      </w:pPr>
      <w:r>
        <w:rPr>
          <w:rFonts w:ascii="Arial" w:cs="Arial" w:eastAsia="Arial" w:hAnsi="Arial"/>
          <w:sz w:val="17"/>
          <w:szCs w:val="17"/>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7"/>
          <w:szCs w:val="17"/>
          <w:color w:val="auto"/>
        </w:rPr>
        <w:t>‑</w:t>
      </w:r>
      <w:r>
        <w:rPr>
          <w:rFonts w:ascii="Arial" w:cs="Arial" w:eastAsia="Arial" w:hAnsi="Arial"/>
          <w:sz w:val="17"/>
          <w:szCs w:val="17"/>
          <w:color w:val="auto"/>
        </w:rPr>
        <w:t>010133 and ALG</w:t>
      </w:r>
      <w:r>
        <w:rPr>
          <w:rFonts w:ascii="MS PGothic" w:cs="MS PGothic" w:eastAsia="MS PGothic" w:hAnsi="MS PGothic"/>
          <w:sz w:val="17"/>
          <w:szCs w:val="17"/>
          <w:color w:val="auto"/>
        </w:rPr>
        <w:t>‑</w:t>
      </w:r>
      <w:r>
        <w:rPr>
          <w:rFonts w:ascii="Arial" w:cs="Arial" w:eastAsia="Arial" w:hAnsi="Arial"/>
          <w:sz w:val="17"/>
          <w:szCs w:val="17"/>
          <w:color w:val="auto"/>
        </w:rPr>
        <w:t>000184, and we control only certain aspects of their activities. Nevertheless, we are responsible for ensuring that each of our nonclinical studies and clinical trials is conducted in accordance with the applicable protocol, legal</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78" w:name="page79"/>
    <w:bookmarkEnd w:id="78"/>
    <w:p>
      <w:pPr>
        <w:ind w:right="180"/>
        <w:spacing w:after="0" w:line="263" w:lineRule="auto"/>
        <w:rPr>
          <w:sz w:val="20"/>
          <w:szCs w:val="20"/>
          <w:color w:val="auto"/>
        </w:rPr>
      </w:pPr>
      <w:r>
        <w:rPr>
          <w:rFonts w:ascii="Arial" w:cs="Arial" w:eastAsia="Arial" w:hAnsi="Arial"/>
          <w:sz w:val="18"/>
          <w:szCs w:val="18"/>
          <w:color w:val="auto"/>
        </w:rPr>
        <w:t>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184"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4"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4" w:lineRule="exact"/>
        <w:rPr>
          <w:sz w:val="20"/>
          <w:szCs w:val="20"/>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undergo changes in priorities;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become financially distressed; or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177"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if the quality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9" w:name="page80"/>
    <w:bookmarkEnd w:id="79"/>
    <w:p>
      <w:pPr>
        <w:ind w:right="140"/>
        <w:spacing w:after="0" w:line="257" w:lineRule="auto"/>
        <w:rPr>
          <w:sz w:val="20"/>
          <w:szCs w:val="20"/>
          <w:color w:val="auto"/>
        </w:rPr>
      </w:pPr>
      <w:r>
        <w:rPr>
          <w:rFonts w:ascii="Arial" w:cs="Arial" w:eastAsia="Arial" w:hAnsi="Arial"/>
          <w:sz w:val="18"/>
          <w:szCs w:val="18"/>
          <w:color w:val="auto"/>
        </w:rPr>
        <w:t>accuracy of the nonclinical or clinical data they obtain are compromised due to the failure to adhere to our protocols, regulatory requirements or for other reasons, or if they are negatively impacted by the COVID-19 pandemic,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29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5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w:t>
      </w:r>
    </w:p>
    <w:p>
      <w:pPr>
        <w:spacing w:after="0" w:line="188"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166" w:lineRule="exact"/>
        <w:rPr>
          <w:sz w:val="20"/>
          <w:szCs w:val="20"/>
          <w:color w:val="auto"/>
        </w:rPr>
      </w:pPr>
    </w:p>
    <w:p>
      <w:pPr>
        <w:ind w:right="360" w:firstLine="589"/>
        <w:spacing w:after="0" w:line="286" w:lineRule="auto"/>
        <w:rPr>
          <w:sz w:val="20"/>
          <w:szCs w:val="20"/>
          <w:color w:val="auto"/>
        </w:rPr>
      </w:pPr>
      <w:r>
        <w:rPr>
          <w:rFonts w:ascii="Arial" w:cs="Arial" w:eastAsia="Arial" w:hAnsi="Arial"/>
          <w:sz w:val="17"/>
          <w:szCs w:val="17"/>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165" w:lineRule="exact"/>
        <w:rPr>
          <w:sz w:val="20"/>
          <w:szCs w:val="20"/>
          <w:color w:val="auto"/>
        </w:rPr>
      </w:pPr>
    </w:p>
    <w:p>
      <w:pPr>
        <w:jc w:val="both"/>
        <w:ind w:right="100" w:firstLine="589"/>
        <w:spacing w:after="0" w:line="259" w:lineRule="auto"/>
        <w:rPr>
          <w:sz w:val="20"/>
          <w:szCs w:val="20"/>
          <w:color w:val="auto"/>
        </w:rPr>
      </w:pPr>
      <w:r>
        <w:rPr>
          <w:rFonts w:ascii="Arial" w:cs="Arial" w:eastAsia="Arial" w:hAnsi="Arial"/>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187" w:lineRule="exact"/>
        <w:rPr>
          <w:sz w:val="20"/>
          <w:szCs w:val="20"/>
          <w:color w:val="auto"/>
        </w:rPr>
      </w:pPr>
    </w:p>
    <w:p>
      <w:pPr>
        <w:ind w:right="460" w:firstLine="589"/>
        <w:spacing w:after="0" w:line="342"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2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9" w:lineRule="exact"/>
        <w:rPr>
          <w:sz w:val="20"/>
          <w:szCs w:val="20"/>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0" w:name="page81"/>
    <w:bookmarkEnd w:id="80"/>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ind w:right="200" w:firstLine="589"/>
        <w:spacing w:after="0" w:line="301"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15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84"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188"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Some of our third-party manufacturers which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our clinical development.</w:t>
      </w:r>
    </w:p>
    <w:p>
      <w:pPr>
        <w:spacing w:after="0" w:line="184" w:lineRule="exact"/>
        <w:rPr>
          <w:sz w:val="20"/>
          <w:szCs w:val="20"/>
          <w:color w:val="auto"/>
        </w:rPr>
      </w:pPr>
    </w:p>
    <w:p>
      <w:pPr>
        <w:jc w:val="both"/>
        <w:ind w:right="560" w:firstLine="589"/>
        <w:spacing w:after="0" w:line="263"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292"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41"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69" w:lineRule="exact"/>
        <w:rPr>
          <w:sz w:val="20"/>
          <w:szCs w:val="20"/>
          <w:color w:val="auto"/>
        </w:rPr>
      </w:pPr>
    </w:p>
    <w:p>
      <w:pPr>
        <w:ind w:left="1160" w:right="60" w:hanging="572"/>
        <w:spacing w:after="0" w:line="254"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ind w:left="1160" w:right="60" w:hanging="572"/>
        <w:spacing w:after="0" w:line="275" w:lineRule="auto"/>
        <w:tabs>
          <w:tab w:leader="none" w:pos="1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68" w:lineRule="exact"/>
        <w:rPr>
          <w:rFonts w:ascii="Arial" w:cs="Arial" w:eastAsia="Arial" w:hAnsi="Arial"/>
          <w:sz w:val="17"/>
          <w:szCs w:val="17"/>
          <w:color w:val="auto"/>
        </w:rPr>
      </w:pPr>
    </w:p>
    <w:p>
      <w:pPr>
        <w:ind w:left="1160" w:right="40" w:hanging="572"/>
        <w:spacing w:after="0" w:line="254"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86" w:lineRule="exact"/>
        <w:rPr>
          <w:rFonts w:ascii="Arial" w:cs="Arial" w:eastAsia="Arial" w:hAnsi="Arial"/>
          <w:sz w:val="18"/>
          <w:szCs w:val="18"/>
          <w:color w:val="auto"/>
        </w:rPr>
      </w:pPr>
    </w:p>
    <w:p>
      <w:pPr>
        <w:ind w:left="1160" w:hanging="572"/>
        <w:spacing w:after="0" w:line="291" w:lineRule="auto"/>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such obligations will include payments and other transfers of value provided in the previous year to certain other healthcare professionals, including physician assistants, nurse practitioners, clinical nurse specialists, certified nurse anesthetists, anesthesiology assistants and certified nurse-midwives;</w:t>
      </w:r>
    </w:p>
    <w:p>
      <w:pPr>
        <w:spacing w:after="0" w:line="58" w:lineRule="exact"/>
        <w:rPr>
          <w:rFonts w:ascii="Arial" w:cs="Arial" w:eastAsia="Arial" w:hAnsi="Arial"/>
          <w:sz w:val="16"/>
          <w:szCs w:val="16"/>
          <w:color w:val="auto"/>
        </w:rPr>
      </w:pPr>
    </w:p>
    <w:p>
      <w:pPr>
        <w:ind w:left="1160" w:right="8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160" w:right="240" w:hanging="572"/>
        <w:spacing w:after="0" w:line="272" w:lineRule="auto"/>
        <w:tabs>
          <w:tab w:leader="none" w:pos="1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17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77"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ind w:right="100"/>
        <w:spacing w:after="0" w:line="257" w:lineRule="auto"/>
        <w:rPr>
          <w:sz w:val="20"/>
          <w:szCs w:val="20"/>
          <w:color w:val="auto"/>
        </w:rPr>
      </w:pPr>
      <w:r>
        <w:rPr>
          <w:rFonts w:ascii="Arial" w:cs="Arial" w:eastAsia="Arial" w:hAnsi="Arial"/>
          <w:sz w:val="18"/>
          <w:szCs w:val="18"/>
          <w:color w:val="auto"/>
        </w:rPr>
        <w:t>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If we and our collaborators are unable to obtain and maintain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57" w:lineRule="exact"/>
        <w:rPr>
          <w:sz w:val="20"/>
          <w:szCs w:val="20"/>
          <w:color w:val="auto"/>
        </w:rPr>
      </w:pPr>
    </w:p>
    <w:p>
      <w:pPr>
        <w:ind w:firstLine="589"/>
        <w:spacing w:after="0" w:line="219" w:lineRule="exact"/>
        <w:rPr>
          <w:sz w:val="20"/>
          <w:szCs w:val="20"/>
          <w:color w:val="auto"/>
        </w:rPr>
      </w:pPr>
      <w:r>
        <w:rPr>
          <w:rFonts w:ascii="Arial" w:cs="Arial" w:eastAsia="Arial" w:hAnsi="Arial"/>
          <w:sz w:val="16"/>
          <w:szCs w:val="16"/>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We do not own any issued patents with respect to our programs, including our CHB and NASH programs, and we do not own or in-license any issued patents with claims that specifically recite our ALG</w:t>
      </w:r>
      <w:r>
        <w:rPr>
          <w:rFonts w:ascii="MS PGothic" w:cs="MS PGothic" w:eastAsia="MS PGothic" w:hAnsi="MS PGothic"/>
          <w:sz w:val="16"/>
          <w:szCs w:val="16"/>
          <w:color w:val="auto"/>
        </w:rPr>
        <w:t>‑</w:t>
      </w:r>
      <w:r>
        <w:rPr>
          <w:rFonts w:ascii="Arial" w:cs="Arial" w:eastAsia="Arial" w:hAnsi="Arial"/>
          <w:sz w:val="16"/>
          <w:szCs w:val="16"/>
          <w:color w:val="auto"/>
        </w:rPr>
        <w:t>010133, ALG</w:t>
      </w:r>
      <w:r>
        <w:rPr>
          <w:rFonts w:ascii="MS PGothic" w:cs="MS PGothic" w:eastAsia="MS PGothic" w:hAnsi="MS PGothic"/>
          <w:sz w:val="16"/>
          <w:szCs w:val="16"/>
          <w:color w:val="auto"/>
        </w:rPr>
        <w:t>‑</w:t>
      </w:r>
      <w:r>
        <w:rPr>
          <w:rFonts w:ascii="Arial" w:cs="Arial" w:eastAsia="Arial" w:hAnsi="Arial"/>
          <w:sz w:val="16"/>
          <w:szCs w:val="16"/>
          <w:color w:val="auto"/>
        </w:rPr>
        <w:t>000184, ALG</w:t>
      </w:r>
      <w:r>
        <w:rPr>
          <w:rFonts w:ascii="MS PGothic" w:cs="MS PGothic" w:eastAsia="MS PGothic" w:hAnsi="MS PGothic"/>
          <w:sz w:val="16"/>
          <w:szCs w:val="16"/>
          <w:color w:val="auto"/>
        </w:rPr>
        <w:t>‑</w:t>
      </w:r>
      <w:r>
        <w:rPr>
          <w:rFonts w:ascii="Arial" w:cs="Arial" w:eastAsia="Arial" w:hAnsi="Arial"/>
          <w:sz w:val="16"/>
          <w:szCs w:val="16"/>
          <w:color w:val="auto"/>
        </w:rPr>
        <w:t>020572, ALG</w:t>
      </w:r>
      <w:r>
        <w:rPr>
          <w:rFonts w:ascii="MS PGothic" w:cs="MS PGothic" w:eastAsia="MS PGothic" w:hAnsi="MS PGothic"/>
          <w:sz w:val="16"/>
          <w:szCs w:val="16"/>
          <w:color w:val="auto"/>
        </w:rPr>
        <w:t>‑</w:t>
      </w:r>
      <w:r>
        <w:rPr>
          <w:rFonts w:ascii="Arial" w:cs="Arial" w:eastAsia="Arial" w:hAnsi="Arial"/>
          <w:sz w:val="16"/>
          <w:szCs w:val="16"/>
          <w:color w:val="auto"/>
        </w:rPr>
        <w:t>125097 and ALG</w:t>
      </w:r>
      <w:r>
        <w:rPr>
          <w:rFonts w:ascii="MS PGothic" w:cs="MS PGothic" w:eastAsia="MS PGothic" w:hAnsi="MS PGothic"/>
          <w:sz w:val="16"/>
          <w:szCs w:val="16"/>
          <w:color w:val="auto"/>
        </w:rPr>
        <w:t>‑</w:t>
      </w:r>
      <w:r>
        <w:rPr>
          <w:rFonts w:ascii="Arial" w:cs="Arial" w:eastAsia="Arial" w:hAnsi="Arial"/>
          <w:sz w:val="16"/>
          <w:szCs w:val="16"/>
          <w:color w:val="auto"/>
        </w:rPr>
        <w:t>055009 drug candidates, and we can provide no assurance that any of our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For example, there are certain patents and patent applications (and there may be other patents and patent applications) that are owned by third parties, including our competitors, that have (or may have) an earlier filing date, and could be determined to have an earlier priority date, than our patent applications relating to our STOPS candidate, ALG</w:t>
      </w:r>
      <w:r>
        <w:rPr>
          <w:rFonts w:ascii="MS PGothic" w:cs="MS PGothic" w:eastAsia="MS PGothic" w:hAnsi="MS PGothic"/>
          <w:sz w:val="16"/>
          <w:szCs w:val="16"/>
          <w:color w:val="auto"/>
        </w:rPr>
        <w:t>‑</w:t>
      </w:r>
      <w:r>
        <w:rPr>
          <w:rFonts w:ascii="Arial" w:cs="Arial" w:eastAsia="Arial" w:hAnsi="Arial"/>
          <w:sz w:val="16"/>
          <w:szCs w:val="16"/>
          <w:color w:val="auto"/>
        </w:rPr>
        <w:t>010133. If a patent or patent application is determined to have an earlier priority date, it may prevent our patent applications from issuing at all or issuing in a form that provides any competitive advantage for our product candidates. Failure to obtain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product candidates. We may not be able to obtain these licenses on acceptable or commercially reasonable terms, if at all, or these licenses may be non-exclusive, which could result in our competitors using the same intellectual property.</w:t>
      </w:r>
    </w:p>
    <w:p>
      <w:pPr>
        <w:spacing w:after="0" w:line="38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195"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We currently are the assignee of a number of U.S. provisional patent applications. U.S. provisional patent applications are not eligible to become issued patents until, among other things, we file a non-provisional patent application within 12 months of filing of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3" w:name="page84"/>
    <w:bookmarkEnd w:id="83"/>
    <w:p>
      <w:pPr>
        <w:jc w:val="both"/>
        <w:ind w:right="180"/>
        <w:spacing w:after="0" w:line="263" w:lineRule="auto"/>
        <w:rPr>
          <w:sz w:val="20"/>
          <w:szCs w:val="20"/>
          <w:color w:val="auto"/>
        </w:rPr>
      </w:pPr>
      <w:r>
        <w:rPr>
          <w:rFonts w:ascii="Arial" w:cs="Arial" w:eastAsia="Arial" w:hAnsi="Arial"/>
          <w:sz w:val="18"/>
          <w:szCs w:val="18"/>
          <w:color w:val="auto"/>
        </w:rPr>
        <w:t>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184"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7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185"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86"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4" w:name="page85"/>
    <w:bookmarkEnd w:id="84"/>
    <w:p>
      <w:pPr>
        <w:ind w:right="60"/>
        <w:spacing w:after="0" w:line="259" w:lineRule="auto"/>
        <w:rPr>
          <w:sz w:val="20"/>
          <w:szCs w:val="20"/>
          <w:color w:val="auto"/>
        </w:rPr>
      </w:pPr>
      <w:r>
        <w:rPr>
          <w:rFonts w:ascii="Arial" w:cs="Arial" w:eastAsia="Arial" w:hAnsi="Arial"/>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9"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176"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80"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82"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ind w:right="120"/>
        <w:spacing w:after="0" w:line="293" w:lineRule="auto"/>
        <w:rPr>
          <w:sz w:val="20"/>
          <w:szCs w:val="20"/>
          <w:color w:val="auto"/>
        </w:rPr>
      </w:pPr>
      <w:r>
        <w:rPr>
          <w:rFonts w:ascii="Arial" w:cs="Arial" w:eastAsia="Arial" w:hAnsi="Arial"/>
          <w:sz w:val="16"/>
          <w:szCs w:val="16"/>
          <w:color w:val="auto"/>
        </w:rPr>
        <w:t>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64"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1"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76" w:lineRule="exact"/>
        <w:rPr>
          <w:sz w:val="20"/>
          <w:szCs w:val="20"/>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intellectual property of the other party that are not subject to the licensing agreement;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44"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25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92"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6" w:name="page87"/>
    <w:bookmarkEnd w:id="86"/>
    <w:p>
      <w:pPr>
        <w:ind w:right="280"/>
        <w:spacing w:after="0" w:line="277" w:lineRule="auto"/>
        <w:rPr>
          <w:sz w:val="20"/>
          <w:szCs w:val="20"/>
          <w:color w:val="auto"/>
        </w:rPr>
      </w:pPr>
      <w:r>
        <w:rPr>
          <w:rFonts w:ascii="Arial" w:cs="Arial" w:eastAsia="Arial" w:hAnsi="Arial"/>
          <w:sz w:val="18"/>
          <w:szCs w:val="18"/>
          <w:color w:val="auto"/>
        </w:rPr>
        <w:t>collaborators or strategic partners have rights, may result in the withdrawal of partner support for our drug candidates. Any of these developments could harm our product development efforts.</w:t>
      </w:r>
    </w:p>
    <w:p>
      <w:pPr>
        <w:spacing w:after="0" w:line="170"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this report.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Beginning in June 2022, the license to such patents will become non-exclusive with respect to all fields except for the treatment and prevention of HBV. For more information regarding our license agreements, see the section titled “Business—License agreements and collaborations” of this report. Any of the foregoing could harm our competitive position, business, financial condition, results of operations and prospects.</w:t>
      </w:r>
    </w:p>
    <w:p>
      <w:pPr>
        <w:spacing w:after="0" w:line="27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38" w:lineRule="exact"/>
        <w:rPr>
          <w:sz w:val="20"/>
          <w:szCs w:val="20"/>
          <w:color w:val="auto"/>
        </w:rPr>
      </w:pPr>
    </w:p>
    <w:p>
      <w:pPr>
        <w:ind w:right="20" w:firstLine="594"/>
        <w:spacing w:after="0" w:line="286"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ind w:right="20" w:firstLine="594"/>
        <w:spacing w:after="0" w:line="218" w:lineRule="exact"/>
        <w:rPr>
          <w:sz w:val="20"/>
          <w:szCs w:val="20"/>
          <w:color w:val="auto"/>
        </w:rPr>
      </w:pPr>
      <w:r>
        <w:rPr>
          <w:rFonts w:ascii="Arial" w:cs="Arial" w:eastAsia="Arial" w:hAnsi="Arial"/>
          <w:sz w:val="17"/>
          <w:szCs w:val="17"/>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7"/>
          <w:szCs w:val="17"/>
          <w:color w:val="auto"/>
        </w:rPr>
        <w:t>‑</w:t>
      </w:r>
      <w:r>
        <w:rPr>
          <w:rFonts w:ascii="Arial" w:cs="Arial" w:eastAsia="Arial" w:hAnsi="Arial"/>
          <w:sz w:val="17"/>
          <w:szCs w:val="17"/>
          <w:color w:val="auto"/>
        </w:rPr>
        <w:t>055009, ALG</w:t>
      </w:r>
      <w:r>
        <w:rPr>
          <w:rFonts w:ascii="MS PGothic" w:cs="MS PGothic" w:eastAsia="MS PGothic" w:hAnsi="MS PGothic"/>
          <w:sz w:val="17"/>
          <w:szCs w:val="17"/>
          <w:color w:val="auto"/>
        </w:rPr>
        <w:t>‑</w:t>
      </w:r>
      <w:r>
        <w:rPr>
          <w:rFonts w:ascii="Arial" w:cs="Arial" w:eastAsia="Arial" w:hAnsi="Arial"/>
          <w:sz w:val="17"/>
          <w:szCs w:val="17"/>
          <w:color w:val="auto"/>
        </w:rPr>
        <w:t>125097 and ALG</w:t>
      </w:r>
      <w:r>
        <w:rPr>
          <w:rFonts w:ascii="MS PGothic" w:cs="MS PGothic" w:eastAsia="MS PGothic" w:hAnsi="MS PGothic"/>
          <w:sz w:val="17"/>
          <w:szCs w:val="17"/>
          <w:color w:val="auto"/>
        </w:rPr>
        <w:t>‑</w:t>
      </w:r>
      <w:r>
        <w:rPr>
          <w:rFonts w:ascii="Arial" w:cs="Arial" w:eastAsia="Arial" w:hAnsi="Arial"/>
          <w:sz w:val="17"/>
          <w:szCs w:val="17"/>
          <w:color w:val="auto"/>
        </w:rPr>
        <w:t>010133.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206"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establish our competitive position on our drug candidates for an adequate amount of time.</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95"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186"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8" w:name="page89"/>
    <w:bookmarkEnd w:id="88"/>
    <w:p>
      <w:pPr>
        <w:ind w:right="440"/>
        <w:spacing w:after="0" w:line="277" w:lineRule="auto"/>
        <w:rPr>
          <w:sz w:val="20"/>
          <w:szCs w:val="20"/>
          <w:color w:val="auto"/>
        </w:rPr>
      </w:pPr>
      <w:r>
        <w:rPr>
          <w:rFonts w:ascii="Arial" w:cs="Arial" w:eastAsia="Arial" w:hAnsi="Arial"/>
          <w:sz w:val="18"/>
          <w:szCs w:val="18"/>
          <w:color w:val="auto"/>
        </w:rPr>
        <w:t>application filed with the FDA to obtain permission to sell a generic version of such drug candidate. Any of the foregoing could harm our competitive position, business, financial condition, results of operations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78" w:lineRule="exact"/>
        <w:rPr>
          <w:sz w:val="20"/>
          <w:szCs w:val="20"/>
          <w:color w:val="auto"/>
        </w:rPr>
      </w:pPr>
    </w:p>
    <w:p>
      <w:pPr>
        <w:jc w:val="both"/>
        <w:ind w:right="120" w:firstLine="589"/>
        <w:spacing w:after="0" w:line="287"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93"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drug candidates.</w:t>
      </w:r>
    </w:p>
    <w:p>
      <w:pPr>
        <w:spacing w:after="0" w:line="117"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19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ind w:right="100"/>
        <w:spacing w:after="0" w:line="288" w:lineRule="auto"/>
        <w:rPr>
          <w:sz w:val="20"/>
          <w:szCs w:val="20"/>
          <w:color w:val="auto"/>
        </w:rPr>
      </w:pPr>
      <w:r>
        <w:rPr>
          <w:rFonts w:ascii="Arial" w:cs="Arial" w:eastAsia="Arial" w:hAnsi="Arial"/>
          <w:sz w:val="16"/>
          <w:szCs w:val="16"/>
          <w:color w:val="auto"/>
        </w:rPr>
        <w:t xml:space="preserve">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276"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1"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60"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ind w:firstLine="589"/>
        <w:spacing w:after="0" w:line="25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8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2"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1" w:name="page92"/>
    <w:bookmarkEnd w:id="91"/>
    <w:p>
      <w:pPr>
        <w:ind w:firstLine="589"/>
        <w:spacing w:after="0" w:line="285"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2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6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192" w:lineRule="exact"/>
        <w:rPr>
          <w:sz w:val="20"/>
          <w:szCs w:val="20"/>
          <w:color w:val="auto"/>
        </w:rPr>
      </w:pPr>
    </w:p>
    <w:p>
      <w:pPr>
        <w:jc w:val="both"/>
        <w:ind w:right="180" w:firstLine="589"/>
        <w:spacing w:after="0" w:line="259"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160" w:right="20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issued patents that we hold rights to may be held invalid or unenforceable, including as a result of legal challenges by our competitors;</w:t>
      </w:r>
    </w:p>
    <w:p>
      <w:pPr>
        <w:spacing w:after="0" w:line="167" w:lineRule="exact"/>
        <w:rPr>
          <w:rFonts w:ascii="Arial" w:cs="Arial" w:eastAsia="Arial" w:hAnsi="Arial"/>
          <w:sz w:val="16"/>
          <w:szCs w:val="16"/>
          <w:color w:val="auto"/>
        </w:rPr>
      </w:pPr>
    </w:p>
    <w:p>
      <w:pPr>
        <w:ind w:left="1160" w:right="580" w:hanging="572"/>
        <w:spacing w:after="0" w:line="308" w:lineRule="auto"/>
        <w:tabs>
          <w:tab w:leader="none" w:pos="1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intellectual property rights of others may harm our business; and</w:t>
      </w:r>
    </w:p>
    <w:p>
      <w:pPr>
        <w:spacing w:after="0" w:line="144"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directed to such intellectual property.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ind w:firstLine="589"/>
        <w:spacing w:after="0" w:line="254"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3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2" w:lineRule="exact"/>
        <w:rPr>
          <w:sz w:val="20"/>
          <w:szCs w:val="20"/>
          <w:color w:val="auto"/>
        </w:rPr>
      </w:pPr>
    </w:p>
    <w:p>
      <w:pPr>
        <w:ind w:right="60" w:firstLine="589"/>
        <w:spacing w:after="0" w:line="268" w:lineRule="auto"/>
        <w:rPr>
          <w:sz w:val="20"/>
          <w:szCs w:val="20"/>
          <w:color w:val="auto"/>
        </w:rPr>
      </w:pPr>
      <w:r>
        <w:rPr>
          <w:rFonts w:ascii="Arial" w:cs="Arial" w:eastAsia="Arial" w:hAnsi="Arial"/>
          <w:sz w:val="17"/>
          <w:szCs w:val="17"/>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As of December 31, 2020, we had 74 full-time employees, including 58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44" w:lineRule="exact"/>
        <w:rPr>
          <w:rFonts w:ascii="Arial" w:cs="Arial" w:eastAsia="Arial" w:hAnsi="Arial"/>
          <w:sz w:val="18"/>
          <w:szCs w:val="18"/>
          <w:color w:val="auto"/>
        </w:rPr>
      </w:pPr>
    </w:p>
    <w:p>
      <w:pPr>
        <w:ind w:left="1160" w:right="140" w:hanging="572"/>
        <w:spacing w:after="0" w:line="342" w:lineRule="auto"/>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expanding and enhancing our operational, financial and management controls, reporting systems and procedures.</w:t>
      </w:r>
    </w:p>
    <w:p>
      <w:pPr>
        <w:spacing w:after="0" w:line="252"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4" w:name="page95"/>
    <w:bookmarkEnd w:id="94"/>
    <w:p>
      <w:pPr>
        <w:ind w:right="40" w:firstLine="58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ind w:right="100" w:firstLine="589"/>
        <w:spacing w:after="0" w:line="286"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40" w:firstLine="589"/>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16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5" w:name="page96"/>
    <w:bookmarkEnd w:id="95"/>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20" w:firstLine="589"/>
        <w:spacing w:after="0" w:line="217" w:lineRule="exact"/>
        <w:rPr>
          <w:sz w:val="20"/>
          <w:szCs w:val="20"/>
          <w:color w:val="auto"/>
        </w:rPr>
      </w:pPr>
      <w:r>
        <w:rPr>
          <w:rFonts w:ascii="Arial" w:cs="Arial" w:eastAsia="Arial" w:hAnsi="Arial"/>
          <w:sz w:val="16"/>
          <w:szCs w:val="16"/>
          <w:color w:val="auto"/>
        </w:rPr>
        <w:t>Our corporate headquarters and other facilities are located in the San Francisco Bay Area, which in the past has experienced both severe earthquakes and wildfires. We are also conducting our initial clinical trials for ALG</w:t>
      </w:r>
      <w:r>
        <w:rPr>
          <w:rFonts w:ascii="MS PGothic" w:cs="MS PGothic" w:eastAsia="MS PGothic" w:hAnsi="MS PGothic"/>
          <w:sz w:val="16"/>
          <w:szCs w:val="16"/>
          <w:color w:val="auto"/>
        </w:rPr>
        <w:t>‑</w:t>
      </w:r>
      <w:r>
        <w:rPr>
          <w:rFonts w:ascii="Arial" w:cs="Arial" w:eastAsia="Arial" w:hAnsi="Arial"/>
          <w:sz w:val="16"/>
          <w:szCs w:val="16"/>
          <w:color w:val="auto"/>
        </w:rPr>
        <w:t>010133 and ALG</w:t>
      </w:r>
      <w:r>
        <w:rPr>
          <w:rFonts w:ascii="MS PGothic" w:cs="MS PGothic" w:eastAsia="MS PGothic" w:hAnsi="MS PGothic"/>
          <w:sz w:val="16"/>
          <w:szCs w:val="16"/>
          <w:color w:val="auto"/>
        </w:rPr>
        <w:t>‑</w:t>
      </w:r>
      <w:r>
        <w:rPr>
          <w:rFonts w:ascii="Arial" w:cs="Arial" w:eastAsia="Arial" w:hAnsi="Arial"/>
          <w:sz w:val="16"/>
          <w:szCs w:val="16"/>
          <w:color w:val="auto"/>
        </w:rPr>
        <w:t>000184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31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investors.</w:t>
      </w:r>
    </w:p>
    <w:p>
      <w:pPr>
        <w:spacing w:after="0" w:line="117"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ongoing COVID-19 pandemic, for example, has negatively affected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6" w:name="page97"/>
    <w:bookmarkEnd w:id="96"/>
    <w:p>
      <w:pPr>
        <w:ind w:right="160"/>
        <w:spacing w:after="0" w:line="277" w:lineRule="auto"/>
        <w:rPr>
          <w:sz w:val="20"/>
          <w:szCs w:val="20"/>
          <w:color w:val="auto"/>
        </w:rPr>
      </w:pPr>
      <w:r>
        <w:rPr>
          <w:rFonts w:ascii="Arial" w:cs="Arial" w:eastAsia="Arial" w:hAnsi="Arial"/>
          <w:sz w:val="18"/>
          <w:szCs w:val="18"/>
          <w:color w:val="auto"/>
        </w:rPr>
        <w:t>stock market and investor sentiment and has resulted in significant volatility. The market price for our common stock may be influenced by many factors, including:</w:t>
      </w:r>
    </w:p>
    <w:p>
      <w:pPr>
        <w:spacing w:after="0" w:line="62" w:lineRule="exact"/>
        <w:rPr>
          <w:sz w:val="20"/>
          <w:szCs w:val="20"/>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of our and competitive products or technologies;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and nonclinical studies or those of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our drug candidates or clinical development programs;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drug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5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84"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p>
    <w:p>
      <w:pPr>
        <w:spacing w:after="0" w:line="184"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investors are not likely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7" w:name="page98"/>
    <w:bookmarkEnd w:id="97"/>
    <w:p>
      <w:pPr>
        <w:ind w:right="80"/>
        <w:spacing w:after="0" w:line="263" w:lineRule="auto"/>
        <w:rPr>
          <w:sz w:val="20"/>
          <w:szCs w:val="20"/>
          <w:color w:val="auto"/>
        </w:rPr>
      </w:pPr>
      <w:r>
        <w:rPr>
          <w:rFonts w:ascii="Arial" w:cs="Arial" w:eastAsia="Arial" w:hAnsi="Arial"/>
          <w:sz w:val="18"/>
          <w:szCs w:val="18"/>
          <w:color w:val="auto"/>
        </w:rPr>
        <w:t>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29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8"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p>
    <w:p>
      <w:pPr>
        <w:spacing w:after="0" w:line="194"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76"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19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2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62"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As of December 31, 2020, our executive officers, directors and their affiliates beneficially own, in the aggregate, approximately 45.3%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53" w:lineRule="exact"/>
        <w:rPr>
          <w:sz w:val="20"/>
          <w:szCs w:val="20"/>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8" w:name="page99"/>
    <w:bookmarkEnd w:id="98"/>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62"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Entities affiliated with or managed by Baker Brothers Life Sciences, L.P. hold an aggregate of 3,092,338 shares of our non-voting common stock (in addition to any shares of voting common stock acquired by such entities). Upon written notice, these entities could convert a portion of their shares of non-voting common stock into up to an aggregate of 4.99% of our shares of common stock. Upon 61 days’ prior written notice, these entities could convert all of their respective shares of non-voting common stock into shares of common stock, representing approximately 8.1% of the voting power of our outstanding common stock.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Exchange Act of 1934, as amended (the Exchange Act), and may not be subject to the short-swing profit provisions of Section 16(b) of the Exchange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after the lock-up and other legal restrictions on resale lapse, the market price of our common stock could decline.</w:t>
      </w:r>
    </w:p>
    <w:p>
      <w:pPr>
        <w:spacing w:after="0" w:line="170"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As of the completion of our initial public offering (including the partial exercise by the underwriters of their option to purchase additional shares), we had outstanding a total of 38,117,910 shares of common stock. Of these shares, substantially all of the shares of our common stock sold in the initial public offering are freely tradable, without restriction, in the public market.</w:t>
      </w:r>
    </w:p>
    <w:p>
      <w:pPr>
        <w:spacing w:after="0" w:line="184"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lock-up agreements entered into in connection with our IPO will expire at the close of business on April 13, 2021. J.P. Morgan Securities LLC, Jefferies LLC and Piper Sandler &amp; Co., in their sole discretion, may permit our equity holders who are subject to these lock-up agreements to sell shares prior to the expiration of the lock-up agreements. After the lock-up agreements expire, the shares of common stock will be eligible for sale in the public market. Approximately 14.5% of these additional shares are owned by directors, executive officers and other affiliates and will be subject to certain limitations of Rule 144 under the Securities Act.</w:t>
      </w:r>
    </w:p>
    <w:p>
      <w:pPr>
        <w:spacing w:after="0" w:line="188"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In addition, approximately 6,932,561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87" w:lineRule="exact"/>
        <w:rPr>
          <w:sz w:val="20"/>
          <w:szCs w:val="20"/>
          <w:color w:val="auto"/>
        </w:rPr>
      </w:pPr>
    </w:p>
    <w:p>
      <w:pPr>
        <w:ind w:right="160" w:firstLine="589"/>
        <w:spacing w:after="0" w:line="311" w:lineRule="auto"/>
        <w:rPr>
          <w:sz w:val="20"/>
          <w:szCs w:val="20"/>
          <w:color w:val="auto"/>
        </w:rPr>
      </w:pPr>
      <w:r>
        <w:rPr>
          <w:rFonts w:ascii="Arial" w:cs="Arial" w:eastAsia="Arial" w:hAnsi="Arial"/>
          <w:sz w:val="16"/>
          <w:szCs w:val="16"/>
          <w:color w:val="auto"/>
        </w:rPr>
        <w:t>In addition, the holders of approximately 24.2 million of our total common stock and non-voting common stock (including 3,092,338 shares of non-voting common stock),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9" w:name="page100"/>
    <w:bookmarkEnd w:id="99"/>
    <w:p>
      <w:pPr>
        <w:ind w:right="200"/>
        <w:spacing w:after="0" w:line="277" w:lineRule="auto"/>
        <w:rPr>
          <w:sz w:val="20"/>
          <w:szCs w:val="20"/>
          <w:color w:val="auto"/>
        </w:rPr>
      </w:pPr>
      <w:r>
        <w:rPr>
          <w:rFonts w:ascii="Arial" w:cs="Arial" w:eastAsia="Arial" w:hAnsi="Arial"/>
          <w:sz w:val="18"/>
          <w:szCs w:val="18"/>
          <w:color w:val="auto"/>
        </w:rPr>
        <w:t>Securities Act, except for shares purchased by affiliates. Any sales of securities by these stockholders could have a material adverse effect on the market price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an IRC Section 382 analysis in 2020 and determined there was an ownership change that resulted in Section 382 limitations. The ownership change limited our ability to utilize net operating losses against future taxable income but will not result in the expiration of any NOLs. We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95"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195"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00" w:name="page101"/>
    <w:bookmarkEnd w:id="100"/>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180" w:firstLine="589"/>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38" w:lineRule="exact"/>
        <w:rPr>
          <w:sz w:val="20"/>
          <w:szCs w:val="20"/>
          <w:color w:val="auto"/>
        </w:rPr>
      </w:pPr>
    </w:p>
    <w:p>
      <w:pPr>
        <w:ind w:left="1160" w:right="12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44" w:lineRule="exact"/>
        <w:rPr>
          <w:rFonts w:ascii="Arial" w:cs="Arial" w:eastAsia="Arial" w:hAnsi="Arial"/>
          <w:sz w:val="18"/>
          <w:szCs w:val="18"/>
          <w:color w:val="auto"/>
        </w:rPr>
      </w:pPr>
    </w:p>
    <w:p>
      <w:pPr>
        <w:ind w:left="1160" w:right="360" w:hanging="572"/>
        <w:spacing w:after="0" w:line="342" w:lineRule="auto"/>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ind w:left="1160" w:hanging="572"/>
        <w:spacing w:after="0" w:line="263"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44" w:lineRule="exact"/>
        <w:rPr>
          <w:rFonts w:ascii="Arial" w:cs="Arial" w:eastAsia="Arial" w:hAnsi="Arial"/>
          <w:sz w:val="18"/>
          <w:szCs w:val="18"/>
          <w:color w:val="auto"/>
        </w:rPr>
      </w:pPr>
    </w:p>
    <w:p>
      <w:pPr>
        <w:ind w:left="1160" w:right="20" w:hanging="572"/>
        <w:spacing w:after="0" w:line="263"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75"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160" w:right="580" w:hanging="572"/>
        <w:spacing w:after="0" w:line="263"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ind w:left="1160" w:right="220" w:hanging="572"/>
        <w:spacing w:after="0" w:line="286" w:lineRule="auto"/>
        <w:tabs>
          <w:tab w:leader="none" w:pos="11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5"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1160" w:right="60" w:hanging="572"/>
        <w:spacing w:after="0" w:line="286" w:lineRule="auto"/>
        <w:tabs>
          <w:tab w:leader="none" w:pos="11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ind w:left="1160"/>
        <w:spacing w:after="0"/>
        <w:rPr>
          <w:sz w:val="20"/>
          <w:szCs w:val="20"/>
          <w:color w:val="auto"/>
        </w:rPr>
      </w:pPr>
      <w:r>
        <w:rPr>
          <w:rFonts w:ascii="Arial" w:cs="Arial" w:eastAsia="Arial" w:hAnsi="Arial"/>
          <w:sz w:val="18"/>
          <w:szCs w:val="18"/>
          <w:color w:val="auto"/>
        </w:rPr>
        <w:t>and, with respect to any criminal proceeding, had no reasonable cause to believe such person’s conduct was unlawful;</w:t>
      </w:r>
    </w:p>
    <w:p>
      <w:pPr>
        <w:spacing w:after="0" w:line="144" w:lineRule="exact"/>
        <w:rPr>
          <w:sz w:val="20"/>
          <w:szCs w:val="20"/>
          <w:color w:val="auto"/>
        </w:rPr>
      </w:pPr>
    </w:p>
    <w:p>
      <w:pPr>
        <w:ind w:left="1160" w:hanging="572"/>
        <w:spacing w:after="0"/>
        <w:tabs>
          <w:tab w:leader="none" w:pos="11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67" w:lineRule="exact"/>
        <w:rPr>
          <w:rFonts w:ascii="Arial" w:cs="Arial" w:eastAsia="Arial" w:hAnsi="Arial"/>
          <w:sz w:val="16"/>
          <w:szCs w:val="16"/>
          <w:color w:val="auto"/>
        </w:rPr>
      </w:pPr>
    </w:p>
    <w:p>
      <w:pPr>
        <w:jc w:val="both"/>
        <w:ind w:left="1160" w:right="40" w:hanging="572"/>
        <w:spacing w:after="0" w:line="342" w:lineRule="auto"/>
        <w:tabs>
          <w:tab w:leader="none" w:pos="11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160" w:right="200" w:hanging="572"/>
        <w:spacing w:after="0" w:line="308" w:lineRule="auto"/>
        <w:tabs>
          <w:tab w:leader="none" w:pos="11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38" w:lineRule="exact"/>
        <w:rPr>
          <w:rFonts w:ascii="Arial" w:cs="Arial" w:eastAsia="Arial" w:hAnsi="Arial"/>
          <w:sz w:val="17"/>
          <w:szCs w:val="17"/>
          <w:color w:val="auto"/>
        </w:rPr>
      </w:pPr>
    </w:p>
    <w:p>
      <w:pPr>
        <w:ind w:left="1160" w:right="400" w:hanging="572"/>
        <w:spacing w:after="0" w:line="342" w:lineRule="auto"/>
        <w:tabs>
          <w:tab w:leader="none" w:pos="11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15" w:lineRule="exact"/>
        <w:rPr>
          <w:rFonts w:ascii="Arial" w:cs="Arial" w:eastAsia="Arial" w:hAnsi="Arial"/>
          <w:sz w:val="16"/>
          <w:szCs w:val="16"/>
          <w:color w:val="auto"/>
        </w:rPr>
      </w:pPr>
    </w:p>
    <w:p>
      <w:pPr>
        <w:ind w:left="1160" w:hanging="572"/>
        <w:spacing w:after="0" w:line="277"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140"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ind w:right="120"/>
        <w:spacing w:after="0" w:line="272" w:lineRule="auto"/>
        <w:rPr>
          <w:sz w:val="20"/>
          <w:szCs w:val="20"/>
          <w:color w:val="auto"/>
        </w:rPr>
      </w:pPr>
      <w:r>
        <w:rPr>
          <w:rFonts w:ascii="Arial" w:cs="Arial" w:eastAsia="Arial" w:hAnsi="Arial"/>
          <w:sz w:val="17"/>
          <w:szCs w:val="17"/>
          <w:color w:val="auto"/>
        </w:rPr>
        <w:t>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such as the 2008 global financial crisis, could result in a variety of risks to our business, including, weakened demand for any drug candidates we may develop and our ability to raise additional capital when needed on acceptable terms, if at all. A weak or declining economy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40"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161"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87"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 w:lineRule="exact"/>
        <w:rPr>
          <w:sz w:val="20"/>
          <w:szCs w:val="20"/>
          <w:color w:val="auto"/>
        </w:rPr>
      </w:pPr>
    </w:p>
    <w:p>
      <w:pPr>
        <w:jc w:val="both"/>
        <w:ind w:right="20" w:firstLine="589"/>
        <w:spacing w:after="0" w:line="253"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3" w:name="page104"/>
    <w:bookmarkEnd w:id="103"/>
    <w:p>
      <w:pPr>
        <w:ind w:right="60"/>
        <w:spacing w:after="0" w:line="259" w:lineRule="auto"/>
        <w:rPr>
          <w:sz w:val="20"/>
          <w:szCs w:val="20"/>
          <w:color w:val="auto"/>
        </w:rPr>
      </w:pPr>
      <w:r>
        <w:rPr>
          <w:rFonts w:ascii="Arial" w:cs="Arial" w:eastAsia="Arial" w:hAnsi="Arial"/>
          <w:sz w:val="18"/>
          <w:szCs w:val="18"/>
          <w:color w:val="auto"/>
        </w:rPr>
        <w:t>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87"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62"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18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76"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ind w:right="220"/>
        <w:spacing w:after="0" w:line="271" w:lineRule="auto"/>
        <w:rPr>
          <w:sz w:val="20"/>
          <w:szCs w:val="20"/>
          <w:color w:val="auto"/>
        </w:rPr>
      </w:pPr>
      <w:r>
        <w:rPr>
          <w:rFonts w:ascii="Arial" w:cs="Arial" w:eastAsia="Arial" w:hAnsi="Arial"/>
          <w:sz w:val="17"/>
          <w:szCs w:val="17"/>
          <w:color w:val="auto"/>
        </w:rPr>
        <w:t>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166"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5" w:name="page106"/>
    <w:bookmarkEnd w:id="105"/>
    <w:p>
      <w:pPr>
        <w:ind w:right="200"/>
        <w:spacing w:after="0" w:line="277" w:lineRule="auto"/>
        <w:rPr>
          <w:sz w:val="20"/>
          <w:szCs w:val="20"/>
          <w:color w:val="auto"/>
        </w:rPr>
      </w:pPr>
      <w:r>
        <w:rPr>
          <w:rFonts w:ascii="Arial" w:cs="Arial" w:eastAsia="Arial" w:hAnsi="Arial"/>
          <w:sz w:val="18"/>
          <w:szCs w:val="18"/>
          <w:color w:val="auto"/>
        </w:rPr>
        <w:t>copyrights or other intellectual property may be ineffective and could result in substantial costs and diversion of resources and could adversely affect our business, financial condition, results of operations and prospects.</w:t>
      </w:r>
    </w:p>
    <w:p>
      <w:pPr>
        <w:spacing w:after="0" w:line="17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38"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w:t>
      </w:r>
    </w:p>
    <w:p>
      <w:pPr>
        <w:spacing w:after="0" w:line="170"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6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62"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As a public company, we are incurring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6" w:name="page107"/>
    <w:bookmarkEnd w:id="106"/>
    <w:p>
      <w:pPr>
        <w:ind w:right="300"/>
        <w:spacing w:after="0" w:line="279" w:lineRule="auto"/>
        <w:rPr>
          <w:sz w:val="20"/>
          <w:szCs w:val="20"/>
          <w:color w:val="auto"/>
        </w:rPr>
      </w:pPr>
      <w:r>
        <w:rPr>
          <w:rFonts w:ascii="Arial" w:cs="Arial" w:eastAsia="Arial" w:hAnsi="Arial"/>
          <w:sz w:val="17"/>
          <w:szCs w:val="17"/>
          <w:color w:val="auto"/>
        </w:rPr>
        <w:t>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1"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 which could materially and adversely affect our results of operations.</w:t>
      </w:r>
    </w:p>
    <w:p>
      <w:pPr>
        <w:spacing w:after="0" w:line="140"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8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6"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Our corporate headquarters are located in South San Francisco, California, where we lease and occupy approximately 39,000 square feet of office and laboratory space. The current term of our South San Francisco lease expires in March 2027, with an option to extend the term through March 2035.</w:t>
      </w:r>
    </w:p>
    <w:p>
      <w:pPr>
        <w:spacing w:after="0" w:line="124" w:lineRule="exact"/>
        <w:rPr>
          <w:sz w:val="20"/>
          <w:szCs w:val="20"/>
          <w:color w:val="auto"/>
        </w:rPr>
      </w:pPr>
    </w:p>
    <w:p>
      <w:pPr>
        <w:ind w:right="420" w:firstLine="589"/>
        <w:spacing w:after="0" w:line="308" w:lineRule="auto"/>
        <w:rPr>
          <w:sz w:val="20"/>
          <w:szCs w:val="20"/>
          <w:color w:val="auto"/>
        </w:rPr>
      </w:pPr>
      <w:r>
        <w:rPr>
          <w:rFonts w:ascii="Arial" w:cs="Arial" w:eastAsia="Arial" w:hAnsi="Arial"/>
          <w:sz w:val="17"/>
          <w:szCs w:val="17"/>
          <w:color w:val="auto"/>
        </w:rPr>
        <w:t>We also have an office in Leuven, Belgium, where we lease and occupy approximately 5,400 square feet of office and laboratory space. The current term of our Leuven, Belgium lease expires in August 2023, with an option to extend the term through August 2028.</w:t>
      </w:r>
    </w:p>
    <w:p>
      <w:pPr>
        <w:spacing w:after="0" w:line="146"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lease all of our facilities and do not own any real property.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From time to time, we may become involved in litigation or other legal proceedings. While the outcome of any such proceedings cannot be predicted with certainty, as of December 31, 2020, we were not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0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“ALGS” since October 20, 2020. Prior to that date, there was no public trading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80" w:firstLine="589"/>
        <w:spacing w:after="0" w:line="286" w:lineRule="auto"/>
        <w:rPr>
          <w:sz w:val="20"/>
          <w:szCs w:val="20"/>
          <w:color w:val="auto"/>
        </w:rPr>
      </w:pPr>
      <w:r>
        <w:rPr>
          <w:rFonts w:ascii="Arial" w:cs="Arial" w:eastAsia="Arial" w:hAnsi="Arial"/>
          <w:sz w:val="17"/>
          <w:szCs w:val="17"/>
          <w:color w:val="auto"/>
        </w:rPr>
        <w:t>As of February 28, 2021, there were 99 holders of record of our common stock, which consist of 97 holders of record of our voting common stock and 2 holdings of record of our non-voting common stock. The actual number of stockholders is greater than this number of record holders, and includes stockholders who are beneficial owners, but whose shares are held in street name by brokers and other nominees.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have never declared or paid any cash dividend on our common stock. We do not expect to declare or pay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which will be filed with the SEC no later than 120 days after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From January 1, 2020 through December 31, 2020, we sold and issued the following unregistered securities:</w:t>
      </w:r>
    </w:p>
    <w:p>
      <w:pPr>
        <w:spacing w:after="0" w:line="347" w:lineRule="exact"/>
        <w:rPr>
          <w:sz w:val="20"/>
          <w:szCs w:val="20"/>
          <w:color w:val="auto"/>
        </w:rPr>
      </w:pPr>
    </w:p>
    <w:p>
      <w:pPr>
        <w:ind w:left="1700" w:right="80" w:hanging="842"/>
        <w:spacing w:after="0" w:line="277" w:lineRule="auto"/>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October 2020, we issued an aggregate of 3,569,630 shares of Series B-2 redeemable convertible preferred stock to 38 accredited investors at a price per share of $11.20563 for aggregate proceeds to us of $40 million.</w:t>
      </w:r>
    </w:p>
    <w:p>
      <w:pPr>
        <w:spacing w:after="0" w:line="170" w:lineRule="exact"/>
        <w:rPr>
          <w:rFonts w:ascii="Arial" w:cs="Arial" w:eastAsia="Arial" w:hAnsi="Arial"/>
          <w:sz w:val="18"/>
          <w:szCs w:val="18"/>
          <w:color w:val="auto"/>
        </w:rPr>
      </w:pPr>
    </w:p>
    <w:p>
      <w:pPr>
        <w:ind w:left="1700" w:right="20" w:hanging="842"/>
        <w:spacing w:after="0" w:line="277" w:lineRule="auto"/>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issued an aggregate of 120,702 shares of Series A redeemable convertible preferred stock common stock, at an exercise price of $9.3197 per share upon the exercise of warrants.</w:t>
      </w:r>
    </w:p>
    <w:p>
      <w:pPr>
        <w:spacing w:after="0" w:line="170" w:lineRule="exact"/>
        <w:rPr>
          <w:rFonts w:ascii="Arial" w:cs="Arial" w:eastAsia="Arial" w:hAnsi="Arial"/>
          <w:sz w:val="18"/>
          <w:szCs w:val="18"/>
          <w:color w:val="auto"/>
        </w:rPr>
      </w:pPr>
    </w:p>
    <w:p>
      <w:pPr>
        <w:jc w:val="both"/>
        <w:ind w:left="1700" w:right="240" w:hanging="842"/>
        <w:spacing w:after="0" w:line="263" w:lineRule="auto"/>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granted stock options and stock awards to employees, directors and consultants covering an aggregate of 5,382,362 shares of common stock, at a weighted-average exercise price of $11.42 per share. Of these, options covering an aggregate of 6,472 shares were cancelled or forfeited without being exercised.</w:t>
      </w:r>
    </w:p>
    <w:p>
      <w:pPr>
        <w:spacing w:after="0" w:line="183" w:lineRule="exact"/>
        <w:rPr>
          <w:rFonts w:ascii="Arial" w:cs="Arial" w:eastAsia="Arial" w:hAnsi="Arial"/>
          <w:sz w:val="18"/>
          <w:szCs w:val="18"/>
          <w:color w:val="auto"/>
        </w:rPr>
      </w:pPr>
    </w:p>
    <w:p>
      <w:pPr>
        <w:ind w:left="1700" w:right="400" w:hanging="842"/>
        <w:spacing w:after="0" w:line="277" w:lineRule="auto"/>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sold an aggregate of 188,675 shares of common stock to employees, directors and consultants for cash consideration in the aggregate amount of $0.3 million pursuant to stock options and restricted stock awards.</w:t>
      </w:r>
    </w:p>
    <w:p>
      <w:pPr>
        <w:spacing w:after="0" w:line="17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No underwriters were involved in the foregoing sales of securities. The issuance described in paragraph (1) above was undertaken in reliance upon the exemption from registration requirements of Section 4(a)(2) of the Securities Act of 1933, as amended, including Rule 506 of the Securities Act. The recipients of these shares of common stock represented their intentions to acquire the shares for investment only and not with a view to or for sale in connection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line="257" w:lineRule="auto"/>
        <w:rPr>
          <w:sz w:val="20"/>
          <w:szCs w:val="20"/>
          <w:color w:val="auto"/>
        </w:rPr>
      </w:pPr>
      <w:r>
        <w:rPr>
          <w:rFonts w:ascii="Arial" w:cs="Arial" w:eastAsia="Arial" w:hAnsi="Arial"/>
          <w:sz w:val="18"/>
          <w:szCs w:val="18"/>
          <w:color w:val="auto"/>
        </w:rPr>
        <w:t>with any distribution, and appropriate restrictions were set out in the applicable agreements issued in these transactions. All recipients had adequate access, through their relationships with us, to information about us. The issuances described in paragraphs (2)-(3) were undertaken in reliance upon the exemption from registration requirements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337" w:lineRule="exact"/>
        <w:rPr>
          <w:sz w:val="20"/>
          <w:szCs w:val="20"/>
          <w:color w:val="auto"/>
        </w:rPr>
      </w:pPr>
    </w:p>
    <w:p>
      <w:pPr>
        <w:ind w:right="20" w:firstLine="864"/>
        <w:spacing w:after="0" w:line="291" w:lineRule="auto"/>
        <w:rPr>
          <w:sz w:val="20"/>
          <w:szCs w:val="20"/>
          <w:color w:val="auto"/>
        </w:rPr>
      </w:pPr>
      <w:r>
        <w:rPr>
          <w:rFonts w:ascii="Arial" w:cs="Arial" w:eastAsia="Arial" w:hAnsi="Arial"/>
          <w:sz w:val="16"/>
          <w:szCs w:val="16"/>
          <w:color w:val="auto"/>
        </w:rPr>
        <w:t>On October 15, 2020, our registration statement on Form S-1 (File No. 333-249077) relating to our IPO of Common Stock became effective. The IPO closed on October 20, 2020, at which time we issued 10 million shares of common stock at a price to the public of $15.00 per share. We received net proceeds from the IPO of approximately $135.4 million, after deducting the underwriting discounts and commissions of $10.5 million and expenses of $4.1 million. None of the expenses associated with the IPO were paid to directors, officers, persons owning 10% or more of any class of equity securities, or to our affiliates. On November 5, 2020, the underwriters of the IPO partially exercised their overallotment option by purchasing an additional 1,150,000 shares from the Company at the IPO price, resulting in an additional $16.0 million in net proceeds after deducting the underwriting discounts and commissions. J.P. Morgan Securities LLC, Jefferies LLC, Piper Sandler &amp; Co. acted as joint book-running managers for the offering.</w:t>
      </w:r>
    </w:p>
    <w:p>
      <w:pPr>
        <w:spacing w:after="0" w:line="274" w:lineRule="exact"/>
        <w:rPr>
          <w:sz w:val="20"/>
          <w:szCs w:val="20"/>
          <w:color w:val="auto"/>
        </w:rPr>
      </w:pPr>
    </w:p>
    <w:p>
      <w:pPr>
        <w:ind w:right="240" w:firstLine="864"/>
        <w:spacing w:after="0" w:line="277" w:lineRule="auto"/>
        <w:rPr>
          <w:sz w:val="20"/>
          <w:szCs w:val="20"/>
          <w:color w:val="auto"/>
        </w:rPr>
      </w:pPr>
      <w:r>
        <w:rPr>
          <w:rFonts w:ascii="Arial" w:cs="Arial" w:eastAsia="Arial" w:hAnsi="Arial"/>
          <w:sz w:val="18"/>
          <w:szCs w:val="18"/>
          <w:color w:val="auto"/>
        </w:rPr>
        <w:t>There has been no material change in the planned use of our net IPO proceeds as described in our Prospectus filed with the SEC pursuant to Rule 424(b)(4) under the Securities Act on October 19,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60" w:firstLine="589"/>
        <w:spacing w:after="0" w:line="272" w:lineRule="auto"/>
        <w:rPr>
          <w:sz w:val="20"/>
          <w:szCs w:val="20"/>
          <w:color w:val="auto"/>
        </w:rPr>
      </w:pPr>
      <w:r>
        <w:rPr>
          <w:rFonts w:ascii="Arial" w:cs="Arial" w:eastAsia="Arial" w:hAnsi="Arial"/>
          <w:sz w:val="17"/>
          <w:szCs w:val="17"/>
          <w:i w:val="1"/>
          <w:iCs w:val="1"/>
          <w:color w:val="auto"/>
        </w:rPr>
        <w:t>You should read the selected historical consolidated financial data below in conjunction with the section titled “Management’s Discussion and Analysis of Financial Condition and Results of Operations” and the audited consolidated financial statements included elsewhere in this report. The selected consolidated financial data included in this section are not intended to replace the consolidated financial statements included elsewhere in this Annual Report on Form 10-K. We derived the selected consolidated statements of operations data for the years ended December 31, 2020, and 2019 and the selected consolidated balance sheet data at December 31, 2020 and 2019 from our audited consolidated financial statements included elsewhere in this report on Form 10-K. Our historical results are not necessarily indicative of the results that may be expected in the future. We refer to the year ended December 31, 2020 as “Fiscal 2020” and the year ended December 31, 2019 as “Fiscal 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420" w:type="dxa"/>
            <w:vAlign w:val="bottom"/>
            <w:gridSpan w:val="2"/>
          </w:tcPr>
          <w:p>
            <w:pPr>
              <w:ind w:left="76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Fiscal 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 2019</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Consolidated Statements of Operations Data:</w:t>
            </w:r>
          </w:p>
        </w:tc>
        <w:tc>
          <w:tcPr>
            <w:tcW w:w="13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expenses:(1)</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(97,834)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(54,043)</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(expense), net:</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income, net</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(loss) income, net</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interest and other income (expense), net</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(10,548)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(108,382)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(52,179)</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(108,543)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(52,264)</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loss per share:(2)(3)</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Weighted-average number of shares used in</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60" w:type="dxa"/>
            <w:vAlign w:val="bottom"/>
          </w:tcPr>
          <w:p>
            <w:pPr>
              <w:ind w:left="140"/>
              <w:spacing w:after="0"/>
              <w:rPr>
                <w:sz w:val="20"/>
                <w:szCs w:val="20"/>
                <w:color w:val="auto"/>
              </w:rPr>
            </w:pPr>
            <w:r>
              <w:rPr>
                <w:rFonts w:ascii="Arial" w:cs="Arial" w:eastAsia="Arial" w:hAnsi="Arial"/>
                <w:sz w:val="18"/>
                <w:szCs w:val="18"/>
                <w:color w:val="auto"/>
              </w:rPr>
              <w:t>computing net loss per share:(2)(3)</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9,988,191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380" w:type="dxa"/>
            <w:vAlign w:val="bottom"/>
          </w:tcPr>
          <w:p>
            <w:pPr>
              <w:jc w:val="right"/>
              <w:ind w:right="128"/>
              <w:spacing w:after="0"/>
              <w:rPr>
                <w:sz w:val="20"/>
                <w:szCs w:val="20"/>
                <w:color w:val="auto"/>
              </w:rPr>
            </w:pPr>
            <w:r>
              <w:rPr>
                <w:rFonts w:ascii="Arial" w:cs="Arial" w:eastAsia="Arial" w:hAnsi="Arial"/>
                <w:sz w:val="14"/>
                <w:szCs w:val="14"/>
                <w:color w:val="auto"/>
                <w:w w:val="93"/>
              </w:rPr>
              <w:t>(1)</w:t>
            </w:r>
          </w:p>
        </w:tc>
        <w:tc>
          <w:tcPr>
            <w:tcW w:w="5420" w:type="dxa"/>
            <w:vAlign w:val="bottom"/>
            <w:gridSpan w:val="2"/>
          </w:tcPr>
          <w:p>
            <w:pPr>
              <w:ind w:left="200"/>
              <w:spacing w:after="0"/>
              <w:rPr>
                <w:sz w:val="20"/>
                <w:szCs w:val="20"/>
                <w:color w:val="auto"/>
              </w:rPr>
            </w:pPr>
            <w:r>
              <w:rPr>
                <w:rFonts w:ascii="Arial" w:cs="Arial" w:eastAsia="Arial" w:hAnsi="Arial"/>
                <w:sz w:val="14"/>
                <w:szCs w:val="14"/>
                <w:color w:val="auto"/>
              </w:rPr>
              <w:t>Includes stock-based compensation as follows (in thousands):</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76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See Note 15 to our audited consolidated financial statements for an explanation of the calculations of our basic and diluted net loss per share, respectively.</w:t>
      </w:r>
    </w:p>
    <w:p>
      <w:pPr>
        <w:spacing w:after="0" w:line="95" w:lineRule="exact"/>
        <w:rPr>
          <w:rFonts w:ascii="Arial" w:cs="Arial" w:eastAsia="Arial" w:hAnsi="Arial"/>
          <w:sz w:val="14"/>
          <w:szCs w:val="14"/>
          <w:color w:val="auto"/>
        </w:rPr>
      </w:pPr>
    </w:p>
    <w:p>
      <w:pPr>
        <w:ind w:left="580" w:hanging="572"/>
        <w:spacing w:after="0"/>
        <w:tabs>
          <w:tab w:leader="none" w:pos="5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All share and per share amounts set forth in the table above have been adjusted to give retrospective effect to the 1-for-9.3197 reverse stock split effected on October 9,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Fiscal 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 2019</w:t>
            </w:r>
          </w:p>
        </w:tc>
        <w:tc>
          <w:tcPr>
            <w:tcW w:w="128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9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Consolidated Balance Sheet Data:</w:t>
            </w:r>
          </w:p>
        </w:tc>
        <w:tc>
          <w:tcPr>
            <w:tcW w:w="2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8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2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243,513</w:t>
            </w:r>
          </w:p>
        </w:tc>
        <w:tc>
          <w:tcPr>
            <w:tcW w:w="12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127,682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106,408</w:t>
            </w:r>
          </w:p>
        </w:tc>
        <w:tc>
          <w:tcPr>
            <w:tcW w:w="100" w:type="dxa"/>
            <w:vAlign w:val="bottom"/>
            <w:shd w:val="clear" w:color="auto" w:fill="CFF0FC"/>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265,302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146,520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13,818</w:t>
            </w:r>
          </w:p>
        </w:tc>
        <w:tc>
          <w:tcPr>
            <w:tcW w:w="100" w:type="dxa"/>
            <w:vAlign w:val="bottom"/>
            <w:shd w:val="clear" w:color="auto" w:fill="CFF0FC"/>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liabilities</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100" w:type="dxa"/>
            <w:vAlign w:val="bottom"/>
            <w:shd w:val="clear" w:color="auto" w:fill="CFF0FC"/>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11,701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182,079</w:t>
            </w:r>
          </w:p>
        </w:tc>
        <w:tc>
          <w:tcPr>
            <w:tcW w:w="100" w:type="dxa"/>
            <w:vAlign w:val="bottom"/>
            <w:shd w:val="clear" w:color="auto" w:fill="CFF0FC"/>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Accumulated deficit</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(174,740)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(66,197)</w:t>
            </w:r>
          </w:p>
        </w:tc>
        <w:tc>
          <w:tcPr>
            <w:tcW w:w="12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2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(64,891)</w:t>
            </w:r>
          </w:p>
        </w:tc>
        <w:tc>
          <w:tcPr>
            <w:tcW w:w="1280" w:type="dxa"/>
            <w:vAlign w:val="bottom"/>
          </w:tcPr>
          <w:p>
            <w:pPr>
              <w:spacing w:after="0"/>
              <w:rPr>
                <w:sz w:val="19"/>
                <w:szCs w:val="19"/>
                <w:color w:val="auto"/>
              </w:rPr>
            </w:pPr>
          </w:p>
        </w:tc>
      </w:tr>
      <w:tr>
        <w:trPr>
          <w:trHeight w:val="527"/>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140" w:type="dxa"/>
            <w:vAlign w:val="bottom"/>
          </w:tcPr>
          <w:p>
            <w:pPr>
              <w:jc w:val="right"/>
              <w:ind w:right="133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“Special note regarding forward-looking statements” and “Risk Factors” and elsewhere in this Annual Report on Form 10-K. Our fiscal year ends on December 31 each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17" w:lineRule="exact"/>
        <w:rPr>
          <w:sz w:val="20"/>
          <w:szCs w:val="20"/>
          <w:color w:val="auto"/>
        </w:rPr>
      </w:pPr>
      <w:r>
        <w:rPr>
          <w:rFonts w:ascii="Arial" w:cs="Arial" w:eastAsia="Arial" w:hAnsi="Arial"/>
          <w:sz w:val="17"/>
          <w:szCs w:val="17"/>
          <w:color w:val="auto"/>
        </w:rPr>
        <w:t>We are a clinical-stage biopharmaceutical company currently focused on developing novel therapeutics to address unmet medical needs in viral and liver diseases. We utilize our proprietary oligonucleotide and small molecule platforms to develop pharmacologically optimized drug candidates for use in combination regimens designed to achieve improved treatment outcomes. Our lead effort is to develop a functional cure for Chronic Hepatitis B (CHB), which often results in other life-threatening conditions such as cirrhosis, end-stage liver disease (ESLD) and the most common form of liver cancer, hepatocellular carcinoma (HCC). The most widely used treatment for CHB, nucleos(t)ide analogs, suppresses viral replication but only achieves low rates of functional cure and often requires long-term administration. To address this issue, we have developed a portfolio of differentiated drug candidates for CHB, including an S-antigen Transport-inhibiting Oligonucleotide Polymers (STOPS) molecule, a small molecule Capsid Assembly Modulator (CAM), and oligonucleotides (ASO and siRNA), each of which is designed against clinically validated targets in the Hepatitis B Virus (HBV) life cycle. We believe that combination regimens utilizing our portfolio of CHB drug candidates may lead to higher rates of functional cure. Phase 1 proof of concept trials evaluating the properties of our STOPS molecule and CAM are ongoing in New Zealand and each of such candidates has been approved to commence clinical trials in Hong Kong and Moldova. We may also in the future conduct clinical trials for our STOPS molecule and CAM and other drug candidates in other countries and territories, including South Korea, the United Kingdom, and China. Our second area of focus is in non-alcoholic steatohepatitis (NASH), a complex, chronic liver disease where combination regimens may likewise prove beneficial. Our most advanced drug candidate for NASH is ALG</w:t>
      </w:r>
      <w:r>
        <w:rPr>
          <w:rFonts w:ascii="MS PGothic" w:cs="MS PGothic" w:eastAsia="MS PGothic" w:hAnsi="MS PGothic"/>
          <w:sz w:val="17"/>
          <w:szCs w:val="17"/>
          <w:color w:val="auto"/>
        </w:rPr>
        <w:t>‑</w:t>
      </w:r>
      <w:r>
        <w:rPr>
          <w:rFonts w:ascii="Arial" w:cs="Arial" w:eastAsia="Arial" w:hAnsi="Arial"/>
          <w:sz w:val="17"/>
          <w:szCs w:val="17"/>
          <w:color w:val="auto"/>
        </w:rPr>
        <w:t>055009, a small molecule THR-ß agonist currently in nonclinical studies to enable a first-in-human clinical trial. We believe ALG</w:t>
      </w:r>
      <w:r>
        <w:rPr>
          <w:rFonts w:ascii="MS PGothic" w:cs="MS PGothic" w:eastAsia="MS PGothic" w:hAnsi="MS PGothic"/>
          <w:sz w:val="17"/>
          <w:szCs w:val="17"/>
          <w:color w:val="auto"/>
        </w:rPr>
        <w:t>‑</w:t>
      </w:r>
      <w:r>
        <w:rPr>
          <w:rFonts w:ascii="Arial" w:cs="Arial" w:eastAsia="Arial" w:hAnsi="Arial"/>
          <w:sz w:val="17"/>
          <w:szCs w:val="17"/>
          <w:color w:val="auto"/>
        </w:rPr>
        <w:t>055009 has the potential to become an integral component of future combination regimens for NASH. Our third area of focus is to develop drug candidates with pan-coronavirus activity, including SARS-CoV-2, the virus responsible for COVID-19.</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October 2020, we completed our initial public offering (IPO) and issued 10,000,000 shares of our common stock at a price to the public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$15.00 per share for net proceeds of $135.4 million, after deducting underwriting discounts and commissions of $10.5 million and estimated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$4.1 million. In connection with the IPO, all shares of Series A, Series B-1 and Series B-2 redeemable convertible preferred stock converted into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19,761,870 shares of voting common stock and 3,092,338 shares of non-voting common stock. On November 5, 2020, the underwriters of the IPO partially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exercised their overallotment option by purchasing an additional 1,150,000 shares from the Company, resulting in an additional $16.0 million,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deducting underwriting discounts and commissions of $1.2 million. Prior to our IPO, we had received gross proceeds of approximately $186.9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of our preferred stock and our issuance of convertible debt.</w:t>
      </w:r>
    </w:p>
    <w:p>
      <w:pPr>
        <w:spacing w:after="0" w:line="211"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We have incurred net losses and negative cash flows from operations in each year since our formation in February 2018. Our net losses were $108.5 million and $52.3 million for the years ended December 31, 2020 and December 31, 2019, respectively. We have had no revenue from product sales. As of December 31, 2020, we had an accumulated deficit of $174.7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salesforce and outsource a substantial portion of our clinical trial work to third parties.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We rely substantially on third parties to conduct our discovery activities, nonclinical studies, clinical trials and manufacturing. We primarily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80" w:lineRule="exact"/>
        <w:rPr>
          <w:sz w:val="20"/>
          <w:szCs w:val="20"/>
          <w:color w:val="auto"/>
        </w:rPr>
      </w:pPr>
    </w:p>
    <w:p>
      <w:pPr>
        <w:ind w:left="1160" w:right="28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salaries, benefits and other employee-related costs, including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and related travel expenses;</w:t>
      </w:r>
    </w:p>
    <w:p>
      <w:pPr>
        <w:spacing w:after="0" w:line="144"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associated with in-process research and development, including license fees and milestones paid to third-party collaborators for technologies with no alternative use;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expenses incurred under agreements with collaborators that perform nonclinical activities;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1160" w:right="700" w:hanging="572"/>
        <w:spacing w:after="0" w:line="277"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insurance, and other supplies.</w:t>
      </w:r>
    </w:p>
    <w:p>
      <w:pPr>
        <w:spacing w:after="0" w:line="170" w:lineRule="exact"/>
        <w:rPr>
          <w:sz w:val="20"/>
          <w:szCs w:val="20"/>
          <w:color w:val="auto"/>
        </w:rPr>
      </w:pPr>
    </w:p>
    <w:p>
      <w:pPr>
        <w:ind w:right="320" w:firstLine="589"/>
        <w:spacing w:after="0" w:line="311" w:lineRule="auto"/>
        <w:rPr>
          <w:sz w:val="20"/>
          <w:szCs w:val="20"/>
          <w:color w:val="auto"/>
        </w:rPr>
      </w:pPr>
      <w:r>
        <w:rPr>
          <w:rFonts w:ascii="Arial" w:cs="Arial" w:eastAsia="Arial" w:hAnsi="Arial"/>
          <w:sz w:val="16"/>
          <w:szCs w:val="16"/>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49"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We expect our research and development costs to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8"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also expect to incur increased expenses associated with operating as a public company, including costs of accounting, audit, legal, regulatory and tax-related services associated with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3" w:name="page114"/>
    <w:bookmarkEnd w:id="113"/>
    <w:p>
      <w:pPr>
        <w:spacing w:after="0" w:line="277" w:lineRule="auto"/>
        <w:rPr>
          <w:sz w:val="20"/>
          <w:szCs w:val="20"/>
          <w:color w:val="auto"/>
        </w:rPr>
      </w:pPr>
      <w:r>
        <w:rPr>
          <w:rFonts w:ascii="Arial" w:cs="Arial" w:eastAsia="Arial" w:hAnsi="Arial"/>
          <w:sz w:val="18"/>
          <w:szCs w:val="18"/>
          <w:color w:val="auto"/>
        </w:rPr>
        <w:t>maintaining compliance with exchange listing rules and requirements of the Securities and Exchange Commission (the SEC), director and officer insurance costs, and investor and public relations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income, net</w:t>
      </w:r>
    </w:p>
    <w:p>
      <w:pPr>
        <w:spacing w:after="0" w:line="117"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color w:val="auto"/>
        </w:rPr>
        <w:t>Interest and other (expense) income, net comprises interest (expense) income, net and other income (expense), net. Interest income (expense), net primarily consists of interest earned on our cash, cash equivalents, and short-term investments and interest expense related to our convertible preferred stock liability and warrants. Other (expense) income, net consists primarily of the change in fair value of our derivative liabilities.</w:t>
      </w:r>
    </w:p>
    <w:p>
      <w:pPr>
        <w:spacing w:after="0" w:line="149"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We classified our warrants and the commitment to sell redeemable convertible preferred stock as liabilities on our consolidated balance sheets and recorded changes in fair value at each balance sheet date with the corresponding change recorded as other income (expense), net. Prior to our IPO, all outstanding warrants were exercised for the issuance of shares of common stock and, upon that exercise, such warrants were no longer outstanding. Similarly, the redeemable convertible preferred stock liability was converted to common stock.</w:t>
      </w:r>
    </w:p>
    <w:p>
      <w:pPr>
        <w:spacing w:after="0" w:line="171"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We do not anticipate other (expense) income, net to fluctuate in the future due to the conversion of the redeemable convertible preferred stock liability prior to our IPO.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Since our inception in 2018, we have not recorded any U.S. federal or state income tax benefits for the net losses we have incurred in any year or for our earned research and development tax credits, due to our uncertainty of realizing a benefit from those items. As of December 31, 2020, we had federal net operating loss (NOL) carryforwards of $149.5 million available to reduce taxable income and these NOLs can be carried forward indefinitely. We have state NOL carryforwards of $153.0 million as of December 31, 2020, available to reduce future state taxable income, which expire at various dates beginning in 2038. As of December 31, 2020, we also had federal and state research and development tax credit carryforwards of $4.1 million and $2.1 million, respectively. The federal development tax credit carryforwards begin to expire in 2038, while the state development tax credit carryforwards can be carried forward indefinitely. Under Sections 382 and 383 of the Code, and corresponding provisions of state law, if a corporation undergoes an “ownership change” (generally defined as a greater than 50 percentage point change (by value) in its equity ownership over a rolling three-year period), the corporation’s ability to use its pre-change NOL carryforwards and other pre-change tax attributes to offset its post-change income may be limited. We performed an IRC Section 382 analysis in 2020 and determined there was an ownership change that resulted in Section 382 limitations. The ownership change limited our ability to utilize net operating losses against future taxable income but will not result in the expiration of any NOLs. We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operating expenses for the years ended December 31, 2020 and 2019: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Fiscal 2020</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Fiscal 2019</w:t>
            </w:r>
          </w:p>
        </w:tc>
        <w:tc>
          <w:tcPr>
            <w:tcW w:w="280" w:type="dxa"/>
            <w:vAlign w:val="bottom"/>
          </w:tcPr>
          <w:p>
            <w:pPr>
              <w:spacing w:after="0"/>
              <w:rPr>
                <w:sz w:val="14"/>
                <w:szCs w:val="14"/>
                <w:color w:val="auto"/>
              </w:rPr>
            </w:pPr>
          </w:p>
        </w:tc>
        <w:tc>
          <w:tcPr>
            <w:tcW w:w="124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51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79,890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44,038</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35,852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97,834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54,043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43,791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(97,834)</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(54,043)</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(43,791)</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Other (loss) income, net</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(11,804)</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(12,106)</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(4,009)%</w:t>
            </w: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 interest and other income (expense), net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(10,548)</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(12,412)</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(666)%</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(108,382)</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(52,179)</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(56,203)</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(108,543)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(52,264)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(56,279)</w:t>
            </w: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589"/>
        <w:spacing w:after="0" w:line="275" w:lineRule="auto"/>
        <w:rPr>
          <w:sz w:val="20"/>
          <w:szCs w:val="20"/>
          <w:color w:val="auto"/>
        </w:rPr>
      </w:pPr>
      <w:r>
        <w:rPr>
          <w:rFonts w:ascii="Arial" w:cs="Arial" w:eastAsia="Arial" w:hAnsi="Arial"/>
          <w:sz w:val="17"/>
          <w:szCs w:val="17"/>
          <w:color w:val="auto"/>
        </w:rPr>
        <w:t>Research and development expenses were $79.9 million for the year ended December 31, 2020, compared to $44.0 million for the year ended December 31, 2019, an increase of $35.9 million. The increase was primarily due to an increase of $25.2 million in third-party expenses for our preclinical programs related to research activities as well as development costs associated with our STOPs molecule and CAM candidate. The increase also includes $8.4 million of additional employee-related costs, including a $0.6 million increase in stock-based compensation. Additionally, there is a $0.7 million of increased laboratory supplies and an increase of $0.5 million in depreciation and other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General and administrative expenses were $17.9 million for the year ended December 31, 2020, compared to $10.0 million for the year ended December 31, 2019, an increase of $7.9 million. The increase was primarily due to $2.5 million increase in third party costs and a $2.6 million in increased personnel-related costs primarily due to general and administrative headcount to support the growth of our research and development organization, including an increase of $1.6 million of additional stock-based compensation expense. Additionally, there was a $1.0 million increase in consulting services due to our IPO, a $0.9 million increase in depreciation, and a $1.0 million increase in general costs due to D&amp;O insurance and other public company expenses.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117"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Interest income, net decreased to $1.3 million for the year ended December 31, 2020 from $1.6 million for the year ended December 31, 2019, a decrease in $0.3 million, primarily due to the change in our portfolio of cash equivalents, short-term investments and long-term investments as well as general decrease in interest rates during the year ended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(loss) income, net</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Other (loss) income, net decreased to a loss of $11.8 million for the year ended December 31, 2020 from income of $0.3 million for the year ended December 31, 2019, a decrease of $12.1 million, primarily due to the loss recognized on the net increase in fair value of both our redeemable convertible preferred stock liability and warrant liabilities prior to the IPO.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have incurred net losses since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w:t>
      </w:r>
    </w:p>
    <w:p>
      <w:pPr>
        <w:spacing w:after="0" w:line="184"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Our operations have been financed primarily by net proceeds from the sale and issuance of our convertible preferred stock, net proceeds from our IPO, and the issuance of convertible debt. In October 2020, we issued an aggregate of 3,569,630 shares of our Series B-2 redeemable convertible preferred stock in the second tranche of our Series B convertible preferred stock financing for aggregate proceeds of $40.0 million. On October 20, 2020, we closed our IPO and issued 10,000,000 shares of our common stock at a price to the public of $15.00 per share for net proceeds of $135.4 million, after deducting underwriting discounts and commissions of $10.5 million and expenses of $4.1 million. On November 5, 2020, the underwriters of the IPO partially exercised their overallotment option by purchasing an additional 1,150,000 shares from the Company, resulting in an additional $16.0 million, after deducting underwriting discounts and commissions of $1.2 million.</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2020, we had cash, cash equivalents and investments of $243.5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most advanced drug candidates, ALG-010133 and ALG-000184, which are still in the early stages of development, as well as our research and development of our other drug candidates within our CHB, NASH and coronavirus programs.</w:t>
      </w:r>
    </w:p>
    <w:p>
      <w:pPr>
        <w:spacing w:after="0" w:line="15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In addition, we are incurring additional costs associated with operating as a public company following our IPO in October 2020. We expect that our expenses will increase substantially to the extent we:</w:t>
      </w:r>
    </w:p>
    <w:p>
      <w:pPr>
        <w:spacing w:after="0" w:line="62" w:lineRule="exact"/>
        <w:rPr>
          <w:sz w:val="20"/>
          <w:szCs w:val="20"/>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conduct our current and future clinical trials, and additional nonclinical studies;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initiate and continue research and nonclinical and clinical development of other drug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seek to identify additional drug candidates;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pursue marketing approvals for any of our drug candidates that successfully complete clinical trials, if any;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67" w:lineRule="exact"/>
        <w:rPr>
          <w:rFonts w:ascii="Arial" w:cs="Arial" w:eastAsia="Arial" w:hAnsi="Arial"/>
          <w:sz w:val="16"/>
          <w:szCs w:val="16"/>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drug candidates for clinical development and potentially commercialization;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achieve milestones triggering payments by us under our current and potential future licensing and/or collaboration agreements;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build out or expand existing facilities to support our ongoing development activity; and</w:t>
      </w:r>
    </w:p>
    <w:p>
      <w:pPr>
        <w:spacing w:after="0" w:line="144"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any future commercialization efforts and our transition to becoming a public company.</w:t>
      </w:r>
    </w:p>
    <w:p>
      <w:pPr>
        <w:spacing w:after="0" w:line="170"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We believe that our existing cash, cash equivalents and investments will enable us to fund our planned operating expenses and capital expenditure requirements through at least the twelve months from the date of issuing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6" w:name="page117"/>
    <w:bookmarkEnd w:id="116"/>
    <w:p>
      <w:pPr>
        <w:ind w:right="320"/>
        <w:spacing w:after="0" w:line="308" w:lineRule="auto"/>
        <w:rPr>
          <w:sz w:val="20"/>
          <w:szCs w:val="20"/>
          <w:color w:val="auto"/>
        </w:rPr>
      </w:pPr>
      <w:r>
        <w:rPr>
          <w:rFonts w:ascii="Arial" w:cs="Arial" w:eastAsia="Arial" w:hAnsi="Arial"/>
          <w:sz w:val="17"/>
          <w:szCs w:val="17"/>
          <w:color w:val="auto"/>
        </w:rPr>
        <w:t>our financial statements.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146"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9" w:lineRule="exact"/>
        <w:rPr>
          <w:sz w:val="20"/>
          <w:szCs w:val="20"/>
          <w:color w:val="auto"/>
        </w:rPr>
      </w:pPr>
    </w:p>
    <w:p>
      <w:pPr>
        <w:ind w:left="1160" w:right="460" w:hanging="572"/>
        <w:spacing w:after="0" w:line="277"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55" w:lineRule="exact"/>
        <w:rPr>
          <w:rFonts w:ascii="Arial" w:cs="Arial" w:eastAsia="Arial" w:hAnsi="Arial"/>
          <w:sz w:val="17"/>
          <w:szCs w:val="17"/>
          <w:color w:val="auto"/>
        </w:rPr>
      </w:pPr>
    </w:p>
    <w:p>
      <w:pPr>
        <w:jc w:val="both"/>
        <w:ind w:left="1160" w:right="240" w:hanging="572"/>
        <w:spacing w:after="0" w:line="263"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5" w:lineRule="exact"/>
        <w:rPr>
          <w:rFonts w:ascii="Arial" w:cs="Arial" w:eastAsia="Arial" w:hAnsi="Arial"/>
          <w:sz w:val="18"/>
          <w:szCs w:val="18"/>
          <w:color w:val="auto"/>
        </w:rPr>
      </w:pPr>
    </w:p>
    <w:p>
      <w:pPr>
        <w:ind w:left="1160" w:right="1120" w:hanging="572"/>
        <w:spacing w:after="0" w:line="277"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44"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52"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61"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ownership interest may be diluted, and the terms of these securities may include liquidation or other preferences and anti-dilution protections that could adversely affect the rights of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ownership interest.</w:t>
      </w:r>
    </w:p>
    <w:p>
      <w:pPr>
        <w:spacing w:after="0" w:line="178"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00" w:lineRule="exact"/>
        <w:rPr>
          <w:sz w:val="20"/>
          <w:szCs w:val="20"/>
          <w:color w:val="auto"/>
        </w:rPr>
      </w:pPr>
    </w:p>
    <w:p>
      <w:pPr>
        <w:spacing w:after="0" w:line="26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2020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2019</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(46,767)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6,791</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192,348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85,532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150,840</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45,556</w:t>
            </w:r>
          </w:p>
        </w:tc>
        <w:tc>
          <w:tcPr>
            <w:tcW w:w="80" w:type="dxa"/>
            <w:vAlign w:val="bottom"/>
            <w:shd w:val="clear" w:color="auto" w:fill="CFF0FC"/>
          </w:tcPr>
          <w:p>
            <w:pPr>
              <w:spacing w:after="0"/>
              <w:rPr>
                <w:sz w:val="20"/>
                <w:szCs w:val="20"/>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During Fiscal 2020, operating activities used $74.3 million of cash, primarily resulting from our net loss of $108.5 million, partially offset by non-cash charges of $18.2 million and cash provided by changes in our operating assets and liabilities of $16.1 million. Net cash provided by changes in our operating assets and liabilities of $16.1 million consisted of an increase of $9.4 million in accounts payable and accrued liabilities, an increase of $12.0 million in deferred revenue, partially offset by an increase of $4.1 million in other current assets, and a decrease of $1.3 million in operating lease liability. The increase in accounts payable and accrued liabilities was largely due to an increase in external research and development costs. The increase in other assets was largely due to an increase in prepayments for services. The decrease in the operating lease liability was a result of payments made on outstanding lease obligations.</w:t>
      </w:r>
    </w:p>
    <w:p>
      <w:pPr>
        <w:spacing w:after="0" w:line="195" w:lineRule="exact"/>
        <w:rPr>
          <w:sz w:val="20"/>
          <w:szCs w:val="20"/>
          <w:color w:val="auto"/>
        </w:rPr>
      </w:pPr>
    </w:p>
    <w:p>
      <w:pPr>
        <w:ind w:right="120" w:firstLine="589"/>
        <w:spacing w:after="0" w:line="287" w:lineRule="auto"/>
        <w:rPr>
          <w:sz w:val="20"/>
          <w:szCs w:val="20"/>
          <w:color w:val="auto"/>
        </w:rPr>
      </w:pPr>
      <w:r>
        <w:rPr>
          <w:rFonts w:ascii="Arial" w:cs="Arial" w:eastAsia="Arial" w:hAnsi="Arial"/>
          <w:sz w:val="16"/>
          <w:szCs w:val="16"/>
          <w:color w:val="auto"/>
        </w:rPr>
        <w:t>During Fiscal 2019, operating activities used $46.8 million of cash, primarily resulting from our net loss of $52.3 million, partially offset by non-cash charges of $1.8 million and cash provided by changes in our operating assets and liabilities of $3.7 million. Net cash provided by changes in our operating assets and liabilities of $3.7 million consisted of an increase of $4.6 million in accounts payable and accrued liabilities, an increase of</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$1.3 million in other current assets and a decrease of $0.3 million in other receivables. The increase in accounts payable and accrued liabilities was largely due to an increase in external research and development costs. The increase in other assets was largely due to an increase in prepayments for services. The decrease in other receivables was due to receipt of tax credits associated with income taxes paid by us on behalf of employees due to the exercise of restricted stock purchase rights.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During Fiscal 2020, investing activities provided $32.8 million of cash, consisting primarily of $80.1 million of investment maturities, offset by $45.3 million of investment purchases and $2.0 million of purchases of property and equipment.</w:t>
      </w:r>
    </w:p>
    <w:p>
      <w:pPr>
        <w:spacing w:after="0" w:line="170" w:lineRule="exact"/>
        <w:rPr>
          <w:sz w:val="20"/>
          <w:szCs w:val="20"/>
          <w:color w:val="auto"/>
        </w:rPr>
      </w:pPr>
    </w:p>
    <w:p>
      <w:pPr>
        <w:ind w:right="200" w:firstLine="589"/>
        <w:spacing w:after="0" w:line="308" w:lineRule="auto"/>
        <w:rPr>
          <w:sz w:val="20"/>
          <w:szCs w:val="20"/>
          <w:color w:val="auto"/>
        </w:rPr>
      </w:pPr>
      <w:r>
        <w:rPr>
          <w:rFonts w:ascii="Arial" w:cs="Arial" w:eastAsia="Arial" w:hAnsi="Arial"/>
          <w:sz w:val="17"/>
          <w:szCs w:val="17"/>
          <w:color w:val="auto"/>
        </w:rPr>
        <w:t>During Fiscal 2019, investing activities provided $6.8 million of cash, consisting primarily of $80.0 million of short-term investment maturities, offset by $70.4 million of short-term and long-term investment purchases and $2.8 million of purchases of property and equipment.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During Fiscal 2020, net cash provided by financing activities was $192.3 million, consisting primarily of $155.5 million in net proceeds from the initial public offering and underwriters exercise of the overallotment option and $41.1 million in proceeds from the issuance of redeemable convertible preferred stock, partially offset by $4.1 million in payments of deferred offering costs.</w:t>
      </w:r>
    </w:p>
    <w:p>
      <w:pPr>
        <w:spacing w:after="0" w:line="184"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During Fiscal 2019, net cash provided by financing activities was $85.5 million, consisting primarily of net proceeds of $85.0 million from our sales of shares of our Series B-1 convertible preferred stock, proceeds from the exercise of stock options of $0.5 million, and proceeds from the exercise of warrants to purchase shares of Series A convertible preferred stock of $0.1 million, partially offset by the payment of finance leases of $0.1 million.</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commitments and contractual obligations as of December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740"/>
              <w:spacing w:after="0"/>
              <w:rPr>
                <w:sz w:val="20"/>
                <w:szCs w:val="20"/>
                <w:color w:val="auto"/>
              </w:rPr>
            </w:pPr>
            <w:r>
              <w:rPr>
                <w:rFonts w:ascii="Arial" w:cs="Arial" w:eastAsia="Arial" w:hAnsi="Arial"/>
                <w:sz w:val="14"/>
                <w:szCs w:val="14"/>
                <w:b w:val="1"/>
                <w:bCs w:val="1"/>
                <w:color w:val="auto"/>
                <w:w w:val="92"/>
              </w:rPr>
              <w:t>Payments due by period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8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8"/>
              </w:rPr>
              <w:t>3-5 years</w:t>
            </w:r>
          </w:p>
        </w:tc>
        <w:tc>
          <w:tcPr>
            <w:tcW w:w="22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59"/>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commitments</w:t>
            </w:r>
          </w:p>
        </w:tc>
        <w:tc>
          <w:tcPr>
            <w:tcW w:w="15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Finance lease commitments</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The operating lease commitments noted in the table above represent operating lease obligations related to our currently occupied premises in South San Francisco, California, and Belgium. The finance lease commitments represent obligations related to vehicle leases for employees in Belgium. We do not have any material purchase commitments for contracts with fixed or minimum service requirements. We also enter into contracts in the normal course of business with various vendors that generally provide for contract termination following a certain notice period. These contracts do not contain any minimum purchase commitments, and as a result, are not included in the table of contractual obligations above. Payments due upon cancelation consist only of payments for services provided, expenses incurred up to the date of cancelation and de minimis termination penalties. Accordingly, we believe that our non-cancelable obligations under such agreements are not material and therefore have excluded these from the table above.</w:t>
      </w:r>
    </w:p>
    <w:p>
      <w:pPr>
        <w:spacing w:after="0" w:line="16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This table also does not include any milestone or royalty payments to third parties as the amounts, timing and likelihood of such payments are not known at this time. For a summary of certain milestone and royalty payment obligations under our agreements with Emory and Luxna, see the section titled “Business—License agreements and collaborations”.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40" w:firstLine="589"/>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4"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consolidated financial statements included elsewhere in this Annual Report on Form 10-K, we believe that the following critical accounting policies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9" w:name="page120"/>
    <w:bookmarkEnd w:id="119"/>
    <w:p>
      <w:pPr>
        <w:ind w:right="280"/>
        <w:spacing w:after="0" w:line="277" w:lineRule="auto"/>
        <w:rPr>
          <w:sz w:val="20"/>
          <w:szCs w:val="20"/>
          <w:color w:val="auto"/>
        </w:rPr>
      </w:pPr>
      <w:r>
        <w:rPr>
          <w:rFonts w:ascii="Arial" w:cs="Arial" w:eastAsia="Arial" w:hAnsi="Arial"/>
          <w:sz w:val="18"/>
          <w:szCs w:val="18"/>
          <w:color w:val="auto"/>
        </w:rPr>
        <w:t>are most important to understanding and evaluating our reported financial results and future performance, as these policies relate to the more significant areas involving management’s judgments and estimates.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third-party service providers, which include the conduct of clinical trials and nonclinical studies. We record the estimated costs of research and development activities based upon the estimated amount of services provided but not yet invoiced and include these costs in accrued liabilities in the consolidated balance sheets and within research and development expense in the consolidated statements of operations and comprehensive loss. These expenses are a significant component of our research and development costs. We record accrued expenses for these costs based on factors such as estimates of the work completed and in accordance with agreements established with these third-party service providers. Any payments made in advance of services provided are recorded as prepaid expenses and other assets, which are expensed as the contracted services are performed.</w:t>
      </w:r>
    </w:p>
    <w:p>
      <w:pPr>
        <w:spacing w:after="0" w:line="17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could vary from actuals and result in us reporting amounts that are too high or too low in any particular period. Our accrued expenses are dependent, in part, upon the receipt of timely and accurate reporting from clinical research organizations and other third-party service providers. For the periods presented, we have experienced no material differences between our accrued expenses and actual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expense research and development costs as incurred. Acquired intangible assets are expensed as research and development if, at the time of payment, the technology is under development; is not approved by the U.S. Food and Drug Administration or other regulatory agencies for marketing; has not reached technical feasibility; or otherwise has no foreseeable alternative future use.</w:t>
      </w:r>
    </w:p>
    <w:p>
      <w:pPr>
        <w:spacing w:after="0" w:line="184" w:lineRule="exact"/>
        <w:rPr>
          <w:sz w:val="20"/>
          <w:szCs w:val="20"/>
          <w:color w:val="auto"/>
        </w:rPr>
      </w:pPr>
    </w:p>
    <w:p>
      <w:pPr>
        <w:ind w:right="160" w:firstLine="589"/>
        <w:spacing w:after="0" w:line="301" w:lineRule="auto"/>
        <w:rPr>
          <w:sz w:val="20"/>
          <w:szCs w:val="20"/>
          <w:color w:val="auto"/>
        </w:rPr>
      </w:pPr>
      <w:r>
        <w:rPr>
          <w:rFonts w:ascii="Arial" w:cs="Arial" w:eastAsia="Arial" w:hAnsi="Arial"/>
          <w:sz w:val="16"/>
          <w:szCs w:val="16"/>
          <w:color w:val="auto"/>
        </w:rPr>
        <w:t>Research and development expenses also include costs incurred for internal and sponsored and collaborative research and development activities. Research and development expenses consist of salaries and benefits, including associated stock-based compensation, and laboratory supplies and facility costs, as well as fees paid to other entities that conduct certain research and development activities on our behalf. Costs associated with co-development activities performed under the various license and collaboration agreements are included in research and development expense as incurred.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measure stock options and other stock-based awards granted to employees, directors and other service providers based on their fair value on the date of grant and recognize compensation expense of those awards over the requisite service period, which is generally the vesting period of the respective award. We recognize the impact of forfeitures on stock-based compensation expense as forfeitures occur. We apply the straight-line method of expense recognition to all awards with only service-based vesting conditions. During the year ended December 31, 2019, we did not grant any stock-based awards with performance-based vesting conditions. During the year ended December 31, 2020, we granted stock-based awards with performance-based vesting conditions. We recognize compensation expense related to these awards when it is determined that satisfying the performance conditions is probable using the accelerated attribution method over the requisite service period.</w:t>
      </w:r>
    </w:p>
    <w:p>
      <w:pPr>
        <w:spacing w:after="0" w:line="17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We estimate the fair value of each stock option grant on the date of grant using the Black-Scholes option-pricing model, which requires the use of highly subjective assumptions including:</w:t>
      </w:r>
    </w:p>
    <w:p>
      <w:pPr>
        <w:spacing w:after="0" w:line="62" w:lineRule="exact"/>
        <w:rPr>
          <w:sz w:val="20"/>
          <w:szCs w:val="20"/>
          <w:color w:val="auto"/>
        </w:rPr>
      </w:pPr>
    </w:p>
    <w:p>
      <w:pPr>
        <w:ind w:left="1160" w:right="320" w:hanging="572"/>
        <w:spacing w:after="0" w:line="263"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Expected term—We have opted to use the “simplified method” for estimating the expected term of plain-vanilla options, whereby the expected term equals the arithmetic average of the vesting term and the original contractual term of the option (generally 10 years). We estimated the expected term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0" w:name="page121"/>
    <w:bookmarkEnd w:id="120"/>
    <w:p>
      <w:pPr>
        <w:ind w:left="1160" w:right="360"/>
        <w:spacing w:after="0" w:line="277" w:lineRule="auto"/>
        <w:rPr>
          <w:sz w:val="20"/>
          <w:szCs w:val="20"/>
          <w:color w:val="auto"/>
        </w:rPr>
      </w:pPr>
      <w:r>
        <w:rPr>
          <w:rFonts w:ascii="Arial" w:cs="Arial" w:eastAsia="Arial" w:hAnsi="Arial"/>
          <w:sz w:val="18"/>
          <w:szCs w:val="18"/>
          <w:color w:val="auto"/>
        </w:rPr>
        <w:t>performance-based vesting options based on the expected life of the options to remain outstanding, which is estimated to be materially consistent with time-vesting options.</w:t>
      </w:r>
    </w:p>
    <w:p>
      <w:pPr>
        <w:spacing w:after="0" w:line="62" w:lineRule="exact"/>
        <w:rPr>
          <w:sz w:val="20"/>
          <w:szCs w:val="20"/>
          <w:color w:val="auto"/>
        </w:rPr>
      </w:pPr>
    </w:p>
    <w:p>
      <w:pPr>
        <w:ind w:left="1160" w:right="360" w:hanging="572"/>
        <w:spacing w:after="0" w:line="277"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Risk-free interest rate—The risk-free rate assumption is based on the U.S. Treasury instruments with maturities similar to the expected term of our stock options.</w:t>
      </w:r>
    </w:p>
    <w:p>
      <w:pPr>
        <w:spacing w:after="0" w:line="62"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dividend—We have not issued any dividends and do not anticipate to issue dividends on our common stock. As a result, we have estimated the dividend yield to be zero.</w:t>
      </w:r>
    </w:p>
    <w:p>
      <w:pPr>
        <w:spacing w:after="0" w:line="62" w:lineRule="exact"/>
        <w:rPr>
          <w:rFonts w:ascii="Arial" w:cs="Arial" w:eastAsia="Arial" w:hAnsi="Arial"/>
          <w:sz w:val="18"/>
          <w:szCs w:val="18"/>
          <w:color w:val="auto"/>
        </w:rPr>
      </w:pPr>
    </w:p>
    <w:p>
      <w:pPr>
        <w:ind w:left="1160" w:hanging="572"/>
        <w:spacing w:after="0" w:line="259"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volatility—Due to our limited operating history and a lack of company-specific historical and implied volatility data, we have based 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(an EGC) can take advantage of the extended transition period provided in Section 7(a)(2)(B) of the Securities Act for complying with new or revised accounting standards. Thus, an EGC can delay the adoption of certain accounting standards until those standards would otherwise apply to private companies. We have elected to use the extended transition period for any new or revised accounting standards during the period in which we remain an EGC; however, we may adopt certain new or revised accounting standards early.</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will remain an EGC until the earliest to occur of: (1) the last day of the fiscal year in which we have more than $1.07 billion in annual revenue;</w:t>
      </w:r>
    </w:p>
    <w:p>
      <w:pPr>
        <w:spacing w:after="0" w:line="46" w:lineRule="exact"/>
        <w:rPr>
          <w:sz w:val="20"/>
          <w:szCs w:val="20"/>
          <w:color w:val="auto"/>
        </w:rPr>
      </w:pPr>
    </w:p>
    <w:p>
      <w:pPr>
        <w:ind w:right="180" w:firstLine="8"/>
        <w:spacing w:after="0" w:line="255"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90"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In addition, we intend to rely on the other exemptions and reduced reporting requirements provided to EGCs by the JOBS Act. Subject to certain conditions set forth in the JOBS Act, as an EGC, we are not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or (iv) disclose certain executive compensation-related items such as the correlation between executive compensation and performance and comparisons of the Chief Executive Officer’s compensation to median employee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Our cash, cash equivalents and investments of $243.5 million as of December 31, 2020, consist of bank deposits, money market funds and US Treasury available-for-sale securities. We are exposed to market risk related to changes in interest rates applicable to our investment portfolio of cash equivalents and short-term and long-term investments. Our primary exposure to market risk is interest income sensitivity, which is affected by changes in the general level of U.S. interest rates. Should U.S. interest rates decline, interest income would be reduced in future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1" w:name="page122"/>
    <w:bookmarkEnd w:id="121"/>
    <w:p>
      <w:pPr>
        <w:spacing w:after="0" w:line="279" w:lineRule="auto"/>
        <w:rPr>
          <w:sz w:val="20"/>
          <w:szCs w:val="20"/>
          <w:color w:val="auto"/>
        </w:rPr>
      </w:pPr>
      <w:r>
        <w:rPr>
          <w:rFonts w:ascii="Arial" w:cs="Arial" w:eastAsia="Arial" w:hAnsi="Arial"/>
          <w:sz w:val="17"/>
          <w:szCs w:val="17"/>
          <w:color w:val="auto"/>
        </w:rPr>
        <w:t>periods for short- and long-term investments which mature and the proceeds of which are reinvested in similar instruments at lower interest rates. Additionally, the fair value of our short-term and long-term investments is subject to change as a result of potential changes in market interest rates, including changes resulting from the impact of the COVID-19 pandemic. As of December 31, 2020, we estimate that a hypothetical 100 basis point adverse movement would not result in a material impact on our financial position or results of operations or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20" w:firstLine="589"/>
        <w:spacing w:after="0" w:line="290" w:lineRule="auto"/>
        <w:rPr>
          <w:sz w:val="20"/>
          <w:szCs w:val="20"/>
          <w:color w:val="auto"/>
        </w:rPr>
      </w:pPr>
      <w:r>
        <w:rPr>
          <w:rFonts w:ascii="Arial" w:cs="Arial" w:eastAsia="Arial" w:hAnsi="Arial"/>
          <w:sz w:val="16"/>
          <w:szCs w:val="16"/>
          <w:color w:val="auto"/>
        </w:rPr>
        <w:t>We have employees and operations, including contracts with third-party vendors, in Europe through our subsidiary Aligos Belgium BVBA. We have similar, but more limited, operations in Australia. Though the functional currency in these locations is the U.S. dollar, we remeasure transactions initially recorded in local currencies in these locations, the Euro and Australian dollar,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4"/>
        </w:trPr>
        <w:tc>
          <w:tcPr>
            <w:tcW w:w="946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0" w:type="dxa"/>
            <w:vAlign w:val="bottom"/>
          </w:tcPr>
          <w:p>
            <w:pPr>
              <w:spacing w:after="0"/>
              <w:rPr>
                <w:sz w:val="20"/>
                <w:szCs w:val="20"/>
                <w:color w:val="auto"/>
              </w:rPr>
            </w:pPr>
          </w:p>
        </w:tc>
      </w:tr>
      <w:tr>
        <w:trPr>
          <w:trHeight w:val="432"/>
        </w:trPr>
        <w:tc>
          <w:tcPr>
            <w:tcW w:w="9460" w:type="dxa"/>
            <w:vAlign w:val="bottom"/>
            <w:gridSpan w:val="8"/>
          </w:tcPr>
          <w:p>
            <w:pPr>
              <w:spacing w:after="0"/>
              <w:rPr>
                <w:sz w:val="20"/>
                <w:szCs w:val="20"/>
                <w:color w:val="auto"/>
              </w:rPr>
            </w:pPr>
            <w:r>
              <w:rPr>
                <w:rFonts w:ascii="Arial" w:cs="Arial" w:eastAsia="Arial" w:hAnsi="Arial"/>
                <w:sz w:val="18"/>
                <w:szCs w:val="18"/>
                <w:color w:val="auto"/>
              </w:rPr>
              <w:t>Index to Financial Statements</w:t>
            </w:r>
          </w:p>
        </w:tc>
        <w:tc>
          <w:tcPr>
            <w:tcW w:w="1800" w:type="dxa"/>
            <w:vAlign w:val="bottom"/>
          </w:tcPr>
          <w:p>
            <w:pPr>
              <w:spacing w:after="0"/>
              <w:rPr>
                <w:sz w:val="24"/>
                <w:szCs w:val="24"/>
                <w:color w:val="auto"/>
              </w:rPr>
            </w:pPr>
          </w:p>
        </w:tc>
      </w:tr>
      <w:tr>
        <w:trPr>
          <w:trHeight w:val="391"/>
        </w:trPr>
        <w:tc>
          <w:tcPr>
            <w:tcW w:w="460" w:type="dxa"/>
            <w:vAlign w:val="bottom"/>
          </w:tcPr>
          <w:p>
            <w:pPr>
              <w:spacing w:after="0"/>
              <w:rPr>
                <w:sz w:val="24"/>
                <w:szCs w:val="24"/>
                <w:color w:val="auto"/>
              </w:rPr>
            </w:pPr>
          </w:p>
        </w:tc>
        <w:tc>
          <w:tcPr>
            <w:tcW w:w="9000" w:type="dxa"/>
            <w:vAlign w:val="bottom"/>
            <w:gridSpan w:val="7"/>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196"/>
        </w:trPr>
        <w:tc>
          <w:tcPr>
            <w:tcW w:w="460" w:type="dxa"/>
            <w:vAlign w:val="bottom"/>
          </w:tcPr>
          <w:p>
            <w:pPr>
              <w:spacing w:after="0"/>
              <w:rPr>
                <w:sz w:val="17"/>
                <w:szCs w:val="17"/>
                <w:color w:val="auto"/>
              </w:rPr>
            </w:pPr>
          </w:p>
        </w:tc>
        <w:tc>
          <w:tcPr>
            <w:tcW w:w="2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25">
              <w:r>
                <w:rPr>
                  <w:rFonts w:ascii="Arial" w:cs="Arial" w:eastAsia="Arial" w:hAnsi="Arial"/>
                  <w:sz w:val="18"/>
                  <w:szCs w:val="18"/>
                  <w:color w:val="0000EE"/>
                  <w:w w:val="87"/>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480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460" w:type="dxa"/>
            <w:vAlign w:val="bottom"/>
          </w:tcPr>
          <w:p>
            <w:pPr>
              <w:spacing w:after="0"/>
              <w:rPr>
                <w:sz w:val="17"/>
                <w:szCs w:val="17"/>
                <w:color w:val="auto"/>
              </w:rPr>
            </w:pPr>
          </w:p>
        </w:tc>
        <w:tc>
          <w:tcPr>
            <w:tcW w:w="9000" w:type="dxa"/>
            <w:vAlign w:val="bottom"/>
            <w:gridSpan w:val="7"/>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Consolidated Statements of Operations and Comprehensive Loss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000" w:type="dxa"/>
            <w:vAlign w:val="bottom"/>
            <w:gridSpan w:val="7"/>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Consolidated Statements of Redeemable Convertible Preferred Stock and Stockholders’ Equity (Deficit)</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46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Consolidated Statements of Cash Flows</w:t>
              </w:r>
            </w:hyperlink>
          </w:p>
        </w:tc>
        <w:tc>
          <w:tcPr>
            <w:tcW w:w="4640" w:type="dxa"/>
            <w:vAlign w:val="bottom"/>
            <w:tcBorders>
              <w:top w:val="single" w:sz="8" w:color="0000EE"/>
            </w:tcBorders>
            <w:gridSpan w:val="4"/>
          </w:tcPr>
          <w:p>
            <w:pPr>
              <w:spacing w:after="0"/>
              <w:rPr>
                <w:sz w:val="17"/>
                <w:szCs w:val="17"/>
                <w:color w:val="auto"/>
              </w:rPr>
            </w:pPr>
          </w:p>
        </w:tc>
        <w:tc>
          <w:tcPr>
            <w:tcW w:w="150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460" w:type="dxa"/>
            <w:vAlign w:val="bottom"/>
          </w:tcPr>
          <w:p>
            <w:pPr>
              <w:spacing w:after="0"/>
              <w:rPr>
                <w:sz w:val="17"/>
                <w:szCs w:val="17"/>
                <w:color w:val="auto"/>
              </w:rPr>
            </w:pPr>
          </w:p>
        </w:tc>
        <w:tc>
          <w:tcPr>
            <w:tcW w:w="9000" w:type="dxa"/>
            <w:vAlign w:val="bottom"/>
            <w:gridSpan w:val="7"/>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Notes to Consolidated Financial Statements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669"/>
        </w:trPr>
        <w:tc>
          <w:tcPr>
            <w:tcW w:w="46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4360" w:type="dxa"/>
            <w:vAlign w:val="bottom"/>
            <w:gridSpan w:val="3"/>
          </w:tcPr>
          <w:p>
            <w:pPr>
              <w:jc w:val="right"/>
              <w:ind w:right="2200"/>
              <w:spacing w:after="0"/>
              <w:rPr>
                <w:sz w:val="20"/>
                <w:szCs w:val="20"/>
                <w:color w:val="auto"/>
              </w:rPr>
            </w:pPr>
            <w:r>
              <w:rPr>
                <w:rFonts w:ascii="Arial" w:cs="Arial" w:eastAsia="Arial" w:hAnsi="Arial"/>
                <w:sz w:val="18"/>
                <w:szCs w:val="18"/>
                <w:color w:val="auto"/>
              </w:rPr>
              <w:t>118</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Aligos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audited the accompanying consolidated balance sheets of Aligos Therapeutics, Inc. (the Company) as of December 31, 2020 and 2019, the related consolidated statements of operations and comprehensive loss, changes in redeemable convertible preferred stock and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4" w:name="page125"/>
    <w:bookmarkEnd w:id="124"/>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666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142"/>
        </w:trPr>
        <w:tc>
          <w:tcPr>
            <w:tcW w:w="6660" w:type="dxa"/>
            <w:vAlign w:val="bottom"/>
            <w:shd w:val="clear" w:color="auto" w:fill="CFF0FC"/>
          </w:tcPr>
          <w:p>
            <w:pPr>
              <w:jc w:val="center"/>
              <w:ind w:left="697"/>
              <w:spacing w:after="0" w:line="142" w:lineRule="exact"/>
              <w:rPr>
                <w:sz w:val="20"/>
                <w:szCs w:val="20"/>
                <w:color w:val="auto"/>
              </w:rPr>
            </w:pPr>
            <w:r>
              <w:rPr>
                <w:rFonts w:ascii="Arial" w:cs="Arial" w:eastAsia="Arial" w:hAnsi="Arial"/>
                <w:sz w:val="13"/>
                <w:szCs w:val="13"/>
                <w:b w:val="1"/>
                <w:bCs w:val="1"/>
                <w:color w:val="auto"/>
                <w:w w:val="88"/>
              </w:rPr>
              <w:t>ASSETS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60" w:type="dxa"/>
            <w:vAlign w:val="bottom"/>
          </w:tcPr>
          <w:p>
            <w:pPr>
              <w:spacing w:after="0"/>
              <w:rPr>
                <w:sz w:val="20"/>
                <w:szCs w:val="20"/>
                <w:color w:val="auto"/>
              </w:rPr>
            </w:pPr>
            <w:r>
              <w:rPr>
                <w:rFonts w:ascii="Arial" w:cs="Arial" w:eastAsia="Arial" w:hAnsi="Arial"/>
                <w:sz w:val="13"/>
                <w:szCs w:val="13"/>
                <w:color w:val="auto"/>
              </w:rPr>
              <w:t>Current assets: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Cash and cash equivalents</w:t>
            </w:r>
          </w:p>
        </w:tc>
        <w:tc>
          <w:tcPr>
            <w:tcW w:w="11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220,383</w:t>
            </w:r>
          </w:p>
        </w:tc>
        <w:tc>
          <w:tcPr>
            <w:tcW w:w="16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08"/>
              <w:spacing w:after="0"/>
              <w:rPr>
                <w:sz w:val="20"/>
                <w:szCs w:val="20"/>
                <w:color w:val="auto"/>
              </w:rPr>
            </w:pPr>
            <w:r>
              <w:rPr>
                <w:rFonts w:ascii="Arial" w:cs="Arial" w:eastAsia="Arial" w:hAnsi="Arial"/>
                <w:sz w:val="13"/>
                <w:szCs w:val="13"/>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69,565</w:t>
            </w:r>
          </w:p>
        </w:tc>
        <w:tc>
          <w:tcPr>
            <w:tcW w:w="100" w:type="dxa"/>
            <w:vAlign w:val="bottom"/>
            <w:shd w:val="clear" w:color="auto" w:fill="CFF0FC"/>
          </w:tcPr>
          <w:p>
            <w:pPr>
              <w:spacing w:after="0"/>
              <w:rPr>
                <w:sz w:val="12"/>
                <w:szCs w:val="12"/>
                <w:color w:val="auto"/>
              </w:rPr>
            </w:pPr>
          </w:p>
        </w:tc>
      </w:tr>
      <w:tr>
        <w:trPr>
          <w:trHeight w:val="148"/>
        </w:trPr>
        <w:tc>
          <w:tcPr>
            <w:tcW w:w="6660" w:type="dxa"/>
            <w:vAlign w:val="bottom"/>
          </w:tcPr>
          <w:p>
            <w:pPr>
              <w:ind w:left="140"/>
              <w:spacing w:after="0"/>
              <w:rPr>
                <w:sz w:val="20"/>
                <w:szCs w:val="20"/>
                <w:color w:val="auto"/>
              </w:rPr>
            </w:pPr>
            <w:r>
              <w:rPr>
                <w:rFonts w:ascii="Arial" w:cs="Arial" w:eastAsia="Arial" w:hAnsi="Arial"/>
                <w:sz w:val="13"/>
                <w:szCs w:val="13"/>
                <w:color w:val="auto"/>
              </w:rPr>
              <w:t>Restricted cash</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Pr>
          <w:p>
            <w:pPr>
              <w:spacing w:after="0"/>
              <w:rPr>
                <w:sz w:val="12"/>
                <w:szCs w:val="12"/>
                <w:color w:val="auto"/>
              </w:rPr>
            </w:pPr>
          </w:p>
        </w:tc>
      </w:tr>
      <w:tr>
        <w:trPr>
          <w:trHeight w:val="148"/>
        </w:trPr>
        <w:tc>
          <w:tcPr>
            <w:tcW w:w="66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Short-term investments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23,130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48,098</w:t>
            </w:r>
          </w:p>
        </w:tc>
        <w:tc>
          <w:tcPr>
            <w:tcW w:w="100" w:type="dxa"/>
            <w:vAlign w:val="bottom"/>
            <w:shd w:val="clear" w:color="auto" w:fill="CFF0FC"/>
          </w:tcPr>
          <w:p>
            <w:pPr>
              <w:spacing w:after="0"/>
              <w:rPr>
                <w:sz w:val="12"/>
                <w:szCs w:val="12"/>
                <w:color w:val="auto"/>
              </w:rPr>
            </w:pPr>
          </w:p>
        </w:tc>
      </w:tr>
      <w:tr>
        <w:trPr>
          <w:trHeight w:val="148"/>
        </w:trPr>
        <w:tc>
          <w:tcPr>
            <w:tcW w:w="6660" w:type="dxa"/>
            <w:vAlign w:val="bottom"/>
            <w:tcBorders>
              <w:bottom w:val="single" w:sz="8" w:color="CFF0FC"/>
            </w:tcBorders>
          </w:tcPr>
          <w:p>
            <w:pPr>
              <w:ind w:left="140"/>
              <w:spacing w:after="0"/>
              <w:rPr>
                <w:sz w:val="20"/>
                <w:szCs w:val="20"/>
                <w:color w:val="auto"/>
              </w:rPr>
            </w:pPr>
            <w:r>
              <w:rPr>
                <w:rFonts w:ascii="Arial" w:cs="Arial" w:eastAsia="Arial" w:hAnsi="Arial"/>
                <w:sz w:val="13"/>
                <w:szCs w:val="13"/>
                <w:color w:val="auto"/>
              </w:rPr>
              <w:t>Other current assets</w:t>
            </w:r>
          </w:p>
        </w:tc>
        <w:tc>
          <w:tcPr>
            <w:tcW w:w="9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5,944</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2,025</w:t>
            </w:r>
          </w:p>
        </w:tc>
        <w:tc>
          <w:tcPr>
            <w:tcW w:w="100" w:type="dxa"/>
            <w:vAlign w:val="bottom"/>
            <w:tcBorders>
              <w:bottom w:val="single" w:sz="8" w:color="CFF0FC"/>
            </w:tcBorders>
          </w:tcPr>
          <w:p>
            <w:pPr>
              <w:spacing w:after="0"/>
              <w:rPr>
                <w:sz w:val="12"/>
                <w:szCs w:val="12"/>
                <w:color w:val="auto"/>
              </w:rPr>
            </w:pPr>
          </w:p>
        </w:tc>
      </w:tr>
      <w:tr>
        <w:trPr>
          <w:trHeight w:val="142"/>
        </w:trPr>
        <w:tc>
          <w:tcPr>
            <w:tcW w:w="666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assets</w:t>
            </w:r>
          </w:p>
        </w:tc>
        <w:tc>
          <w:tcPr>
            <w:tcW w:w="9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250,017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120,226</w:t>
            </w:r>
          </w:p>
        </w:tc>
        <w:tc>
          <w:tcPr>
            <w:tcW w:w="100" w:type="dxa"/>
            <w:vAlign w:val="bottom"/>
            <w:shd w:val="clear" w:color="auto" w:fill="CFF0FC"/>
          </w:tcPr>
          <w:p>
            <w:pPr>
              <w:spacing w:after="0"/>
              <w:rPr>
                <w:sz w:val="12"/>
                <w:szCs w:val="12"/>
                <w:color w:val="auto"/>
              </w:rPr>
            </w:pPr>
          </w:p>
        </w:tc>
      </w:tr>
      <w:tr>
        <w:trPr>
          <w:trHeight w:val="142"/>
        </w:trPr>
        <w:tc>
          <w:tcPr>
            <w:tcW w:w="6660" w:type="dxa"/>
            <w:vAlign w:val="bottom"/>
          </w:tcPr>
          <w:p>
            <w:pPr>
              <w:spacing w:after="0" w:line="142" w:lineRule="exact"/>
              <w:rPr>
                <w:sz w:val="20"/>
                <w:szCs w:val="20"/>
                <w:color w:val="auto"/>
              </w:rPr>
            </w:pPr>
            <w:r>
              <w:rPr>
                <w:rFonts w:ascii="Arial" w:cs="Arial" w:eastAsia="Arial" w:hAnsi="Arial"/>
                <w:sz w:val="13"/>
                <w:szCs w:val="13"/>
                <w:color w:val="auto"/>
              </w:rPr>
              <w:t>Operating lease right-of-use assets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6,901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7,570</w:t>
            </w:r>
          </w:p>
        </w:tc>
        <w:tc>
          <w:tcPr>
            <w:tcW w:w="100" w:type="dxa"/>
            <w:vAlign w:val="bottom"/>
          </w:tcPr>
          <w:p>
            <w:pPr>
              <w:spacing w:after="0"/>
              <w:rPr>
                <w:sz w:val="12"/>
                <w:szCs w:val="12"/>
                <w:color w:val="auto"/>
              </w:rPr>
            </w:pPr>
          </w:p>
        </w:tc>
      </w:tr>
      <w:tr>
        <w:trPr>
          <w:trHeight w:val="148"/>
        </w:trPr>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Property and equipment, net</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8,517</w:t>
            </w:r>
          </w:p>
        </w:tc>
        <w:tc>
          <w:tcPr>
            <w:tcW w:w="100" w:type="dxa"/>
            <w:vAlign w:val="bottom"/>
            <w:shd w:val="clear" w:color="auto" w:fill="CFF0FC"/>
          </w:tcPr>
          <w:p>
            <w:pPr>
              <w:spacing w:after="0"/>
              <w:rPr>
                <w:sz w:val="12"/>
                <w:szCs w:val="12"/>
                <w:color w:val="auto"/>
              </w:rPr>
            </w:pPr>
          </w:p>
        </w:tc>
      </w:tr>
      <w:tr>
        <w:trPr>
          <w:trHeight w:val="149"/>
        </w:trPr>
        <w:tc>
          <w:tcPr>
            <w:tcW w:w="6660" w:type="dxa"/>
            <w:vAlign w:val="bottom"/>
          </w:tcPr>
          <w:p>
            <w:pPr>
              <w:spacing w:after="0"/>
              <w:rPr>
                <w:sz w:val="20"/>
                <w:szCs w:val="20"/>
                <w:color w:val="auto"/>
              </w:rPr>
            </w:pPr>
            <w:r>
              <w:rPr>
                <w:rFonts w:ascii="Arial" w:cs="Arial" w:eastAsia="Arial" w:hAnsi="Arial"/>
                <w:sz w:val="13"/>
                <w:szCs w:val="13"/>
                <w:color w:val="auto"/>
              </w:rPr>
              <w:t>Other assets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377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2"/>
                <w:szCs w:val="12"/>
                <w:color w:val="auto"/>
              </w:rPr>
            </w:pPr>
          </w:p>
        </w:tc>
      </w:tr>
      <w:tr>
        <w:trPr>
          <w:trHeight w:val="148"/>
        </w:trPr>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Long-term investments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10,019</w:t>
            </w:r>
          </w:p>
        </w:tc>
        <w:tc>
          <w:tcPr>
            <w:tcW w:w="100" w:type="dxa"/>
            <w:vAlign w:val="bottom"/>
            <w:shd w:val="clear" w:color="auto" w:fill="CFF0FC"/>
          </w:tcPr>
          <w:p>
            <w:pPr>
              <w:spacing w:after="0"/>
              <w:rPr>
                <w:sz w:val="12"/>
                <w:szCs w:val="12"/>
                <w:color w:val="auto"/>
              </w:rPr>
            </w:pPr>
          </w:p>
        </w:tc>
      </w:tr>
      <w:tr>
        <w:trPr>
          <w:trHeight w:val="142"/>
        </w:trPr>
        <w:tc>
          <w:tcPr>
            <w:tcW w:w="666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assets</w:t>
            </w:r>
          </w:p>
        </w:tc>
        <w:tc>
          <w:tcPr>
            <w:tcW w:w="9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265,302</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146,520</w:t>
            </w:r>
          </w:p>
        </w:tc>
        <w:tc>
          <w:tcPr>
            <w:tcW w:w="100" w:type="dxa"/>
            <w:vAlign w:val="bottom"/>
            <w:tcBorders>
              <w:bottom w:val="single" w:sz="8" w:color="CFF0FC"/>
            </w:tcBorders>
          </w:tcPr>
          <w:p>
            <w:pPr>
              <w:spacing w:after="0"/>
              <w:rPr>
                <w:sz w:val="12"/>
                <w:szCs w:val="12"/>
                <w:color w:val="auto"/>
              </w:rPr>
            </w:pPr>
          </w:p>
        </w:tc>
      </w:tr>
      <w:tr>
        <w:trPr>
          <w:trHeight w:val="142"/>
        </w:trPr>
        <w:tc>
          <w:tcPr>
            <w:tcW w:w="6660" w:type="dxa"/>
            <w:vAlign w:val="bottom"/>
            <w:shd w:val="clear" w:color="auto" w:fill="CFF0FC"/>
          </w:tcPr>
          <w:p>
            <w:pPr>
              <w:jc w:val="center"/>
              <w:ind w:left="717"/>
              <w:spacing w:after="0" w:line="142" w:lineRule="exact"/>
              <w:rPr>
                <w:sz w:val="20"/>
                <w:szCs w:val="20"/>
                <w:color w:val="auto"/>
              </w:rPr>
            </w:pPr>
            <w:r>
              <w:rPr>
                <w:rFonts w:ascii="Arial" w:cs="Arial" w:eastAsia="Arial" w:hAnsi="Arial"/>
                <w:sz w:val="13"/>
                <w:szCs w:val="13"/>
                <w:b w:val="1"/>
                <w:bCs w:val="1"/>
                <w:color w:val="auto"/>
                <w:w w:val="98"/>
              </w:rPr>
              <w:t>LIABILITIES, REDEEMABLE CONVERTIBLE PREFERRED STOCK,</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60" w:type="dxa"/>
            <w:vAlign w:val="bottom"/>
          </w:tcPr>
          <w:p>
            <w:pPr>
              <w:jc w:val="center"/>
              <w:ind w:left="697"/>
              <w:spacing w:after="0"/>
              <w:rPr>
                <w:sz w:val="20"/>
                <w:szCs w:val="20"/>
                <w:color w:val="auto"/>
              </w:rPr>
            </w:pPr>
            <w:r>
              <w:rPr>
                <w:rFonts w:ascii="Arial" w:cs="Arial" w:eastAsia="Arial" w:hAnsi="Arial"/>
                <w:sz w:val="13"/>
                <w:szCs w:val="13"/>
                <w:b w:val="1"/>
                <w:bCs w:val="1"/>
                <w:color w:val="auto"/>
                <w:w w:val="99"/>
              </w:rPr>
              <w:t>AND STOCKHOLDERS’ EQUITY (DEFICIT)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Current liabilities: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6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1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3,313</w:t>
            </w:r>
          </w:p>
        </w:tc>
        <w:tc>
          <w:tcPr>
            <w:tcW w:w="160" w:type="dxa"/>
            <w:vAlign w:val="bottom"/>
          </w:tcPr>
          <w:p>
            <w:pPr>
              <w:spacing w:after="0"/>
              <w:rPr>
                <w:sz w:val="12"/>
                <w:szCs w:val="12"/>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3,767</w:t>
            </w:r>
          </w:p>
        </w:tc>
        <w:tc>
          <w:tcPr>
            <w:tcW w:w="100" w:type="dxa"/>
            <w:vAlign w:val="bottom"/>
          </w:tcPr>
          <w:p>
            <w:pPr>
              <w:spacing w:after="0"/>
              <w:rPr>
                <w:sz w:val="12"/>
                <w:szCs w:val="12"/>
                <w:color w:val="auto"/>
              </w:rPr>
            </w:pPr>
          </w:p>
        </w:tc>
      </w:tr>
      <w:tr>
        <w:trPr>
          <w:trHeight w:val="148"/>
        </w:trPr>
        <w:tc>
          <w:tcPr>
            <w:tcW w:w="66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Accrued liabilities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16,564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7,599</w:t>
            </w:r>
          </w:p>
        </w:tc>
        <w:tc>
          <w:tcPr>
            <w:tcW w:w="100" w:type="dxa"/>
            <w:vAlign w:val="bottom"/>
            <w:shd w:val="clear" w:color="auto" w:fill="CFF0FC"/>
          </w:tcPr>
          <w:p>
            <w:pPr>
              <w:spacing w:after="0"/>
              <w:rPr>
                <w:sz w:val="12"/>
                <w:szCs w:val="12"/>
                <w:color w:val="auto"/>
              </w:rPr>
            </w:pPr>
          </w:p>
        </w:tc>
      </w:tr>
      <w:tr>
        <w:trPr>
          <w:trHeight w:val="148"/>
        </w:trPr>
        <w:tc>
          <w:tcPr>
            <w:tcW w:w="6660" w:type="dxa"/>
            <w:vAlign w:val="bottom"/>
          </w:tcPr>
          <w:p>
            <w:pPr>
              <w:ind w:left="140"/>
              <w:spacing w:after="0"/>
              <w:rPr>
                <w:sz w:val="20"/>
                <w:szCs w:val="20"/>
                <w:color w:val="auto"/>
              </w:rPr>
            </w:pPr>
            <w:r>
              <w:rPr>
                <w:rFonts w:ascii="Arial" w:cs="Arial" w:eastAsia="Arial" w:hAnsi="Arial"/>
                <w:sz w:val="13"/>
                <w:szCs w:val="13"/>
                <w:color w:val="auto"/>
              </w:rPr>
              <w:t>Operating lease liabilities, current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2,442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2,378</w:t>
            </w:r>
          </w:p>
        </w:tc>
        <w:tc>
          <w:tcPr>
            <w:tcW w:w="100" w:type="dxa"/>
            <w:vAlign w:val="bottom"/>
          </w:tcPr>
          <w:p>
            <w:pPr>
              <w:spacing w:after="0"/>
              <w:rPr>
                <w:sz w:val="12"/>
                <w:szCs w:val="12"/>
                <w:color w:val="auto"/>
              </w:rPr>
            </w:pPr>
          </w:p>
        </w:tc>
      </w:tr>
      <w:tr>
        <w:trPr>
          <w:trHeight w:val="149"/>
        </w:trPr>
        <w:tc>
          <w:tcPr>
            <w:tcW w:w="66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Finance lease liabilities, current</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FF0FC"/>
          </w:tcPr>
          <w:p>
            <w:pPr>
              <w:spacing w:after="0"/>
              <w:rPr>
                <w:sz w:val="12"/>
                <w:szCs w:val="12"/>
                <w:color w:val="auto"/>
              </w:rPr>
            </w:pPr>
          </w:p>
        </w:tc>
      </w:tr>
      <w:tr>
        <w:trPr>
          <w:trHeight w:val="148"/>
        </w:trPr>
        <w:tc>
          <w:tcPr>
            <w:tcW w:w="6660" w:type="dxa"/>
            <w:vAlign w:val="bottom"/>
          </w:tcPr>
          <w:p>
            <w:pPr>
              <w:ind w:left="140"/>
              <w:spacing w:after="0"/>
              <w:rPr>
                <w:sz w:val="20"/>
                <w:szCs w:val="20"/>
                <w:color w:val="auto"/>
              </w:rPr>
            </w:pPr>
            <w:r>
              <w:rPr>
                <w:rFonts w:ascii="Arial" w:cs="Arial" w:eastAsia="Arial" w:hAnsi="Arial"/>
                <w:sz w:val="13"/>
                <w:szCs w:val="13"/>
                <w:color w:val="auto"/>
              </w:rPr>
              <w:t>Deferred Revenue from collaborations, current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7,891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6660" w:type="dxa"/>
            <w:vAlign w:val="bottom"/>
            <w:tcBorders>
              <w:top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liabilities</w:t>
            </w:r>
          </w:p>
        </w:tc>
        <w:tc>
          <w:tcPr>
            <w:tcW w:w="94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30,274</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13,818</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660" w:type="dxa"/>
            <w:vAlign w:val="bottom"/>
          </w:tcPr>
          <w:p>
            <w:pPr>
              <w:spacing w:after="0" w:line="142" w:lineRule="exact"/>
              <w:rPr>
                <w:sz w:val="20"/>
                <w:szCs w:val="20"/>
                <w:color w:val="auto"/>
              </w:rPr>
            </w:pPr>
            <w:r>
              <w:rPr>
                <w:rFonts w:ascii="Arial" w:cs="Arial" w:eastAsia="Arial" w:hAnsi="Arial"/>
                <w:sz w:val="13"/>
                <w:szCs w:val="13"/>
                <w:color w:val="auto"/>
              </w:rPr>
              <w:t>Derivative liabilities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461</w:t>
            </w:r>
          </w:p>
        </w:tc>
        <w:tc>
          <w:tcPr>
            <w:tcW w:w="100" w:type="dxa"/>
            <w:vAlign w:val="bottom"/>
          </w:tcPr>
          <w:p>
            <w:pPr>
              <w:spacing w:after="0"/>
              <w:rPr>
                <w:sz w:val="12"/>
                <w:szCs w:val="12"/>
                <w:color w:val="auto"/>
              </w:rPr>
            </w:pPr>
          </w:p>
        </w:tc>
      </w:tr>
      <w:tr>
        <w:trPr>
          <w:trHeight w:val="148"/>
        </w:trPr>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Convertible preferred stock liabilities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3,174</w:t>
            </w:r>
          </w:p>
        </w:tc>
        <w:tc>
          <w:tcPr>
            <w:tcW w:w="100" w:type="dxa"/>
            <w:vAlign w:val="bottom"/>
            <w:shd w:val="clear" w:color="auto" w:fill="CFF0FC"/>
          </w:tcPr>
          <w:p>
            <w:pPr>
              <w:spacing w:after="0"/>
              <w:rPr>
                <w:sz w:val="12"/>
                <w:szCs w:val="12"/>
                <w:color w:val="auto"/>
              </w:rPr>
            </w:pPr>
          </w:p>
        </w:tc>
      </w:tr>
      <w:tr>
        <w:trPr>
          <w:trHeight w:val="148"/>
        </w:trPr>
        <w:tc>
          <w:tcPr>
            <w:tcW w:w="6660" w:type="dxa"/>
            <w:vAlign w:val="bottom"/>
          </w:tcPr>
          <w:p>
            <w:pPr>
              <w:spacing w:after="0"/>
              <w:rPr>
                <w:sz w:val="20"/>
                <w:szCs w:val="20"/>
                <w:color w:val="auto"/>
              </w:rPr>
            </w:pPr>
            <w:r>
              <w:rPr>
                <w:rFonts w:ascii="Arial" w:cs="Arial" w:eastAsia="Arial" w:hAnsi="Arial"/>
                <w:sz w:val="13"/>
                <w:szCs w:val="13"/>
                <w:color w:val="auto"/>
              </w:rPr>
              <w:t>Operating lease liabilities, net of current portion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10,371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11,701</w:t>
            </w:r>
          </w:p>
        </w:tc>
        <w:tc>
          <w:tcPr>
            <w:tcW w:w="100" w:type="dxa"/>
            <w:vAlign w:val="bottom"/>
          </w:tcPr>
          <w:p>
            <w:pPr>
              <w:spacing w:after="0"/>
              <w:rPr>
                <w:sz w:val="12"/>
                <w:szCs w:val="12"/>
                <w:color w:val="auto"/>
              </w:rPr>
            </w:pPr>
          </w:p>
        </w:tc>
      </w:tr>
      <w:tr>
        <w:trPr>
          <w:trHeight w:val="148"/>
        </w:trPr>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Finance lease liabilities, net of current portion</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FF0FC"/>
          </w:tcPr>
          <w:p>
            <w:pPr>
              <w:spacing w:after="0"/>
              <w:rPr>
                <w:sz w:val="12"/>
                <w:szCs w:val="12"/>
                <w:color w:val="auto"/>
              </w:rPr>
            </w:pPr>
          </w:p>
        </w:tc>
      </w:tr>
      <w:tr>
        <w:trPr>
          <w:trHeight w:val="148"/>
        </w:trPr>
        <w:tc>
          <w:tcPr>
            <w:tcW w:w="6660" w:type="dxa"/>
            <w:vAlign w:val="bottom"/>
          </w:tcPr>
          <w:p>
            <w:pPr>
              <w:spacing w:after="0"/>
              <w:rPr>
                <w:sz w:val="20"/>
                <w:szCs w:val="20"/>
                <w:color w:val="auto"/>
              </w:rPr>
            </w:pPr>
            <w:r>
              <w:rPr>
                <w:rFonts w:ascii="Arial" w:cs="Arial" w:eastAsia="Arial" w:hAnsi="Arial"/>
                <w:sz w:val="13"/>
                <w:szCs w:val="13"/>
                <w:color w:val="auto"/>
              </w:rPr>
              <w:t>Long term liabilities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Deferred revenue from collaborations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666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liabilities</w:t>
            </w:r>
          </w:p>
        </w:tc>
        <w:tc>
          <w:tcPr>
            <w:tcW w:w="9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45,263</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29,332</w:t>
            </w:r>
          </w:p>
        </w:tc>
        <w:tc>
          <w:tcPr>
            <w:tcW w:w="100" w:type="dxa"/>
            <w:vAlign w:val="bottom"/>
            <w:tcBorders>
              <w:bottom w:val="single" w:sz="8" w:color="CFF0FC"/>
            </w:tcBorders>
          </w:tcPr>
          <w:p>
            <w:pPr>
              <w:spacing w:after="0"/>
              <w:rPr>
                <w:sz w:val="12"/>
                <w:szCs w:val="12"/>
                <w:color w:val="auto"/>
              </w:rPr>
            </w:pPr>
          </w:p>
        </w:tc>
      </w:tr>
      <w:tr>
        <w:trPr>
          <w:trHeight w:val="142"/>
        </w:trPr>
        <w:tc>
          <w:tcPr>
            <w:tcW w:w="66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Commitments and contingencies (Note 13)</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4"/>
        </w:trPr>
        <w:tc>
          <w:tcPr>
            <w:tcW w:w="6660" w:type="dxa"/>
            <w:vAlign w:val="bottom"/>
          </w:tcPr>
          <w:p>
            <w:pPr>
              <w:ind w:left="260"/>
              <w:spacing w:after="0" w:line="134" w:lineRule="exact"/>
              <w:rPr>
                <w:sz w:val="20"/>
                <w:szCs w:val="20"/>
                <w:color w:val="auto"/>
              </w:rPr>
            </w:pPr>
            <w:r>
              <w:rPr>
                <w:rFonts w:ascii="Arial" w:cs="Arial" w:eastAsia="Arial" w:hAnsi="Arial"/>
                <w:sz w:val="13"/>
                <w:szCs w:val="13"/>
                <w:color w:val="auto"/>
              </w:rPr>
              <w:t>Series A Redeemable Convertible Preferred Stock, $0.0001 par value;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660" w:type="dxa"/>
            <w:vAlign w:val="bottom"/>
          </w:tcPr>
          <w:p>
            <w:pPr>
              <w:ind w:left="340"/>
              <w:spacing w:after="0" w:line="135" w:lineRule="exact"/>
              <w:rPr>
                <w:sz w:val="20"/>
                <w:szCs w:val="20"/>
                <w:color w:val="auto"/>
              </w:rPr>
            </w:pPr>
            <w:r>
              <w:rPr>
                <w:rFonts w:ascii="Arial" w:cs="Arial" w:eastAsia="Arial" w:hAnsi="Arial"/>
                <w:sz w:val="13"/>
                <w:szCs w:val="13"/>
                <w:color w:val="auto"/>
              </w:rPr>
              <w:t>no shares and 101,962,864 shares authorized as of December 31,</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660" w:type="dxa"/>
            <w:vAlign w:val="bottom"/>
          </w:tcPr>
          <w:p>
            <w:pPr>
              <w:ind w:left="340"/>
              <w:spacing w:after="0" w:line="135" w:lineRule="exact"/>
              <w:rPr>
                <w:sz w:val="20"/>
                <w:szCs w:val="20"/>
                <w:color w:val="auto"/>
              </w:rPr>
            </w:pPr>
            <w:r>
              <w:rPr>
                <w:rFonts w:ascii="Arial" w:cs="Arial" w:eastAsia="Arial" w:hAnsi="Arial"/>
                <w:sz w:val="13"/>
                <w:szCs w:val="13"/>
                <w:color w:val="auto"/>
              </w:rPr>
              <w:t>2020 and 2019, respectively; no shares and 10,819,843 shares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660" w:type="dxa"/>
            <w:vAlign w:val="bottom"/>
          </w:tcPr>
          <w:p>
            <w:pPr>
              <w:ind w:left="340"/>
              <w:spacing w:after="0" w:line="135" w:lineRule="exact"/>
              <w:rPr>
                <w:sz w:val="20"/>
                <w:szCs w:val="20"/>
                <w:color w:val="auto"/>
              </w:rPr>
            </w:pPr>
            <w:r>
              <w:rPr>
                <w:rFonts w:ascii="Arial" w:cs="Arial" w:eastAsia="Arial" w:hAnsi="Arial"/>
                <w:sz w:val="13"/>
                <w:szCs w:val="13"/>
                <w:color w:val="auto"/>
              </w:rPr>
              <w:t>issued and outstanding as of December 31, 2020 and 2019,</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660" w:type="dxa"/>
            <w:vAlign w:val="bottom"/>
          </w:tcPr>
          <w:p>
            <w:pPr>
              <w:ind w:left="340"/>
              <w:spacing w:after="0"/>
              <w:rPr>
                <w:sz w:val="20"/>
                <w:szCs w:val="20"/>
                <w:color w:val="auto"/>
              </w:rPr>
            </w:pPr>
            <w:r>
              <w:rPr>
                <w:rFonts w:ascii="Arial" w:cs="Arial" w:eastAsia="Arial" w:hAnsi="Arial"/>
                <w:sz w:val="13"/>
                <w:szCs w:val="13"/>
                <w:color w:val="auto"/>
              </w:rPr>
              <w:t>respectively; aggregate minimum liquidation preference of $100,838 at December 31, 2019</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100,695</w:t>
            </w:r>
          </w:p>
        </w:tc>
        <w:tc>
          <w:tcPr>
            <w:tcW w:w="100" w:type="dxa"/>
            <w:vAlign w:val="bottom"/>
          </w:tcPr>
          <w:p>
            <w:pPr>
              <w:spacing w:after="0"/>
              <w:rPr>
                <w:sz w:val="12"/>
                <w:szCs w:val="12"/>
                <w:color w:val="auto"/>
              </w:rPr>
            </w:pPr>
          </w:p>
        </w:tc>
      </w:tr>
      <w:tr>
        <w:trPr>
          <w:trHeight w:val="134"/>
        </w:trPr>
        <w:tc>
          <w:tcPr>
            <w:tcW w:w="6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Series B-1 Redeemable Convertible Preferred Stock, $0.0001 par</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value; no shares and 77,764,055 shares authorized as of</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December 31, 2020 and 2019, respectively; no shares and</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8,344,034 issued and outstanding as of December 31,</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2020 and 2019, respectively; aggregate minimum liquidation</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6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preference of $85,005 at December 31, 2019</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81,384</w:t>
            </w:r>
          </w:p>
        </w:tc>
        <w:tc>
          <w:tcPr>
            <w:tcW w:w="100" w:type="dxa"/>
            <w:vAlign w:val="bottom"/>
            <w:shd w:val="clear" w:color="auto" w:fill="CFF0FC"/>
          </w:tcPr>
          <w:p>
            <w:pPr>
              <w:spacing w:after="0"/>
              <w:rPr>
                <w:sz w:val="12"/>
                <w:szCs w:val="12"/>
                <w:color w:val="auto"/>
              </w:rPr>
            </w:pPr>
          </w:p>
        </w:tc>
      </w:tr>
      <w:tr>
        <w:trPr>
          <w:trHeight w:val="134"/>
        </w:trPr>
        <w:tc>
          <w:tcPr>
            <w:tcW w:w="6660" w:type="dxa"/>
            <w:vAlign w:val="bottom"/>
          </w:tcPr>
          <w:p>
            <w:pPr>
              <w:ind w:left="260"/>
              <w:spacing w:after="0" w:line="134" w:lineRule="exact"/>
              <w:rPr>
                <w:sz w:val="20"/>
                <w:szCs w:val="20"/>
                <w:color w:val="auto"/>
              </w:rPr>
            </w:pPr>
            <w:r>
              <w:rPr>
                <w:rFonts w:ascii="Arial" w:cs="Arial" w:eastAsia="Arial" w:hAnsi="Arial"/>
                <w:sz w:val="13"/>
                <w:szCs w:val="13"/>
                <w:color w:val="auto"/>
              </w:rPr>
              <w:t>Preferred Stock, $0.0001 par value; 10,000,000 and no shares authorized as of December 31, 2020</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660" w:type="dxa"/>
            <w:vAlign w:val="bottom"/>
          </w:tcPr>
          <w:p>
            <w:pPr>
              <w:ind w:left="340"/>
              <w:spacing w:after="0" w:line="135" w:lineRule="exact"/>
              <w:rPr>
                <w:sz w:val="20"/>
                <w:szCs w:val="20"/>
                <w:color w:val="auto"/>
              </w:rPr>
            </w:pPr>
            <w:r>
              <w:rPr>
                <w:rFonts w:ascii="Arial" w:cs="Arial" w:eastAsia="Arial" w:hAnsi="Arial"/>
                <w:sz w:val="13"/>
                <w:szCs w:val="13"/>
                <w:color w:val="auto"/>
              </w:rPr>
              <w:t>and 2019, respectively; no shares and no shares issued and outstanding as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660" w:type="dxa"/>
            <w:vAlign w:val="bottom"/>
          </w:tcPr>
          <w:p>
            <w:pPr>
              <w:ind w:left="340"/>
              <w:spacing w:after="0"/>
              <w:rPr>
                <w:sz w:val="20"/>
                <w:szCs w:val="20"/>
                <w:color w:val="auto"/>
              </w:rPr>
            </w:pPr>
            <w:r>
              <w:rPr>
                <w:rFonts w:ascii="Arial" w:cs="Arial" w:eastAsia="Arial" w:hAnsi="Arial"/>
                <w:sz w:val="13"/>
                <w:szCs w:val="13"/>
                <w:color w:val="auto"/>
              </w:rPr>
              <w:t>December 31, 2020 and 2019, respectively.</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660" w:type="dxa"/>
            <w:vAlign w:val="bottom"/>
            <w:shd w:val="clear" w:color="auto" w:fill="CFF0FC"/>
          </w:tcPr>
          <w:p>
            <w:pPr>
              <w:spacing w:after="0"/>
              <w:rPr>
                <w:sz w:val="20"/>
                <w:szCs w:val="20"/>
                <w:color w:val="auto"/>
              </w:rPr>
            </w:pPr>
            <w:r>
              <w:rPr>
                <w:rFonts w:ascii="Arial" w:cs="Arial" w:eastAsia="Arial" w:hAnsi="Arial"/>
                <w:sz w:val="13"/>
                <w:szCs w:val="13"/>
                <w:color w:val="auto"/>
              </w:rPr>
              <w:t>Stockholders’ equity (deficit):</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4"/>
        </w:trPr>
        <w:tc>
          <w:tcPr>
            <w:tcW w:w="6660" w:type="dxa"/>
            <w:vAlign w:val="bottom"/>
          </w:tcPr>
          <w:p>
            <w:pPr>
              <w:ind w:left="260"/>
              <w:spacing w:after="0" w:line="134" w:lineRule="exact"/>
              <w:rPr>
                <w:sz w:val="20"/>
                <w:szCs w:val="20"/>
                <w:color w:val="auto"/>
              </w:rPr>
            </w:pPr>
            <w:r>
              <w:rPr>
                <w:rFonts w:ascii="Arial" w:cs="Arial" w:eastAsia="Arial" w:hAnsi="Arial"/>
                <w:sz w:val="13"/>
                <w:szCs w:val="13"/>
                <w:color w:val="auto"/>
              </w:rPr>
              <w:t>Common stock, $0.0001 par value; 320,000,000 and 278,000,000 shares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660" w:type="dxa"/>
            <w:vAlign w:val="bottom"/>
          </w:tcPr>
          <w:p>
            <w:pPr>
              <w:ind w:left="340"/>
              <w:spacing w:after="0" w:line="135" w:lineRule="exact"/>
              <w:rPr>
                <w:sz w:val="20"/>
                <w:szCs w:val="20"/>
                <w:color w:val="auto"/>
              </w:rPr>
            </w:pPr>
            <w:r>
              <w:rPr>
                <w:rFonts w:ascii="Arial" w:cs="Arial" w:eastAsia="Arial" w:hAnsi="Arial"/>
                <w:sz w:val="13"/>
                <w:szCs w:val="13"/>
                <w:color w:val="auto"/>
              </w:rPr>
              <w:t>authorized as of December 31, 2020 and 2019, respectively;</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660" w:type="dxa"/>
            <w:vAlign w:val="bottom"/>
          </w:tcPr>
          <w:p>
            <w:pPr>
              <w:ind w:left="340"/>
              <w:spacing w:after="0" w:line="135" w:lineRule="exact"/>
              <w:rPr>
                <w:sz w:val="20"/>
                <w:szCs w:val="20"/>
                <w:color w:val="auto"/>
              </w:rPr>
            </w:pPr>
            <w:r>
              <w:rPr>
                <w:rFonts w:ascii="Arial" w:cs="Arial" w:eastAsia="Arial" w:hAnsi="Arial"/>
                <w:sz w:val="13"/>
                <w:szCs w:val="13"/>
                <w:color w:val="auto"/>
              </w:rPr>
              <w:t>36,606,247 and 3,927,803 shares issued and outstanding as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660" w:type="dxa"/>
            <w:vAlign w:val="bottom"/>
          </w:tcPr>
          <w:p>
            <w:pPr>
              <w:ind w:left="340"/>
              <w:spacing w:after="0"/>
              <w:rPr>
                <w:sz w:val="20"/>
                <w:szCs w:val="20"/>
                <w:color w:val="auto"/>
              </w:rPr>
            </w:pPr>
            <w:r>
              <w:rPr>
                <w:rFonts w:ascii="Arial" w:cs="Arial" w:eastAsia="Arial" w:hAnsi="Arial"/>
                <w:sz w:val="13"/>
                <w:szCs w:val="13"/>
                <w:color w:val="auto"/>
              </w:rPr>
              <w:t>December 31, 2020 and 2019, respectively</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66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Additional paid-in capital</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394,963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1,421</w:t>
            </w:r>
          </w:p>
        </w:tc>
        <w:tc>
          <w:tcPr>
            <w:tcW w:w="100" w:type="dxa"/>
            <w:vAlign w:val="bottom"/>
            <w:shd w:val="clear" w:color="auto" w:fill="CFF0FC"/>
          </w:tcPr>
          <w:p>
            <w:pPr>
              <w:spacing w:after="0"/>
              <w:rPr>
                <w:sz w:val="12"/>
                <w:szCs w:val="12"/>
                <w:color w:val="auto"/>
              </w:rPr>
            </w:pPr>
          </w:p>
        </w:tc>
      </w:tr>
      <w:tr>
        <w:trPr>
          <w:trHeight w:val="148"/>
        </w:trPr>
        <w:tc>
          <w:tcPr>
            <w:tcW w:w="6660" w:type="dxa"/>
            <w:vAlign w:val="bottom"/>
          </w:tcPr>
          <w:p>
            <w:pPr>
              <w:ind w:left="140"/>
              <w:spacing w:after="0"/>
              <w:rPr>
                <w:sz w:val="20"/>
                <w:szCs w:val="20"/>
                <w:color w:val="auto"/>
              </w:rPr>
            </w:pPr>
            <w:r>
              <w:rPr>
                <w:rFonts w:ascii="Arial" w:cs="Arial" w:eastAsia="Arial" w:hAnsi="Arial"/>
                <w:sz w:val="13"/>
                <w:szCs w:val="13"/>
                <w:color w:val="auto"/>
              </w:rPr>
              <w:t>Accumulated deficit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color w:val="auto"/>
              </w:rPr>
              <w:t>(174,740)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3"/>
                <w:szCs w:val="13"/>
                <w:color w:val="auto"/>
              </w:rPr>
              <w:t>(66,197)</w:t>
            </w:r>
          </w:p>
        </w:tc>
      </w:tr>
      <w:tr>
        <w:trPr>
          <w:trHeight w:val="148"/>
        </w:trPr>
        <w:tc>
          <w:tcPr>
            <w:tcW w:w="66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(115)</w:t>
            </w:r>
          </w:p>
        </w:tc>
      </w:tr>
      <w:tr>
        <w:trPr>
          <w:trHeight w:val="142"/>
        </w:trPr>
        <w:tc>
          <w:tcPr>
            <w:tcW w:w="666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stockholders’ equity (deficit)</w:t>
            </w:r>
          </w:p>
        </w:tc>
        <w:tc>
          <w:tcPr>
            <w:tcW w:w="9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220,039</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(64,891)</w:t>
            </w:r>
          </w:p>
        </w:tc>
        <w:tc>
          <w:tcPr>
            <w:tcW w:w="100" w:type="dxa"/>
            <w:vAlign w:val="bottom"/>
            <w:tcBorders>
              <w:bottom w:val="single" w:sz="8" w:color="CFF0FC"/>
            </w:tcBorders>
          </w:tcPr>
          <w:p>
            <w:pPr>
              <w:spacing w:after="0"/>
              <w:rPr>
                <w:sz w:val="12"/>
                <w:szCs w:val="12"/>
                <w:color w:val="auto"/>
              </w:rPr>
            </w:pPr>
          </w:p>
        </w:tc>
      </w:tr>
      <w:tr>
        <w:trPr>
          <w:trHeight w:val="142"/>
        </w:trPr>
        <w:tc>
          <w:tcPr>
            <w:tcW w:w="666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liabilities, redeemable convertible preferred stock, and stockholders’ equity (deficit)</w:t>
            </w:r>
          </w:p>
        </w:tc>
        <w:tc>
          <w:tcPr>
            <w:tcW w:w="9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265,302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146,520</w:t>
            </w:r>
          </w:p>
        </w:tc>
        <w:tc>
          <w:tcPr>
            <w:tcW w:w="100" w:type="dxa"/>
            <w:vAlign w:val="bottom"/>
            <w:shd w:val="clear" w:color="auto" w:fill="CFF0FC"/>
          </w:tcPr>
          <w:p>
            <w:pPr>
              <w:spacing w:after="0"/>
              <w:rPr>
                <w:sz w:val="12"/>
                <w:szCs w:val="12"/>
                <w:color w:val="auto"/>
              </w:rPr>
            </w:pPr>
          </w:p>
        </w:tc>
      </w:tr>
    </w:tbl>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5" w:name="page126"/>
    <w:bookmarkEnd w:id="125"/>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Year ended</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r>
      <w:tr>
        <w:trPr>
          <w:trHeight w:val="162"/>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79,890</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44,038</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10,005</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97,834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54,043</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(97,834)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(54,043)</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2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(10,548)</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9"/>
                <w:szCs w:val="19"/>
                <w:color w:val="auto"/>
              </w:rPr>
            </w:pP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Loss before income tax expense</w:t>
            </w:r>
          </w:p>
        </w:tc>
        <w:tc>
          <w:tcPr>
            <w:tcW w:w="2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(108,382)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(52,179)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(108,543)</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Other comprehensive (loss) and income: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pension plans</w:t>
            </w: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w:t>
            </w: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Gain on available for sale investments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(108,616)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(52,382)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9,988,191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2,007,173</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620" w:type="dxa"/>
            <w:vAlign w:val="bottom"/>
            <w:gridSpan w:val="7"/>
          </w:tcPr>
          <w:p>
            <w:pPr>
              <w:jc w:val="center"/>
              <w:ind w:right="160"/>
              <w:spacing w:after="0"/>
              <w:rPr>
                <w:sz w:val="20"/>
                <w:szCs w:val="20"/>
                <w:color w:val="auto"/>
              </w:rPr>
            </w:pPr>
            <w:r>
              <w:rPr>
                <w:rFonts w:ascii="Arial" w:cs="Arial" w:eastAsia="Arial" w:hAnsi="Arial"/>
                <w:sz w:val="13"/>
                <w:szCs w:val="13"/>
                <w:b w:val="1"/>
                <w:bCs w:val="1"/>
                <w:color w:val="auto"/>
                <w:w w:val="86"/>
              </w:rPr>
              <w:t>Series A Redeemable</w:t>
            </w:r>
          </w:p>
        </w:tc>
        <w:tc>
          <w:tcPr>
            <w:tcW w:w="142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4"/>
              </w:rPr>
              <w:t>Series B-1 Redeemable</w:t>
            </w:r>
          </w:p>
        </w:tc>
        <w:tc>
          <w:tcPr>
            <w:tcW w:w="1620" w:type="dxa"/>
            <w:vAlign w:val="bottom"/>
            <w:gridSpan w:val="7"/>
          </w:tcPr>
          <w:p>
            <w:pPr>
              <w:jc w:val="center"/>
              <w:ind w:right="180"/>
              <w:spacing w:after="0"/>
              <w:rPr>
                <w:sz w:val="20"/>
                <w:szCs w:val="20"/>
                <w:color w:val="auto"/>
              </w:rPr>
            </w:pPr>
            <w:r>
              <w:rPr>
                <w:rFonts w:ascii="Arial" w:cs="Arial" w:eastAsia="Arial" w:hAnsi="Arial"/>
                <w:sz w:val="13"/>
                <w:szCs w:val="13"/>
                <w:b w:val="1"/>
                <w:bCs w:val="1"/>
                <w:color w:val="auto"/>
                <w:w w:val="86"/>
              </w:rPr>
              <w:t>Series B-2 Redeemable</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620" w:type="dxa"/>
            <w:vAlign w:val="bottom"/>
            <w:gridSpan w:val="7"/>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Convertible Preferred</w:t>
            </w:r>
          </w:p>
        </w:tc>
        <w:tc>
          <w:tcPr>
            <w:tcW w:w="1420" w:type="dxa"/>
            <w:vAlign w:val="bottom"/>
            <w:gridSpan w:val="6"/>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Convertible Preferred</w:t>
            </w:r>
          </w:p>
        </w:tc>
        <w:tc>
          <w:tcPr>
            <w:tcW w:w="1620" w:type="dxa"/>
            <w:vAlign w:val="bottom"/>
            <w:gridSpan w:val="7"/>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Convertible Preferred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5"/>
          </w:tcPr>
          <w:p>
            <w:pPr>
              <w:ind w:left="6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88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w:t>
            </w:r>
          </w:p>
        </w:tc>
        <w:tc>
          <w:tcPr>
            <w:tcW w:w="900" w:type="dxa"/>
            <w:vAlign w:val="bottom"/>
            <w:gridSpan w:val="4"/>
          </w:tcPr>
          <w:p>
            <w:pPr>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Comprehensive</w:t>
            </w: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4"/>
        </w:trPr>
        <w:tc>
          <w:tcPr>
            <w:tcW w:w="1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880" w:type="dxa"/>
            <w:vAlign w:val="bottom"/>
            <w:gridSpan w:val="3"/>
          </w:tcPr>
          <w:p>
            <w:pPr>
              <w:ind w:left="180"/>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4"/>
          </w:tcPr>
          <w:p>
            <w:pPr>
              <w:ind w:left="60"/>
              <w:spacing w:after="0"/>
              <w:rPr>
                <w:sz w:val="20"/>
                <w:szCs w:val="20"/>
                <w:color w:val="auto"/>
              </w:rPr>
            </w:pPr>
            <w:r>
              <w:rPr>
                <w:rFonts w:ascii="Arial" w:cs="Arial" w:eastAsia="Arial" w:hAnsi="Arial"/>
                <w:sz w:val="13"/>
                <w:szCs w:val="13"/>
                <w:b w:val="1"/>
                <w:bCs w:val="1"/>
                <w:color w:val="auto"/>
              </w:rPr>
              <w:t>Amount</w:t>
            </w:r>
          </w:p>
        </w:tc>
        <w:tc>
          <w:tcPr>
            <w:tcW w:w="800" w:type="dxa"/>
            <w:vAlign w:val="bottom"/>
            <w:gridSpan w:val="3"/>
          </w:tcPr>
          <w:p>
            <w:pPr>
              <w:ind w:left="14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3"/>
              </w:rPr>
              <w:t>Amount</w:t>
            </w:r>
          </w:p>
        </w:tc>
        <w:tc>
          <w:tcPr>
            <w:tcW w:w="860" w:type="dxa"/>
            <w:vAlign w:val="bottom"/>
            <w:gridSpan w:val="3"/>
          </w:tcPr>
          <w:p>
            <w:pPr>
              <w:ind w:left="200"/>
              <w:spacing w:after="0"/>
              <w:rPr>
                <w:sz w:val="20"/>
                <w:szCs w:val="20"/>
                <w:color w:val="auto"/>
              </w:rPr>
            </w:pPr>
            <w:r>
              <w:rPr>
                <w:rFonts w:ascii="Arial" w:cs="Arial" w:eastAsia="Arial" w:hAnsi="Arial"/>
                <w:sz w:val="13"/>
                <w:szCs w:val="13"/>
                <w:b w:val="1"/>
                <w:bCs w:val="1"/>
                <w:color w:val="auto"/>
              </w:rPr>
              <w:t>Shares</w:t>
            </w:r>
          </w:p>
        </w:tc>
        <w:tc>
          <w:tcPr>
            <w:tcW w:w="760" w:type="dxa"/>
            <w:vAlign w:val="bottom"/>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Deficit</w:t>
            </w:r>
          </w:p>
        </w:tc>
        <w:tc>
          <w:tcPr>
            <w:tcW w:w="10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28"/>
        </w:trPr>
        <w:tc>
          <w:tcPr>
            <w:tcW w:w="166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9"/>
              </w:rPr>
              <w:t>Balance as of December 31,</w:t>
            </w: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right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2018</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10,806,432</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100,519</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3,036,574</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(13,933)</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(13,748)</w:t>
            </w:r>
          </w:p>
        </w:tc>
        <w:tc>
          <w:tcPr>
            <w:tcW w:w="0" w:type="dxa"/>
            <w:vAlign w:val="bottom"/>
          </w:tcPr>
          <w:p>
            <w:pPr>
              <w:spacing w:after="0"/>
              <w:rPr>
                <w:sz w:val="1"/>
                <w:szCs w:val="1"/>
                <w:color w:val="auto"/>
              </w:rPr>
            </w:pPr>
          </w:p>
        </w:tc>
      </w:tr>
      <w:tr>
        <w:trPr>
          <w:trHeight w:val="134"/>
        </w:trPr>
        <w:tc>
          <w:tcPr>
            <w:tcW w:w="1660" w:type="dxa"/>
            <w:vAlign w:val="bottom"/>
          </w:tcPr>
          <w:p>
            <w:pPr>
              <w:spacing w:after="0" w:line="134" w:lineRule="exact"/>
              <w:rPr>
                <w:sz w:val="20"/>
                <w:szCs w:val="20"/>
                <w:color w:val="auto"/>
              </w:rPr>
            </w:pPr>
            <w:r>
              <w:rPr>
                <w:rFonts w:ascii="Arial" w:cs="Arial" w:eastAsia="Arial" w:hAnsi="Arial"/>
                <w:sz w:val="13"/>
                <w:szCs w:val="13"/>
                <w:color w:val="auto"/>
              </w:rPr>
              <w:t>Issuance of common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upon exercise of</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891,229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Vesting of early exercised</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common stock</w:t>
            </w:r>
          </w:p>
        </w:tc>
        <w:tc>
          <w:tcPr>
            <w:tcW w:w="8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60" w:type="dxa"/>
            <w:vAlign w:val="bottom"/>
          </w:tcPr>
          <w:p>
            <w:pPr>
              <w:ind w:left="260"/>
              <w:spacing w:after="0" w:line="134" w:lineRule="exact"/>
              <w:rPr>
                <w:sz w:val="20"/>
                <w:szCs w:val="20"/>
                <w:color w:val="auto"/>
              </w:rPr>
            </w:pPr>
            <w:r>
              <w:rPr>
                <w:rFonts w:ascii="Arial" w:cs="Arial" w:eastAsia="Arial" w:hAnsi="Arial"/>
                <w:sz w:val="13"/>
                <w:szCs w:val="13"/>
                <w:color w:val="auto"/>
                <w:w w:val="99"/>
              </w:rPr>
              <w:t>Issuance of redeemable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60"/>
              <w:spacing w:after="0" w:line="135" w:lineRule="exact"/>
              <w:rPr>
                <w:sz w:val="20"/>
                <w:szCs w:val="20"/>
                <w:color w:val="auto"/>
              </w:rPr>
            </w:pPr>
            <w:r>
              <w:rPr>
                <w:rFonts w:ascii="Arial" w:cs="Arial" w:eastAsia="Arial" w:hAnsi="Arial"/>
                <w:sz w:val="13"/>
                <w:szCs w:val="13"/>
                <w:color w:val="auto"/>
              </w:rPr>
              <w:t>convertible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340"/>
              <w:spacing w:after="0" w:line="135" w:lineRule="exact"/>
              <w:rPr>
                <w:sz w:val="20"/>
                <w:szCs w:val="20"/>
                <w:color w:val="auto"/>
              </w:rPr>
            </w:pPr>
            <w:r>
              <w:rPr>
                <w:rFonts w:ascii="Arial" w:cs="Arial" w:eastAsia="Arial" w:hAnsi="Arial"/>
                <w:sz w:val="13"/>
                <w:szCs w:val="13"/>
                <w:color w:val="auto"/>
              </w:rPr>
              <w:t>Series B-1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60"/>
              <w:spacing w:after="0" w:line="135" w:lineRule="exact"/>
              <w:rPr>
                <w:sz w:val="20"/>
                <w:szCs w:val="20"/>
                <w:color w:val="auto"/>
              </w:rPr>
            </w:pPr>
            <w:r>
              <w:rPr>
                <w:rFonts w:ascii="Arial" w:cs="Arial" w:eastAsia="Arial" w:hAnsi="Arial"/>
                <w:sz w:val="13"/>
                <w:szCs w:val="13"/>
                <w:color w:val="auto"/>
              </w:rPr>
              <w:t>stock, net of $442</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340"/>
              <w:spacing w:after="0" w:line="135" w:lineRule="exact"/>
              <w:rPr>
                <w:sz w:val="20"/>
                <w:szCs w:val="20"/>
                <w:color w:val="auto"/>
              </w:rPr>
            </w:pPr>
            <w:r>
              <w:rPr>
                <w:rFonts w:ascii="Arial" w:cs="Arial" w:eastAsia="Arial" w:hAnsi="Arial"/>
                <w:sz w:val="13"/>
                <w:szCs w:val="13"/>
                <w:color w:val="auto"/>
              </w:rPr>
              <w:t>issuance costs and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60"/>
              <w:spacing w:after="0" w:line="135" w:lineRule="exact"/>
              <w:rPr>
                <w:sz w:val="20"/>
                <w:szCs w:val="20"/>
                <w:color w:val="auto"/>
              </w:rPr>
            </w:pPr>
            <w:r>
              <w:rPr>
                <w:rFonts w:ascii="Arial" w:cs="Arial" w:eastAsia="Arial" w:hAnsi="Arial"/>
                <w:sz w:val="13"/>
                <w:szCs w:val="13"/>
                <w:color w:val="auto"/>
              </w:rPr>
              <w:t>$3,174 of convertible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340"/>
              <w:spacing w:after="0" w:line="135" w:lineRule="exact"/>
              <w:rPr>
                <w:sz w:val="20"/>
                <w:szCs w:val="20"/>
                <w:color w:val="auto"/>
              </w:rPr>
            </w:pPr>
            <w:r>
              <w:rPr>
                <w:rFonts w:ascii="Arial" w:cs="Arial" w:eastAsia="Arial" w:hAnsi="Arial"/>
                <w:sz w:val="13"/>
                <w:szCs w:val="13"/>
                <w:color w:val="auto"/>
              </w:rPr>
              <w:t>preferred 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260"/>
              <w:spacing w:after="0"/>
              <w:rPr>
                <w:sz w:val="20"/>
                <w:szCs w:val="20"/>
                <w:color w:val="auto"/>
              </w:rPr>
            </w:pPr>
            <w:r>
              <w:rPr>
                <w:rFonts w:ascii="Arial" w:cs="Arial" w:eastAsia="Arial" w:hAnsi="Arial"/>
                <w:sz w:val="13"/>
                <w:szCs w:val="13"/>
                <w:color w:val="auto"/>
              </w:rPr>
              <w:t>liabilities</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8,344,034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81,384</w:t>
            </w:r>
          </w:p>
        </w:tc>
        <w:tc>
          <w:tcPr>
            <w:tcW w:w="10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9"/>
              </w:rPr>
              <w:t>Issuance of redeemable</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convertible Series A</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preferred stock upon</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warrants</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13,411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loss</w:t>
            </w:r>
          </w:p>
        </w:tc>
        <w:tc>
          <w:tcPr>
            <w:tcW w:w="8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20"/>
                <w:szCs w:val="20"/>
                <w:color w:val="auto"/>
              </w:rPr>
            </w:pPr>
            <w:r>
              <w:rPr>
                <w:rFonts w:ascii="Arial" w:cs="Arial" w:eastAsia="Arial" w:hAnsi="Arial"/>
                <w:sz w:val="13"/>
                <w:szCs w:val="13"/>
                <w:color w:val="auto"/>
              </w:rPr>
              <w:t>Net loss</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(52,264)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(52,264)</w:t>
            </w:r>
          </w:p>
        </w:tc>
        <w:tc>
          <w:tcPr>
            <w:tcW w:w="0" w:type="dxa"/>
            <w:vAlign w:val="bottom"/>
          </w:tcPr>
          <w:p>
            <w:pPr>
              <w:spacing w:after="0"/>
              <w:rPr>
                <w:sz w:val="1"/>
                <w:szCs w:val="1"/>
                <w:color w:val="auto"/>
              </w:rPr>
            </w:pPr>
          </w:p>
        </w:tc>
      </w:tr>
      <w:tr>
        <w:trPr>
          <w:trHeight w:val="128"/>
        </w:trPr>
        <w:tc>
          <w:tcPr>
            <w:tcW w:w="166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9"/>
              </w:rPr>
              <w:t>Balance as of December 31,</w:t>
            </w: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right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2019</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10,819,843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100,695</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8,344,034</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81,384</w:t>
            </w:r>
          </w:p>
        </w:tc>
        <w:tc>
          <w:tcPr>
            <w:tcW w:w="10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3,927,803</w:t>
            </w:r>
          </w:p>
        </w:tc>
        <w:tc>
          <w:tcPr>
            <w:tcW w:w="42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(66,197)</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(64,891)</w:t>
            </w:r>
          </w:p>
        </w:tc>
        <w:tc>
          <w:tcPr>
            <w:tcW w:w="0" w:type="dxa"/>
            <w:vAlign w:val="bottom"/>
          </w:tcPr>
          <w:p>
            <w:pPr>
              <w:spacing w:after="0"/>
              <w:rPr>
                <w:sz w:val="1"/>
                <w:szCs w:val="1"/>
                <w:color w:val="auto"/>
              </w:rPr>
            </w:pPr>
          </w:p>
        </w:tc>
      </w:tr>
      <w:tr>
        <w:trPr>
          <w:trHeight w:val="20"/>
        </w:trPr>
        <w:tc>
          <w:tcPr>
            <w:tcW w:w="1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Issuance of common stock</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6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upon exercise of</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188,594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Vesting of early exercised</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common stock</w:t>
            </w:r>
          </w:p>
        </w:tc>
        <w:tc>
          <w:tcPr>
            <w:tcW w:w="8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60" w:type="dxa"/>
            <w:vAlign w:val="bottom"/>
          </w:tcPr>
          <w:p>
            <w:pPr>
              <w:spacing w:after="0" w:line="134" w:lineRule="exact"/>
              <w:rPr>
                <w:sz w:val="20"/>
                <w:szCs w:val="20"/>
                <w:color w:val="auto"/>
              </w:rPr>
            </w:pPr>
            <w:r>
              <w:rPr>
                <w:rFonts w:ascii="Arial" w:cs="Arial" w:eastAsia="Arial" w:hAnsi="Arial"/>
                <w:sz w:val="13"/>
                <w:szCs w:val="13"/>
                <w:color w:val="auto"/>
              </w:rPr>
              <w:t>Issuance of Series 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20"/>
                <w:szCs w:val="20"/>
                <w:color w:val="auto"/>
              </w:rPr>
            </w:pPr>
            <w:r>
              <w:rPr>
                <w:rFonts w:ascii="Arial" w:cs="Arial" w:eastAsia="Arial" w:hAnsi="Arial"/>
                <w:sz w:val="13"/>
                <w:szCs w:val="13"/>
                <w:color w:val="auto"/>
                <w:w w:val="96"/>
              </w:rPr>
              <w:t>redeemable convertible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3"/>
              </w:rPr>
              <w:t>upon exercise of Series A</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warrants</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120,702</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1,262</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660" w:type="dxa"/>
            <w:vAlign w:val="bottom"/>
          </w:tcPr>
          <w:p>
            <w:pPr>
              <w:spacing w:after="0" w:line="134" w:lineRule="exact"/>
              <w:rPr>
                <w:sz w:val="20"/>
                <w:szCs w:val="20"/>
                <w:color w:val="auto"/>
              </w:rPr>
            </w:pPr>
            <w:r>
              <w:rPr>
                <w:rFonts w:ascii="Arial" w:cs="Arial" w:eastAsia="Arial" w:hAnsi="Arial"/>
                <w:sz w:val="13"/>
                <w:szCs w:val="13"/>
                <w:color w:val="auto"/>
              </w:rPr>
              <w:t>Issuance of redeemable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convertible Series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100"/>
              <w:spacing w:after="0"/>
              <w:rPr>
                <w:sz w:val="20"/>
                <w:szCs w:val="20"/>
                <w:color w:val="auto"/>
              </w:rPr>
            </w:pPr>
            <w:r>
              <w:rPr>
                <w:rFonts w:ascii="Arial" w:cs="Arial" w:eastAsia="Arial" w:hAnsi="Arial"/>
                <w:sz w:val="13"/>
                <w:szCs w:val="13"/>
                <w:color w:val="auto"/>
              </w:rPr>
              <w:t>B-2 preferred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w:t>
            </w:r>
          </w:p>
        </w:tc>
        <w:tc>
          <w:tcPr>
            <w:tcW w:w="8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3,569,630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40,000</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660" w:type="dxa"/>
            <w:vAlign w:val="bottom"/>
          </w:tcPr>
          <w:p>
            <w:pPr>
              <w:spacing w:after="0" w:line="134" w:lineRule="exact"/>
              <w:rPr>
                <w:sz w:val="20"/>
                <w:szCs w:val="20"/>
                <w:color w:val="auto"/>
              </w:rPr>
            </w:pPr>
            <w:r>
              <w:rPr>
                <w:rFonts w:ascii="Arial" w:cs="Arial" w:eastAsia="Arial" w:hAnsi="Arial"/>
                <w:sz w:val="13"/>
                <w:szCs w:val="13"/>
                <w:color w:val="auto"/>
              </w:rPr>
              <w:t>Reclassification of Series 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warrant and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60"/>
              <w:spacing w:after="0" w:line="135" w:lineRule="exact"/>
              <w:rPr>
                <w:sz w:val="20"/>
                <w:szCs w:val="20"/>
                <w:color w:val="auto"/>
              </w:rPr>
            </w:pPr>
            <w:r>
              <w:rPr>
                <w:rFonts w:ascii="Arial" w:cs="Arial" w:eastAsia="Arial" w:hAnsi="Arial"/>
                <w:sz w:val="13"/>
                <w:szCs w:val="13"/>
                <w:color w:val="auto"/>
              </w:rPr>
              <w:t>convertible preferred</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stock</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260"/>
              <w:spacing w:after="0"/>
              <w:rPr>
                <w:sz w:val="20"/>
                <w:szCs w:val="20"/>
                <w:color w:val="auto"/>
              </w:rPr>
            </w:pPr>
            <w:r>
              <w:rPr>
                <w:rFonts w:ascii="Arial" w:cs="Arial" w:eastAsia="Arial" w:hAnsi="Arial"/>
                <w:sz w:val="13"/>
                <w:szCs w:val="13"/>
                <w:color w:val="auto"/>
              </w:rPr>
              <w:t>liabilities to equity</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14,560</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Conversion of redeemable</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convertible</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preferred stock</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660" w:type="dxa"/>
            <w:vAlign w:val="bottom"/>
          </w:tcPr>
          <w:p>
            <w:pPr>
              <w:ind w:left="260"/>
              <w:spacing w:after="0" w:line="134" w:lineRule="exact"/>
              <w:rPr>
                <w:sz w:val="20"/>
                <w:szCs w:val="20"/>
                <w:color w:val="auto"/>
              </w:rPr>
            </w:pPr>
            <w:r>
              <w:rPr>
                <w:rFonts w:ascii="Arial" w:cs="Arial" w:eastAsia="Arial" w:hAnsi="Arial"/>
                <w:sz w:val="13"/>
                <w:szCs w:val="13"/>
                <w:color w:val="auto"/>
              </w:rPr>
              <w:t>to common stock in</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60"/>
              <w:spacing w:after="0" w:line="135" w:lineRule="exact"/>
              <w:rPr>
                <w:sz w:val="20"/>
                <w:szCs w:val="20"/>
                <w:color w:val="auto"/>
              </w:rPr>
            </w:pPr>
            <w:r>
              <w:rPr>
                <w:rFonts w:ascii="Arial" w:cs="Arial" w:eastAsia="Arial" w:hAnsi="Arial"/>
                <w:sz w:val="13"/>
                <w:szCs w:val="13"/>
                <w:color w:val="auto"/>
              </w:rPr>
              <w:t>connection with</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340"/>
              <w:spacing w:after="0"/>
              <w:rPr>
                <w:sz w:val="20"/>
                <w:szCs w:val="20"/>
                <w:color w:val="auto"/>
              </w:rPr>
            </w:pPr>
            <w:r>
              <w:rPr>
                <w:rFonts w:ascii="Arial" w:cs="Arial" w:eastAsia="Arial" w:hAnsi="Arial"/>
                <w:sz w:val="13"/>
                <w:szCs w:val="13"/>
                <w:color w:val="auto"/>
              </w:rPr>
              <w:t>initial public offering</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(10,940,545)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(102,577)</w:t>
            </w: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w w:val="99"/>
              </w:rPr>
              <w:t>(8,344,034)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w w:val="90"/>
              </w:rPr>
              <w:t>(81,384)</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(3,569,630)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90"/>
              </w:rPr>
              <w:t>(54,560)</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22,854,209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238,520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238,523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Issuance of common stock in</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connection with</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660" w:type="dxa"/>
            <w:vAlign w:val="bottom"/>
          </w:tcPr>
          <w:p>
            <w:pPr>
              <w:ind w:left="260"/>
              <w:spacing w:after="0" w:line="134" w:lineRule="exact"/>
              <w:rPr>
                <w:sz w:val="20"/>
                <w:szCs w:val="20"/>
                <w:color w:val="auto"/>
              </w:rPr>
            </w:pPr>
            <w:r>
              <w:rPr>
                <w:rFonts w:ascii="Arial" w:cs="Arial" w:eastAsia="Arial" w:hAnsi="Arial"/>
                <w:sz w:val="13"/>
                <w:szCs w:val="13"/>
                <w:color w:val="auto"/>
                <w:w w:val="98"/>
              </w:rPr>
              <w:t>initial public offering, net</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260"/>
              <w:spacing w:after="0"/>
              <w:rPr>
                <w:sz w:val="20"/>
                <w:szCs w:val="20"/>
                <w:color w:val="auto"/>
              </w:rPr>
            </w:pPr>
            <w:r>
              <w:rPr>
                <w:rFonts w:ascii="Arial" w:cs="Arial" w:eastAsia="Arial" w:hAnsi="Arial"/>
                <w:sz w:val="13"/>
                <w:szCs w:val="13"/>
                <w:color w:val="auto"/>
              </w:rPr>
              <w:t>of offering costs</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10,000,000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139,499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139,500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Issuance of common stock in</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connection with</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660" w:type="dxa"/>
            <w:vAlign w:val="bottom"/>
          </w:tcPr>
          <w:p>
            <w:pPr>
              <w:ind w:left="260"/>
              <w:spacing w:after="0" w:line="134" w:lineRule="exact"/>
              <w:rPr>
                <w:sz w:val="20"/>
                <w:szCs w:val="20"/>
                <w:color w:val="auto"/>
              </w:rPr>
            </w:pPr>
            <w:r>
              <w:rPr>
                <w:rFonts w:ascii="Arial" w:cs="Arial" w:eastAsia="Arial" w:hAnsi="Arial"/>
                <w:sz w:val="13"/>
                <w:szCs w:val="13"/>
                <w:color w:val="auto"/>
              </w:rPr>
              <w:t>Greenshoe initial public</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60"/>
              <w:spacing w:after="0" w:line="135" w:lineRule="exact"/>
              <w:rPr>
                <w:sz w:val="20"/>
                <w:szCs w:val="20"/>
                <w:color w:val="auto"/>
              </w:rPr>
            </w:pPr>
            <w:r>
              <w:rPr>
                <w:rFonts w:ascii="Arial" w:cs="Arial" w:eastAsia="Arial" w:hAnsi="Arial"/>
                <w:sz w:val="13"/>
                <w:szCs w:val="13"/>
                <w:color w:val="auto"/>
              </w:rPr>
              <w:t>offering, net</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340"/>
              <w:spacing w:after="0"/>
              <w:rPr>
                <w:sz w:val="20"/>
                <w:szCs w:val="20"/>
                <w:color w:val="auto"/>
              </w:rPr>
            </w:pPr>
            <w:r>
              <w:rPr>
                <w:rFonts w:ascii="Arial" w:cs="Arial" w:eastAsia="Arial" w:hAnsi="Arial"/>
                <w:sz w:val="13"/>
                <w:szCs w:val="13"/>
                <w:color w:val="auto"/>
              </w:rPr>
              <w:t>of offering costs</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1,150,000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16,042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Costs related to the IPO and</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Greenshoe</w:t>
            </w:r>
          </w:p>
        </w:tc>
        <w:tc>
          <w:tcPr>
            <w:tcW w:w="8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(4,116)</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(4,116)</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loss</w:t>
            </w:r>
          </w:p>
        </w:tc>
        <w:tc>
          <w:tcPr>
            <w:tcW w:w="8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20"/>
                <w:szCs w:val="20"/>
                <w:color w:val="auto"/>
              </w:rPr>
            </w:pPr>
            <w:r>
              <w:rPr>
                <w:rFonts w:ascii="Arial" w:cs="Arial" w:eastAsia="Arial" w:hAnsi="Arial"/>
                <w:sz w:val="13"/>
                <w:szCs w:val="13"/>
                <w:color w:val="auto"/>
              </w:rPr>
              <w:t>Net loss</w:t>
            </w: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(108,543)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(108,543)</w:t>
            </w:r>
          </w:p>
        </w:tc>
        <w:tc>
          <w:tcPr>
            <w:tcW w:w="0" w:type="dxa"/>
            <w:vAlign w:val="bottom"/>
          </w:tcPr>
          <w:p>
            <w:pPr>
              <w:spacing w:after="0"/>
              <w:rPr>
                <w:sz w:val="1"/>
                <w:szCs w:val="1"/>
                <w:color w:val="auto"/>
              </w:rPr>
            </w:pPr>
          </w:p>
        </w:tc>
      </w:tr>
      <w:tr>
        <w:trPr>
          <w:trHeight w:val="128"/>
        </w:trPr>
        <w:tc>
          <w:tcPr>
            <w:tcW w:w="166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9"/>
              </w:rPr>
              <w:t>Balance as of December 31,</w:t>
            </w: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right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FF0FC"/>
          </w:tcPr>
          <w:p>
            <w:pPr>
              <w:spacing w:after="0"/>
              <w:rPr>
                <w:sz w:val="20"/>
                <w:szCs w:val="20"/>
                <w:color w:val="auto"/>
              </w:rPr>
            </w:pPr>
            <w:r>
              <w:rPr>
                <w:rFonts w:ascii="Arial" w:cs="Arial" w:eastAsia="Arial" w:hAnsi="Arial"/>
                <w:sz w:val="13"/>
                <w:szCs w:val="13"/>
                <w:color w:val="auto"/>
              </w:rPr>
              <w:t>2020</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(0)</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38,120,606</w:t>
            </w:r>
          </w:p>
        </w:tc>
        <w:tc>
          <w:tcPr>
            <w:tcW w:w="42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2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394,963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(174,740 )</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220,039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7" w:name="page128"/>
    <w:bookmarkEnd w:id="127"/>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Year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FF0FC"/>
            </w:tcBorders>
            <w:vMerge w:val="continue"/>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(108,543)</w:t>
            </w:r>
          </w:p>
        </w:tc>
        <w:tc>
          <w:tcPr>
            <w:tcW w:w="1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(52,264)</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500"/>
              <w:spacing w:after="0"/>
              <w:rPr>
                <w:sz w:val="20"/>
                <w:szCs w:val="20"/>
                <w:color w:val="auto"/>
              </w:rPr>
            </w:pPr>
            <w:r>
              <w:rPr>
                <w:rFonts w:ascii="Arial" w:cs="Arial" w:eastAsia="Arial" w:hAnsi="Arial"/>
                <w:sz w:val="18"/>
                <w:szCs w:val="18"/>
                <w:color w:val="auto"/>
              </w:rPr>
              <w:t>Accretion of discount on short term investments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right of use assets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9"/>
        </w:trPr>
        <w:tc>
          <w:tcPr>
            <w:tcW w:w="654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2,735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2,975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9"/>
        </w:trPr>
        <w:tc>
          <w:tcPr>
            <w:tcW w:w="6540" w:type="dxa"/>
            <w:vAlign w:val="bottom"/>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convertible preferred stock liabilities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11,387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6540" w:type="dxa"/>
            <w:vAlign w:val="bottom"/>
          </w:tcPr>
          <w:p>
            <w:pPr>
              <w:ind w:left="740"/>
              <w:spacing w:after="0"/>
              <w:rPr>
                <w:sz w:val="20"/>
                <w:szCs w:val="20"/>
                <w:color w:val="auto"/>
              </w:rPr>
            </w:pPr>
            <w:r>
              <w:rPr>
                <w:rFonts w:ascii="Arial" w:cs="Arial" w:eastAsia="Arial" w:hAnsi="Arial"/>
                <w:sz w:val="18"/>
                <w:szCs w:val="18"/>
                <w:color w:val="auto"/>
              </w:rPr>
              <w:t>Right of use assets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9"/>
        </w:trPr>
        <w:tc>
          <w:tcPr>
            <w:tcW w:w="6540" w:type="dxa"/>
            <w:vAlign w:val="bottom"/>
          </w:tcPr>
          <w:p>
            <w:pPr>
              <w:ind w:left="740"/>
              <w:spacing w:after="0"/>
              <w:rPr>
                <w:sz w:val="20"/>
                <w:szCs w:val="20"/>
                <w:color w:val="auto"/>
              </w:rPr>
            </w:pPr>
            <w:r>
              <w:rPr>
                <w:rFonts w:ascii="Arial" w:cs="Arial" w:eastAsia="Arial" w:hAnsi="Arial"/>
                <w:sz w:val="18"/>
                <w:szCs w:val="18"/>
                <w:color w:val="auto"/>
              </w:rPr>
              <w:t>Accrued liabilities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9,566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 liabilities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54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and cash equivalents used in operating activities</w:t>
            </w:r>
          </w:p>
        </w:tc>
        <w:tc>
          <w:tcPr>
            <w:tcW w:w="1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(74,263)</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(46,767)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(60,404)</w:t>
            </w: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Purchases of long-term investments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short-term investments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80,100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09"/>
        </w:trPr>
        <w:tc>
          <w:tcPr>
            <w:tcW w:w="65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and cash equivalents provided by investing</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activities</w:t>
            </w:r>
          </w:p>
        </w:tc>
        <w:tc>
          <w:tcPr>
            <w:tcW w:w="1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32,755</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finance lease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6540" w:type="dxa"/>
            <w:vAlign w:val="bottom"/>
          </w:tcPr>
          <w:p>
            <w:pPr>
              <w:ind w:left="260"/>
              <w:spacing w:after="0"/>
              <w:rPr>
                <w:sz w:val="20"/>
                <w:szCs w:val="20"/>
                <w:color w:val="auto"/>
              </w:rPr>
            </w:pPr>
            <w:r>
              <w:rPr>
                <w:rFonts w:ascii="Arial" w:cs="Arial" w:eastAsia="Arial" w:hAnsi="Arial"/>
                <w:sz w:val="18"/>
                <w:szCs w:val="18"/>
                <w:color w:val="auto"/>
              </w:rPr>
              <w:t>Payments on deferred offering costs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series B-1 issuance cost</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40" w:type="dxa"/>
            <w:vAlign w:val="bottom"/>
          </w:tcPr>
          <w:p>
            <w:pPr>
              <w:ind w:left="260"/>
              <w:spacing w:after="0"/>
              <w:rPr>
                <w:sz w:val="20"/>
                <w:szCs w:val="20"/>
                <w:color w:val="auto"/>
              </w:rPr>
            </w:pPr>
            <w:r>
              <w:rPr>
                <w:rFonts w:ascii="Arial" w:cs="Arial" w:eastAsia="Arial" w:hAnsi="Arial"/>
                <w:sz w:val="18"/>
                <w:szCs w:val="18"/>
                <w:color w:val="auto"/>
              </w:rPr>
              <w:t>Proceeds from exercise of warrants for series A redeemable convertible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1,125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5"/>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redeemable convertible preferred stock Series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B-1, net of $37 issuance costs paid</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84,963</w:t>
            </w: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5"/>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in initial public offering, net</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underwriting commissions</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139,500</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4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in connection with the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overallotment option, net of costs</w:t>
            </w:r>
          </w:p>
        </w:tc>
        <w:tc>
          <w:tcPr>
            <w:tcW w:w="10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16,042</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and cash equivalents provided by financing activities</w:t>
            </w:r>
          </w:p>
        </w:tc>
        <w:tc>
          <w:tcPr>
            <w:tcW w:w="10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192,348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85,532</w:t>
            </w:r>
          </w:p>
        </w:tc>
        <w:tc>
          <w:tcPr>
            <w:tcW w:w="0" w:type="dxa"/>
            <w:vAlign w:val="bottom"/>
          </w:tcPr>
          <w:p>
            <w:pPr>
              <w:spacing w:after="0"/>
              <w:rPr>
                <w:sz w:val="1"/>
                <w:szCs w:val="1"/>
                <w:color w:val="auto"/>
              </w:rPr>
            </w:pPr>
          </w:p>
        </w:tc>
      </w:tr>
      <w:tr>
        <w:trPr>
          <w:trHeight w:val="223"/>
        </w:trPr>
        <w:tc>
          <w:tcPr>
            <w:tcW w:w="6540" w:type="dxa"/>
            <w:vAlign w:val="bottom"/>
          </w:tcPr>
          <w:p>
            <w:pPr>
              <w:ind w:left="1000"/>
              <w:spacing w:after="0"/>
              <w:rPr>
                <w:sz w:val="20"/>
                <w:szCs w:val="20"/>
                <w:color w:val="auto"/>
              </w:rPr>
            </w:pPr>
            <w:r>
              <w:rPr>
                <w:rFonts w:ascii="Arial" w:cs="Arial" w:eastAsia="Arial" w:hAnsi="Arial"/>
                <w:sz w:val="18"/>
                <w:szCs w:val="18"/>
                <w:color w:val="auto"/>
              </w:rPr>
              <w:t>Net increase in cash, cash equivalents, and restricted cash</w:t>
            </w:r>
          </w:p>
        </w:tc>
        <w:tc>
          <w:tcPr>
            <w:tcW w:w="10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150,840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45,556</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70,103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24,547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220,943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70,103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553" w:right="519" w:bottom="1440" w:gutter="0" w:footer="0" w:header="0"/>
        </w:sectPr>
      </w:pPr>
    </w:p>
    <w:bookmarkStart w:id="128" w:name="page129"/>
    <w:bookmarkEnd w:id="128"/>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Year ended</w:t>
            </w:r>
          </w:p>
        </w:tc>
        <w:tc>
          <w:tcPr>
            <w:tcW w:w="220" w:type="dxa"/>
            <w:vAlign w:val="bottom"/>
          </w:tcPr>
          <w:p>
            <w:pPr>
              <w:spacing w:after="0"/>
              <w:rPr>
                <w:sz w:val="14"/>
                <w:szCs w:val="14"/>
                <w:color w:val="auto"/>
              </w:rPr>
            </w:pPr>
          </w:p>
        </w:tc>
        <w:tc>
          <w:tcPr>
            <w:tcW w:w="1440" w:type="dxa"/>
            <w:vAlign w:val="bottom"/>
          </w:tcPr>
          <w:p>
            <w:pPr>
              <w:jc w:val="center"/>
              <w:ind w:right="253"/>
              <w:spacing w:after="0"/>
              <w:rPr>
                <w:sz w:val="20"/>
                <w:szCs w:val="20"/>
                <w:color w:val="auto"/>
              </w:rPr>
            </w:pPr>
            <w:r>
              <w:rPr>
                <w:rFonts w:ascii="Arial" w:cs="Arial" w:eastAsia="Arial" w:hAnsi="Arial"/>
                <w:sz w:val="14"/>
                <w:szCs w:val="14"/>
                <w:b w:val="1"/>
                <w:bCs w:val="1"/>
                <w:color w:val="auto"/>
                <w:w w:val="92"/>
              </w:rPr>
              <w:t>Year ended</w:t>
            </w:r>
          </w:p>
        </w:tc>
      </w:tr>
      <w:tr>
        <w:trPr>
          <w:trHeight w:val="148"/>
        </w:trPr>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40" w:type="dxa"/>
            <w:vAlign w:val="bottom"/>
          </w:tcPr>
          <w:p>
            <w:pPr>
              <w:jc w:val="center"/>
              <w:ind w:right="273"/>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to amounts on the consolidated balance sheet:</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220,383</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69,565</w:t>
            </w: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538</w:t>
            </w:r>
          </w:p>
        </w:tc>
      </w:tr>
      <w:tr>
        <w:trPr>
          <w:trHeight w:val="223"/>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220,943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70,103</w:t>
            </w: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6</w:t>
            </w: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Supplemental disclosures of noncash financing and investing activities:</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Leasehold improvement directly paid by landlord</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3,990</w:t>
            </w: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rPr>
              <w:t>Liability in connection to the issuance of redeemable convertible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preferred stock series B-1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14,560</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3,174</w:t>
            </w: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 to market adjustments for available-for-sale investments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rPr>
              <w:t>Unpaid issuance cost in connection to the issuance of redeemable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convertible preferred stock series B-1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405</w:t>
            </w: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Equipment acquired through finance lease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259</w:t>
            </w: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Vesting of early exercised options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right-of-use asset through operating lease obligation</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252</w:t>
            </w: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PP&amp;E Purchase still in Accounts Payable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pension obligation</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rPr>
              <w:t>Conversion of redeemable convertible preferred stock to common</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600" w:type="dxa"/>
            <w:vAlign w:val="bottom"/>
          </w:tcPr>
          <w:p>
            <w:pPr>
              <w:ind w:left="440"/>
              <w:spacing w:after="0"/>
              <w:rPr>
                <w:sz w:val="20"/>
                <w:szCs w:val="20"/>
                <w:color w:val="auto"/>
              </w:rPr>
            </w:pPr>
            <w:r>
              <w:rPr>
                <w:rFonts w:ascii="Arial" w:cs="Arial" w:eastAsia="Arial" w:hAnsi="Arial"/>
                <w:sz w:val="18"/>
                <w:szCs w:val="18"/>
                <w:color w:val="auto"/>
              </w:rPr>
              <w:t>stock in connection with initial public offering</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238,522</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derivative liability upon exercise of warrants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129" w:name="page130"/>
    <w:bookmarkEnd w:id="129"/>
    <w:p>
      <w:pPr>
        <w:jc w:val="center"/>
        <w:ind w:right="-99"/>
        <w:spacing w:after="0"/>
        <w:rPr>
          <w:sz w:val="20"/>
          <w:szCs w:val="20"/>
          <w:color w:val="auto"/>
        </w:rPr>
      </w:pPr>
      <w:r>
        <w:rPr>
          <w:rFonts w:ascii="Arial" w:cs="Arial" w:eastAsia="Arial" w:hAnsi="Arial"/>
          <w:sz w:val="18"/>
          <w:szCs w:val="18"/>
          <w:b w:val="1"/>
          <w:bCs w:val="1"/>
          <w:color w:val="auto"/>
        </w:rPr>
        <w:t>Aligos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Unless otherwise indicated, financial information except share and per share data, including dollar values stated in the text of the notes to financial statements, is expressed in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Aligos Therapeutics, Inc. (Aligos-US) was incorporated in the state of Delaware on February 5, 2018 (inception). On September 10, 2018, the Company formed Aligos Belgium BVBA (the Subsidiary or Aligos-Belgium). On March 30, 2020, the Company formed as a wholly owned subsidiary, Aligos Australia Pty LTD (Aligos-Australia), a proprietary limited company, and together with Aligos-US and Aligos-Belgium being the Company or Aligos.</w:t>
      </w:r>
    </w:p>
    <w:p>
      <w:pPr>
        <w:spacing w:after="0" w:line="187"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Aligos is a clinical-stage biopharmaceutical company developing novel therapeutics to address unmet medical needs in viral and liver diseases, including chronic hepatitis B and coronaviruses and therapeutics for nonalcoholic steatohepatitis (NASH).</w:t>
      </w:r>
    </w:p>
    <w:p>
      <w:pPr>
        <w:spacing w:after="0" w:line="170"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preclinical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On October 8, 2020, the Company’s board of directors approved a 1-for-9.3197 reverse stock split (the Reverse Stock Split) of the Company’s common stock and redeemable convertible preferred stock to be consummated prior to the effectiveness of the Company’s planned initial public offering (IPO).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 The Company filed an amended and restated certificate of incorporation in Delaware on October 9, 2020 that automatically effectuated the Reverse Stock Split without any further action required.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00" w:firstLine="864"/>
        <w:spacing w:after="0" w:line="218" w:lineRule="exact"/>
        <w:rPr>
          <w:sz w:val="20"/>
          <w:szCs w:val="20"/>
          <w:color w:val="auto"/>
        </w:rPr>
      </w:pPr>
      <w:r>
        <w:rPr>
          <w:rFonts w:ascii="Arial" w:cs="Arial" w:eastAsia="Arial" w:hAnsi="Arial"/>
          <w:sz w:val="18"/>
          <w:szCs w:val="18"/>
          <w:color w:val="auto"/>
        </w:rPr>
        <w:t>On October 20, 2020, the Company closed its IPO and issued 10,000,000 shares of its common stock at a public offering price of $15.00 per share for net proceeds of $135.4 million, after deducting underwriting discounts and commissions of $10.5 million and expenses of $4.1 million. In connection with the IPO, all shares of Series A redeemable convertible preferred stock (Series A), Series B-1 redeemable convertible preferred stock (Series B</w:t>
      </w:r>
      <w:r>
        <w:rPr>
          <w:rFonts w:ascii="MS PGothic" w:cs="MS PGothic" w:eastAsia="MS PGothic" w:hAnsi="MS PGothic"/>
          <w:sz w:val="18"/>
          <w:szCs w:val="18"/>
          <w:color w:val="auto"/>
        </w:rPr>
        <w:t>‑</w:t>
      </w:r>
      <w:r>
        <w:rPr>
          <w:rFonts w:ascii="Arial" w:cs="Arial" w:eastAsia="Arial" w:hAnsi="Arial"/>
          <w:sz w:val="18"/>
          <w:szCs w:val="18"/>
          <w:color w:val="auto"/>
        </w:rPr>
        <w:t>1) and Series B-2 redeemable convertible preferred stock (Series B-2) converted into 19,761,870 shares of voting common stock and 3,092,338 shares of non-voting common stock. On November 5, 2020, the underwriters of the IPO partially exercised their overallotment option by purchasing an additional 1,150,000 shares from the Company, resulting in an additional $16.0 million in net proceeds, after deducting underwriting discounts and commissions of $1.2 million.</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Liquidity and going concern assessment</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Company has incurred losses and negative cash flows from operations since its inception. As of December 31, 2020 and 2019, the Company has an accumulated deficit of approximately $174.7 million and $66.2 million, respectively. Management expects to continue to incur additional substantial losses in the foreseeable future as a result of expanded research and development activities.</w:t>
      </w:r>
    </w:p>
    <w:p>
      <w:pPr>
        <w:spacing w:after="0" w:line="184"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As of December 31, 2020, the Company has unrestricted cash, cash equivalent and short-term investments of approximately $243.5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56"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it is expected that the Company’s existing cash, cash equivalents and investments, will enable the Company to fund its operations for at least 12 months following the date the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the COVID-19 pandemic and the macro-economic environment generally.</w:t>
      </w:r>
    </w:p>
    <w:p>
      <w:pPr>
        <w:spacing w:after="0" w:line="178" w:lineRule="exact"/>
        <w:rPr>
          <w:sz w:val="20"/>
          <w:szCs w:val="20"/>
          <w:color w:val="auto"/>
        </w:rPr>
      </w:pPr>
    </w:p>
    <w:p>
      <w:pPr>
        <w:ind w:right="120" w:firstLine="589"/>
        <w:spacing w:after="0" w:line="290" w:lineRule="auto"/>
        <w:rPr>
          <w:sz w:val="20"/>
          <w:szCs w:val="20"/>
          <w:color w:val="auto"/>
        </w:rPr>
      </w:pPr>
      <w:r>
        <w:rPr>
          <w:rFonts w:ascii="Arial" w:cs="Arial" w:eastAsia="Arial" w:hAnsi="Arial"/>
          <w:sz w:val="16"/>
          <w:szCs w:val="16"/>
          <w:color w:val="auto"/>
        </w:rPr>
        <w:t>The Company’s ability to raise additional funds will depend on financial, economic and other factors, many of which are beyond its control. In particular, the COVID-19 pandemic continues to rapidly evolve and has already resulted in a significant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280" w:firstLine="589"/>
        <w:spacing w:after="0" w:line="342" w:lineRule="auto"/>
        <w:rPr>
          <w:sz w:val="20"/>
          <w:szCs w:val="20"/>
          <w:color w:val="auto"/>
        </w:rPr>
      </w:pPr>
      <w:r>
        <w:rPr>
          <w:rFonts w:ascii="Arial" w:cs="Arial" w:eastAsia="Arial" w:hAnsi="Arial"/>
          <w:sz w:val="16"/>
          <w:szCs w:val="16"/>
          <w:color w:val="auto"/>
        </w:rPr>
        <w:t>The accompanying consolidated financial statements have been prepared on a basis that assumes the Company will continue as a going concern and contemplates the continuity of operations, realization of assets and the satisfaction of liabilities and commitments in the normal course of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all adjustments necessary for the fair presentation of the Company’s financial position for the periods presented.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accompanying consolidated financial statements include Aligos-US and its wholly owned subsidiaries Aligos-Belgium and Aligos-Australia.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The preparation of the consolidated financial statements in conformity with U.S. GAAP generally requires management to make certain estimates and assumptions that affect the reported amounts in the consolidated financial statements and accompanying notes. The Company regularly evaluates estimates and assumptions related to assets and liabilities, at the dates of the consolidated financial statements and the reported amounts of expenses during the reporting period. Areas where management uses subjective judgments include, but are not limited to, right-of-use assets, lease obligations, impairment of long-lived assets, stock-based compensation, accrued research and development costs, pension liabilities, derivative liabilities and redeemable convertible preferred stock liability in the accompanying consolidated financial statements.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200" w:firstLine="589"/>
        <w:spacing w:after="0" w:line="284" w:lineRule="auto"/>
        <w:rPr>
          <w:sz w:val="20"/>
          <w:szCs w:val="20"/>
          <w:color w:val="auto"/>
        </w:rPr>
      </w:pPr>
      <w:r>
        <w:rPr>
          <w:rFonts w:ascii="Arial" w:cs="Arial" w:eastAsia="Arial" w:hAnsi="Arial"/>
          <w:sz w:val="17"/>
          <w:szCs w:val="17"/>
          <w:color w:val="auto"/>
        </w:rPr>
        <w:t>The Company’s foreign subsidiaries use the U.S. dollar as their functional currency, and they initially measure the foreign currency denominated assets and liabilities at the transaction date. Monetary assets and liabilities are then re-measured at exchange rates in effect at the end of each period, and non-monetary assets and liabilities are converted at historical rates. A re-measurement gain was recognized during the year ended December 31, 2020 of $121,000 and a re-measurement loss was recognized during the year ended December 31, 2019 of $47,000 and are reflected within interest and other income (expense), net on the consolidated statements of operations and comprehensive loss.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320" w:firstLine="589"/>
        <w:spacing w:after="0" w:line="311" w:lineRule="auto"/>
        <w:rPr>
          <w:sz w:val="20"/>
          <w:szCs w:val="20"/>
          <w:color w:val="auto"/>
        </w:rPr>
      </w:pPr>
      <w:r>
        <w:rPr>
          <w:rFonts w:ascii="Arial" w:cs="Arial" w:eastAsia="Arial" w:hAnsi="Arial"/>
          <w:sz w:val="16"/>
          <w:szCs w:val="16"/>
          <w:color w:val="auto"/>
        </w:rPr>
        <w:t>The Company has determined that the Chief Executive Officer is its Chief Operating Decision Maker. The Company’s Chief Executive Officer reviews financial information presented on a consolidated basis for the purposes of assessing the performance and making decisions on how to allocate resources. Accordingly, the Company has determined that it operates in a single reportable segment. No revenue has been generated since inception.</w:t>
      </w:r>
    </w:p>
    <w:p>
      <w:pPr>
        <w:spacing w:after="0" w:line="41" w:lineRule="exact"/>
        <w:rPr>
          <w:sz w:val="20"/>
          <w:szCs w:val="20"/>
          <w:color w:val="auto"/>
        </w:rPr>
      </w:pPr>
    </w:p>
    <w:p>
      <w:pPr>
        <w:ind w:right="80" w:firstLine="589"/>
        <w:spacing w:after="0" w:line="223" w:lineRule="exact"/>
        <w:rPr>
          <w:sz w:val="20"/>
          <w:szCs w:val="20"/>
          <w:color w:val="auto"/>
        </w:rPr>
      </w:pPr>
      <w:r>
        <w:rPr>
          <w:rFonts w:ascii="Arial" w:cs="Arial" w:eastAsia="Arial" w:hAnsi="Arial"/>
          <w:sz w:val="18"/>
          <w:szCs w:val="18"/>
          <w:color w:val="auto"/>
        </w:rPr>
        <w:t>The Company has $6.6 million and $1.4 million of fixed assets in Aligos-US and Aligos-Belgium, respectively, as of December 31, 2020 and $7.3 million and $1.2 million of fixed assets in Aligos-US and Aligos</w:t>
      </w:r>
      <w:r>
        <w:rPr>
          <w:rFonts w:ascii="MS PGothic" w:cs="MS PGothic" w:eastAsia="MS PGothic" w:hAnsi="MS PGothic"/>
          <w:sz w:val="18"/>
          <w:szCs w:val="18"/>
          <w:color w:val="auto"/>
        </w:rPr>
        <w:t>‑</w:t>
      </w:r>
      <w:r>
        <w:rPr>
          <w:rFonts w:ascii="Arial" w:cs="Arial" w:eastAsia="Arial" w:hAnsi="Arial"/>
          <w:sz w:val="18"/>
          <w:szCs w:val="18"/>
          <w:color w:val="auto"/>
        </w:rPr>
        <w:t>Belgium, respectively as of December 31, 2019.</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As of December 31, 2020 and 2019, the restricted cash balance was $560,000 and $538,000, respectively, and was used to secure the letters of credit in relation to the Company’s operating leases and deposits on rental assets (Note 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The Company determines the appropriate classification of debt securities at the time of purchase and re-evaluates such designation as of each balance sheet date. Debt securities are classified as held-to-maturity when the Company has the positive intent and ability to hold the securities to maturity, otherwise debt securities are classified as available-for sale. Held-to-maturity securities are carried at amortized cost. Available-for-sale debt securities are measured and reported at fair value using quoted prices in active markets for similar securities. Unrealized gains and losses on available-for-</w:t>
      </w:r>
    </w:p>
    <w:p>
      <w:pPr>
        <w:spacing w:after="0" w:line="1"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sale debt securities are reported as a separate component of stockholders’ deficit. Premiums or discounts from par value are amortized to investment income over the life of the underlying investment. The cost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2" w:name="page133"/>
    <w:bookmarkEnd w:id="132"/>
    <w:p>
      <w:pPr>
        <w:ind w:right="420"/>
        <w:spacing w:after="0" w:line="277" w:lineRule="auto"/>
        <w:rPr>
          <w:sz w:val="20"/>
          <w:szCs w:val="20"/>
          <w:color w:val="auto"/>
        </w:rPr>
      </w:pPr>
      <w:r>
        <w:rPr>
          <w:rFonts w:ascii="Arial" w:cs="Arial" w:eastAsia="Arial" w:hAnsi="Arial"/>
          <w:sz w:val="18"/>
          <w:szCs w:val="18"/>
          <w:color w:val="auto"/>
        </w:rPr>
        <w:t>of securities sold is determined on a specific identification basis, and realized gains and losses are included in interest and other (expense) income, net within the condensed consolidated statements of operations and comprehensive loss.</w:t>
      </w:r>
    </w:p>
    <w:p>
      <w:pPr>
        <w:spacing w:after="0" w:line="17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For both held-to-maturity and available-for-sale investments, the Company periodically reviews each individual security position that has an unrealized loss, or impairment, to determine if that impairment is other-than-temporary. If the Company believes an impairment of a security position is other than temporary, based on available quantitative and qualitative information as of the report date, the loss will be recognized as other income (expense) in the Company’s condensed consolidated statements of operations and a new cost basis in the investment is established. No impairment charges were recorded during the years ended December 31, 2020 and 2019.</w:t>
      </w:r>
    </w:p>
    <w:p>
      <w:pPr>
        <w:spacing w:after="0" w:line="188"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As of December 31, 2020 and 2019, short-term investments consisted of U.S. Treasury securities with original maturities of less than one year. As of December 31, 2019, long-term investments consisted of U.S. Treasury securities with original maturities of more than one year.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If a planned equity financing is abandoned, the deferred offering costs are expensed immediately as a charge to operating expenses in the consolidated statement of operations and comprehensive loss. There were no deferred offering costs on the Company’s consolidated balance sheets at December 31, 2020 and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suppliers</w:t>
      </w:r>
    </w:p>
    <w:p>
      <w:pPr>
        <w:spacing w:after="0" w:line="117" w:lineRule="exact"/>
        <w:rPr>
          <w:sz w:val="20"/>
          <w:szCs w:val="20"/>
          <w:color w:val="auto"/>
        </w:rPr>
      </w:pPr>
    </w:p>
    <w:p>
      <w:pPr>
        <w:ind w:right="140" w:firstLine="589"/>
        <w:spacing w:after="0" w:line="293"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restricted cash and investments. 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generally invests its excess capital in money market funds, U.S. treasury bonds and U.S. treasury bills that are subject to minimal credit and market risks.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is dependent on various third parties to manufacture compounds for the Company to conduct research and studies for its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programs would be adversely delayed by a significant interruption in the supply of active pharmaceutical ingredients.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340" w:firstLine="589"/>
        <w:spacing w:after="0" w:line="263" w:lineRule="auto"/>
        <w:rPr>
          <w:sz w:val="20"/>
          <w:szCs w:val="20"/>
          <w:color w:val="auto"/>
        </w:rPr>
      </w:pPr>
      <w:r>
        <w:rPr>
          <w:rFonts w:ascii="Arial" w:cs="Arial" w:eastAsia="Arial" w:hAnsi="Arial"/>
          <w:sz w:val="18"/>
          <w:szCs w:val="18"/>
          <w:color w:val="auto"/>
        </w:rPr>
        <w:t>The Company determines if an arrangement is a lease at the inception of the lease. Operating leases are included in operating lease right-of-use (ROU) assets and operating lease liabilities in the consolidated balance sheet. Finance leases are included in property and equipment and finance lease liabilities in the consolidated balance sheet.</w:t>
      </w:r>
    </w:p>
    <w:p>
      <w:pPr>
        <w:spacing w:after="0" w:line="184"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Operating lease ROU assets and liabilities are recognized at the lease commencement date based on the present value of lease payments over the lease term. When the Company’s leases do not provide an implicit rate, an incremental borrowing rate is used based on the information available at the commencement dates in determining the present value of lease payments. The Company uses the implicit rate when readily determinable. The operating lease ROU assets also include any lease payments made and excludes lease incentives when paid by the Company or on the Company’s behalf. The Company’s lease terms may include the period covered by options to extend or terminate the lease when it is reasonably certain that the Company will exercise that option. Lease expense for operating leases is recognized on a straight-line basis over the lease term.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3" w:name="page134"/>
    <w:bookmarkEnd w:id="133"/>
    <w:p>
      <w:pPr>
        <w:ind w:firstLine="589"/>
        <w:spacing w:after="0" w:line="259" w:lineRule="auto"/>
        <w:rPr>
          <w:sz w:val="20"/>
          <w:szCs w:val="20"/>
          <w:color w:val="auto"/>
        </w:rPr>
      </w:pPr>
      <w:r>
        <w:rPr>
          <w:rFonts w:ascii="Arial" w:cs="Arial" w:eastAsia="Arial" w:hAnsi="Arial"/>
          <w:sz w:val="18"/>
          <w:szCs w:val="18"/>
          <w:color w:val="auto"/>
        </w:rPr>
        <w:t>The Company has lease agreements with lease and non-lease components. The Company elected to not separate lease and non-lease components for all of its building leases. For vehicle leases, lease and non-lease components are accounted for separately. The Company also made an accounting policy election to recognize lease expense for leases with a term of 12 months or less on a straight-line basis over the lease term and not recognize ROU assets or lease liabilities for such leases.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Property and equipment is stated at cost less accumulated depreciation, and is depreciated using the straight-line method over the estimated useful life of the asset, which are as follows:</w:t>
      </w:r>
    </w:p>
    <w:p>
      <w:pPr>
        <w:spacing w:after="0" w:line="185" w:lineRule="exact"/>
        <w:rPr>
          <w:sz w:val="20"/>
          <w:szCs w:val="20"/>
          <w:color w:val="auto"/>
        </w:rPr>
      </w:pPr>
    </w:p>
    <w:tbl>
      <w:tblPr>
        <w:tblLayout w:type="fixed"/>
        <w:tblInd w:w="1680" w:type="dxa"/>
        <w:tblCellMar>
          <w:top w:w="0" w:type="dxa"/>
          <w:left w:w="0" w:type="dxa"/>
          <w:bottom w:w="0" w:type="dxa"/>
          <w:right w:w="0" w:type="dxa"/>
        </w:tblCellMar>
      </w:tblP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3540" w:type="dxa"/>
            <w:vAlign w:val="bottom"/>
            <w:shd w:val="clear" w:color="auto" w:fill="CFF0FC"/>
          </w:tcPr>
          <w:p>
            <w:pPr>
              <w:ind w:left="2120"/>
              <w:spacing w:after="0"/>
              <w:rPr>
                <w:sz w:val="20"/>
                <w:szCs w:val="20"/>
                <w:color w:val="auto"/>
              </w:rPr>
            </w:pPr>
            <w:r>
              <w:rPr>
                <w:rFonts w:ascii="Arial" w:cs="Arial" w:eastAsia="Arial" w:hAnsi="Arial"/>
                <w:sz w:val="18"/>
                <w:szCs w:val="18"/>
                <w:color w:val="auto"/>
              </w:rPr>
              <w:t>3 years</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Computer equipment</w:t>
            </w:r>
          </w:p>
        </w:tc>
        <w:tc>
          <w:tcPr>
            <w:tcW w:w="3540" w:type="dxa"/>
            <w:vAlign w:val="bottom"/>
          </w:tcPr>
          <w:p>
            <w:pPr>
              <w:ind w:left="2120"/>
              <w:spacing w:after="0"/>
              <w:rPr>
                <w:sz w:val="20"/>
                <w:szCs w:val="20"/>
                <w:color w:val="auto"/>
              </w:rPr>
            </w:pPr>
            <w:r>
              <w:rPr>
                <w:rFonts w:ascii="Arial" w:cs="Arial" w:eastAsia="Arial" w:hAnsi="Arial"/>
                <w:sz w:val="18"/>
                <w:szCs w:val="18"/>
                <w:color w:val="auto"/>
              </w:rPr>
              <w:t>3 years</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3540" w:type="dxa"/>
            <w:vAlign w:val="bottom"/>
            <w:shd w:val="clear" w:color="auto" w:fill="CFF0FC"/>
          </w:tcPr>
          <w:p>
            <w:pPr>
              <w:ind w:left="2120"/>
              <w:spacing w:after="0"/>
              <w:rPr>
                <w:sz w:val="20"/>
                <w:szCs w:val="20"/>
                <w:color w:val="auto"/>
              </w:rPr>
            </w:pPr>
            <w:r>
              <w:rPr>
                <w:rFonts w:ascii="Arial" w:cs="Arial" w:eastAsia="Arial" w:hAnsi="Arial"/>
                <w:sz w:val="18"/>
                <w:szCs w:val="18"/>
                <w:color w:val="auto"/>
              </w:rPr>
              <w:t>3-8 years</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Vehicles</w:t>
            </w:r>
          </w:p>
        </w:tc>
        <w:tc>
          <w:tcPr>
            <w:tcW w:w="3540" w:type="dxa"/>
            <w:vAlign w:val="bottom"/>
          </w:tcPr>
          <w:p>
            <w:pPr>
              <w:ind w:left="2120"/>
              <w:spacing w:after="0"/>
              <w:rPr>
                <w:sz w:val="20"/>
                <w:szCs w:val="20"/>
                <w:color w:val="auto"/>
              </w:rPr>
            </w:pPr>
            <w:r>
              <w:rPr>
                <w:rFonts w:ascii="Arial" w:cs="Arial" w:eastAsia="Arial" w:hAnsi="Arial"/>
                <w:sz w:val="18"/>
                <w:szCs w:val="18"/>
                <w:color w:val="auto"/>
              </w:rPr>
              <w:t>4 years</w:t>
            </w:r>
          </w:p>
        </w:tc>
      </w:tr>
      <w:tr>
        <w:trPr>
          <w:trHeight w:val="21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540" w:type="dxa"/>
            <w:vAlign w:val="bottom"/>
            <w:shd w:val="clear" w:color="auto" w:fill="CFF0FC"/>
          </w:tcPr>
          <w:p>
            <w:pPr>
              <w:ind w:left="2120"/>
              <w:spacing w:after="0"/>
              <w:rPr>
                <w:sz w:val="20"/>
                <w:szCs w:val="20"/>
                <w:color w:val="auto"/>
              </w:rPr>
            </w:pPr>
            <w:r>
              <w:rPr>
                <w:rFonts w:ascii="Arial" w:cs="Arial" w:eastAsia="Arial" w:hAnsi="Arial"/>
                <w:sz w:val="18"/>
                <w:szCs w:val="18"/>
                <w:color w:val="auto"/>
              </w:rPr>
              <w:t>Shorter of</w:t>
            </w:r>
          </w:p>
        </w:tc>
      </w:tr>
      <w:tr>
        <w:trPr>
          <w:trHeight w:val="216"/>
        </w:trPr>
        <w:tc>
          <w:tcPr>
            <w:tcW w:w="4360" w:type="dxa"/>
            <w:vAlign w:val="bottom"/>
            <w:shd w:val="clear" w:color="auto" w:fill="CFF0FC"/>
          </w:tcPr>
          <w:p>
            <w:pPr>
              <w:spacing w:after="0"/>
              <w:rPr>
                <w:sz w:val="18"/>
                <w:szCs w:val="18"/>
                <w:color w:val="auto"/>
              </w:rPr>
            </w:pPr>
          </w:p>
        </w:tc>
        <w:tc>
          <w:tcPr>
            <w:tcW w:w="3540" w:type="dxa"/>
            <w:vAlign w:val="bottom"/>
            <w:shd w:val="clear" w:color="auto" w:fill="CFF0FC"/>
          </w:tcPr>
          <w:p>
            <w:pPr>
              <w:ind w:left="2120"/>
              <w:spacing w:after="0"/>
              <w:rPr>
                <w:sz w:val="20"/>
                <w:szCs w:val="20"/>
                <w:color w:val="auto"/>
              </w:rPr>
            </w:pPr>
            <w:r>
              <w:rPr>
                <w:rFonts w:ascii="Arial" w:cs="Arial" w:eastAsia="Arial" w:hAnsi="Arial"/>
                <w:sz w:val="18"/>
                <w:szCs w:val="18"/>
                <w:color w:val="auto"/>
              </w:rPr>
              <w:t>the useful</w:t>
            </w:r>
          </w:p>
        </w:tc>
      </w:tr>
      <w:tr>
        <w:trPr>
          <w:trHeight w:val="216"/>
        </w:trPr>
        <w:tc>
          <w:tcPr>
            <w:tcW w:w="4360" w:type="dxa"/>
            <w:vAlign w:val="bottom"/>
            <w:shd w:val="clear" w:color="auto" w:fill="CFF0FC"/>
          </w:tcPr>
          <w:p>
            <w:pPr>
              <w:spacing w:after="0"/>
              <w:rPr>
                <w:sz w:val="18"/>
                <w:szCs w:val="18"/>
                <w:color w:val="auto"/>
              </w:rPr>
            </w:pPr>
          </w:p>
        </w:tc>
        <w:tc>
          <w:tcPr>
            <w:tcW w:w="3540" w:type="dxa"/>
            <w:vAlign w:val="bottom"/>
            <w:shd w:val="clear" w:color="auto" w:fill="CFF0FC"/>
          </w:tcPr>
          <w:p>
            <w:pPr>
              <w:ind w:left="2120"/>
              <w:spacing w:after="0"/>
              <w:rPr>
                <w:sz w:val="20"/>
                <w:szCs w:val="20"/>
                <w:color w:val="auto"/>
              </w:rPr>
            </w:pPr>
            <w:r>
              <w:rPr>
                <w:rFonts w:ascii="Arial" w:cs="Arial" w:eastAsia="Arial" w:hAnsi="Arial"/>
                <w:sz w:val="18"/>
                <w:szCs w:val="18"/>
                <w:color w:val="auto"/>
              </w:rPr>
              <w:t>life or</w:t>
            </w:r>
          </w:p>
        </w:tc>
      </w:tr>
      <w:tr>
        <w:trPr>
          <w:trHeight w:val="216"/>
        </w:trPr>
        <w:tc>
          <w:tcPr>
            <w:tcW w:w="4360" w:type="dxa"/>
            <w:vAlign w:val="bottom"/>
            <w:shd w:val="clear" w:color="auto" w:fill="CFF0FC"/>
          </w:tcPr>
          <w:p>
            <w:pPr>
              <w:spacing w:after="0"/>
              <w:rPr>
                <w:sz w:val="18"/>
                <w:szCs w:val="18"/>
                <w:color w:val="auto"/>
              </w:rPr>
            </w:pPr>
          </w:p>
        </w:tc>
        <w:tc>
          <w:tcPr>
            <w:tcW w:w="3540" w:type="dxa"/>
            <w:vAlign w:val="bottom"/>
            <w:shd w:val="clear" w:color="auto" w:fill="CFF0FC"/>
          </w:tcPr>
          <w:p>
            <w:pPr>
              <w:ind w:left="2120"/>
              <w:spacing w:after="0"/>
              <w:rPr>
                <w:sz w:val="20"/>
                <w:szCs w:val="20"/>
                <w:color w:val="auto"/>
              </w:rPr>
            </w:pPr>
            <w:r>
              <w:rPr>
                <w:rFonts w:ascii="Arial" w:cs="Arial" w:eastAsia="Arial" w:hAnsi="Arial"/>
                <w:sz w:val="18"/>
                <w:szCs w:val="18"/>
                <w:color w:val="auto"/>
              </w:rPr>
              <w:t>remaining</w:t>
            </w:r>
          </w:p>
        </w:tc>
      </w:tr>
      <w:tr>
        <w:trPr>
          <w:trHeight w:val="230"/>
        </w:trPr>
        <w:tc>
          <w:tcPr>
            <w:tcW w:w="4360" w:type="dxa"/>
            <w:vAlign w:val="bottom"/>
            <w:shd w:val="clear" w:color="auto" w:fill="CFF0FC"/>
          </w:tcPr>
          <w:p>
            <w:pPr>
              <w:spacing w:after="0"/>
              <w:rPr>
                <w:sz w:val="20"/>
                <w:szCs w:val="20"/>
                <w:color w:val="auto"/>
              </w:rPr>
            </w:pPr>
          </w:p>
        </w:tc>
        <w:tc>
          <w:tcPr>
            <w:tcW w:w="3540" w:type="dxa"/>
            <w:vAlign w:val="bottom"/>
            <w:shd w:val="clear" w:color="auto" w:fill="CFF0FC"/>
          </w:tcPr>
          <w:p>
            <w:pPr>
              <w:ind w:left="2120"/>
              <w:spacing w:after="0"/>
              <w:rPr>
                <w:sz w:val="20"/>
                <w:szCs w:val="20"/>
                <w:color w:val="auto"/>
              </w:rPr>
            </w:pPr>
            <w:r>
              <w:rPr>
                <w:rFonts w:ascii="Arial" w:cs="Arial" w:eastAsia="Arial" w:hAnsi="Arial"/>
                <w:sz w:val="18"/>
                <w:szCs w:val="18"/>
                <w:color w:val="auto"/>
              </w:rPr>
              <w:t>lease term</w:t>
            </w:r>
          </w:p>
        </w:tc>
      </w:tr>
    </w:tbl>
    <w:p>
      <w:pPr>
        <w:spacing w:after="0" w:line="202" w:lineRule="exact"/>
        <w:rPr>
          <w:sz w:val="20"/>
          <w:szCs w:val="20"/>
          <w:color w:val="auto"/>
        </w:rPr>
      </w:pPr>
    </w:p>
    <w:p>
      <w:pPr>
        <w:ind w:right="240" w:firstLine="589"/>
        <w:spacing w:after="0" w:line="308" w:lineRule="auto"/>
        <w:rPr>
          <w:sz w:val="20"/>
          <w:szCs w:val="20"/>
          <w:color w:val="auto"/>
        </w:rPr>
      </w:pPr>
      <w:r>
        <w:rPr>
          <w:rFonts w:ascii="Arial" w:cs="Arial" w:eastAsia="Arial" w:hAnsi="Arial"/>
          <w:sz w:val="17"/>
          <w:szCs w:val="17"/>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Company regularly reviews the carrying amount of its property, equipment and intangible assets to determine whether indicators of impairment may exist which warrant adjustments to carrying values or estimated useful lives. If indications of impairment exist, projected future undiscounted cash flows associated with the asset are compared to the carrying amount to determine whether the asset’s value is recoverable. If the carrying value of the asset exceeds such projected undiscounted cash flows, the asset will be written down to its estimated fair value. No impairment charges were recorded during the years ended December 31, 2020 or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80" w:firstLine="589"/>
        <w:spacing w:after="0" w:line="340" w:lineRule="auto"/>
        <w:rPr>
          <w:sz w:val="20"/>
          <w:szCs w:val="20"/>
          <w:color w:val="auto"/>
        </w:rPr>
      </w:pPr>
      <w:r>
        <w:rPr>
          <w:rFonts w:ascii="Arial" w:cs="Arial" w:eastAsia="Arial" w:hAnsi="Arial"/>
          <w:sz w:val="15"/>
          <w:szCs w:val="15"/>
          <w:color w:val="auto"/>
        </w:rPr>
        <w:t>Research and development costs are expensed as incurred. 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deferred and capitalized.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ind w:right="260" w:firstLine="589"/>
        <w:spacing w:after="0" w:line="263" w:lineRule="auto"/>
        <w:rPr>
          <w:sz w:val="20"/>
          <w:szCs w:val="20"/>
          <w:color w:val="auto"/>
        </w:rPr>
      </w:pPr>
      <w:r>
        <w:rPr>
          <w:rFonts w:ascii="Arial" w:cs="Arial" w:eastAsia="Arial" w:hAnsi="Arial"/>
          <w:sz w:val="18"/>
          <w:szCs w:val="18"/>
          <w:color w:val="auto"/>
        </w:rPr>
        <w:t>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The Company enters into collaboration arrangements with pharmaceutical and other partners, under which the Company may grant licenses to its collaboration partners to research and develop potential drug candidates. Consideration under these contracts may include an upfront payment, development, regulatory, sales and other milestone payments. Contractual payments received for research and development activities performed are recognized on a gross basis in revenue from collaboration arrangements.</w:t>
      </w:r>
    </w:p>
    <w:p>
      <w:pPr>
        <w:spacing w:after="0" w:line="79" w:lineRule="exact"/>
        <w:rPr>
          <w:sz w:val="20"/>
          <w:szCs w:val="20"/>
          <w:color w:val="auto"/>
        </w:rPr>
      </w:pPr>
    </w:p>
    <w:p>
      <w:pPr>
        <w:ind w:right="440" w:firstLine="589"/>
        <w:spacing w:after="0" w:line="286" w:lineRule="auto"/>
        <w:rPr>
          <w:sz w:val="20"/>
          <w:szCs w:val="20"/>
          <w:color w:val="auto"/>
        </w:rPr>
      </w:pPr>
      <w:r>
        <w:rPr>
          <w:rFonts w:ascii="Arial" w:cs="Arial" w:eastAsia="Arial" w:hAnsi="Arial"/>
          <w:sz w:val="17"/>
          <w:szCs w:val="17"/>
          <w:color w:val="auto"/>
        </w:rPr>
        <w:t>The Company may also perform research and development activities under the collaboration agreements where the Company may be granted licenses from its collaboration partners. Contractual payments to the other party in collaboration agreements and costs incurred by the Company are recognized on a gross basis in research and development expenses. Royalties and license payments are recorded as due.</w:t>
      </w:r>
    </w:p>
    <w:p>
      <w:pPr>
        <w:spacing w:after="0" w:line="273"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 xml:space="preserve">When the Company enters into collaboration arrangements, the Company assesses whether the arrangement fall within the scope of ASC 808, </w:t>
      </w:r>
      <w:r>
        <w:rPr>
          <w:rFonts w:ascii="Arial" w:cs="Arial" w:eastAsia="Arial" w:hAnsi="Arial"/>
          <w:sz w:val="18"/>
          <w:szCs w:val="18"/>
          <w:i w:val="1"/>
          <w:iCs w:val="1"/>
          <w:color w:val="auto"/>
        </w:rPr>
        <w:t xml:space="preserve">Collaborative Arrangements </w:t>
      </w:r>
      <w:r>
        <w:rPr>
          <w:rFonts w:ascii="Arial" w:cs="Arial" w:eastAsia="Arial" w:hAnsi="Arial"/>
          <w:sz w:val="18"/>
          <w:szCs w:val="18"/>
          <w:color w:val="auto"/>
        </w:rPr>
        <w:t>(ASC 808) based on whether the arrangement involves joint operating activities and whether both parties would be active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participants and would be exposed to significant risks and rewards of the arrangement. To the extent that the arrangement falls within the scope of ASC 808, the Company assesses whether the payments between the parties fall within the scope of other accounting literature such as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w:t>
      </w:r>
    </w:p>
    <w:p>
      <w:pPr>
        <w:spacing w:after="0" w:line="80" w:lineRule="exact"/>
        <w:rPr>
          <w:sz w:val="20"/>
          <w:szCs w:val="20"/>
          <w:color w:val="auto"/>
        </w:rPr>
      </w:pPr>
    </w:p>
    <w:p>
      <w:pPr>
        <w:ind w:right="60" w:firstLine="589"/>
        <w:spacing w:after="0" w:line="313" w:lineRule="auto"/>
        <w:rPr>
          <w:sz w:val="20"/>
          <w:szCs w:val="20"/>
          <w:color w:val="auto"/>
        </w:rPr>
      </w:pPr>
      <w:r>
        <w:rPr>
          <w:rFonts w:ascii="Arial" w:cs="Arial" w:eastAsia="Arial" w:hAnsi="Arial"/>
          <w:sz w:val="16"/>
          <w:szCs w:val="16"/>
          <w:color w:val="auto"/>
        </w:rPr>
        <w:t>During the year ended December 31, 2019, no milestones were met and no royalties were due; therefore, the Company did not pay or expense any milestone or royalties. In the year ended December 31, 2020, a development milestone was met as the first patient dosing occurred and so the Company made a payment of $4.5 million, which is included in research and development in the consolidated statement of operations. The upfront payment received during the year ended December 31, 2020 was recorded on the consolidated balance sheet as deferred revenue from collaborations.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80" w:firstLine="589"/>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ind w:left="60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Level 1 quoted prices), such as quoted prices in active markets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ind w:left="600" w:right="36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that are significant to determining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pricing models, discounted cash flow methodologies and similar techniques.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The Company’s stock-based awards consist of restricted stock awards and stock options. For stock-based awards issued to employees and nonemployees, the Company measures the estimated fair value of the stock-based awards on the date of grant and recognizes compensation expense for those awards over the requisite service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5" w:name="page136"/>
    <w:bookmarkEnd w:id="135"/>
    <w:p>
      <w:pPr>
        <w:ind w:right="40"/>
        <w:spacing w:after="0" w:line="277" w:lineRule="auto"/>
        <w:rPr>
          <w:sz w:val="20"/>
          <w:szCs w:val="20"/>
          <w:color w:val="auto"/>
        </w:rPr>
      </w:pPr>
      <w:r>
        <w:rPr>
          <w:rFonts w:ascii="Arial" w:cs="Arial" w:eastAsia="Arial" w:hAnsi="Arial"/>
          <w:sz w:val="18"/>
          <w:szCs w:val="18"/>
          <w:color w:val="auto"/>
        </w:rPr>
        <w:t>which is generally the vesting period of the respective awards. The Company records expense for awards with service-based vesting using the straight-line method. The Company accounts for forfeitures as they occur.</w:t>
      </w:r>
    </w:p>
    <w:p>
      <w:pPr>
        <w:spacing w:after="0" w:line="170"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The fair value of each restricted stock award is determined based on the number of shares granted and the value of the Company’s common stock on the date of grant. The fair value of each stock option award is estimated on the date of grant using the Black-Scholes option pricing model. The Black-Scholes option-pricing model requires the use of a number of assumptions including the fair value of the common stock, expected volatility, risk-free interest rate, expected dividends, and expected term of the option.</w:t>
      </w:r>
    </w:p>
    <w:p>
      <w:pPr>
        <w:spacing w:after="0" w:line="18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 Company determined the expected stock volatility using a weighted-average of the historical volatility of a group of guideline companies that issued options with substantially similar terms, and expects to continue to do so until such time as the Company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78" w:lineRule="exact"/>
        <w:rPr>
          <w:sz w:val="20"/>
          <w:szCs w:val="20"/>
          <w:color w:val="auto"/>
        </w:rPr>
      </w:pPr>
    </w:p>
    <w:p>
      <w:pPr>
        <w:ind w:right="20" w:firstLine="589"/>
        <w:spacing w:after="0" w:line="308" w:lineRule="auto"/>
        <w:rPr>
          <w:sz w:val="20"/>
          <w:szCs w:val="20"/>
          <w:color w:val="auto"/>
        </w:rPr>
      </w:pPr>
      <w:r>
        <w:rPr>
          <w:rFonts w:ascii="Arial" w:cs="Arial" w:eastAsia="Arial" w:hAnsi="Arial"/>
          <w:sz w:val="17"/>
          <w:szCs w:val="17"/>
          <w:color w:val="auto"/>
        </w:rPr>
        <w:t>See Note 9 for the assumptions used by the Company in determining the grant date fair value of stock-based awards granted, as well as a summary of the stock-based award activity under the Company’s stock-based compensation plan for years ended December 31, 2020 and 2019.</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88" w:lineRule="exact"/>
        <w:rPr>
          <w:sz w:val="20"/>
          <w:szCs w:val="20"/>
          <w:color w:val="auto"/>
        </w:rPr>
      </w:pPr>
    </w:p>
    <w:p>
      <w:pPr>
        <w:ind w:right="340" w:firstLine="589"/>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interest and penalties.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380" w:firstLine="589"/>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24"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early exercise of stock options, unvested restricted stock subject to repurchase, warrants and convertible notes are considered to be potentially dilutive securities.</w:t>
      </w:r>
    </w:p>
    <w:p>
      <w:pPr>
        <w:spacing w:after="0" w:line="171"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 Company’s participating securities contractually entitle the holders of such</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36" w:name="page137"/>
    <w:bookmarkEnd w:id="136"/>
    <w:p>
      <w:pPr>
        <w:ind w:right="540"/>
        <w:spacing w:after="0" w:line="277" w:lineRule="auto"/>
        <w:rPr>
          <w:sz w:val="20"/>
          <w:szCs w:val="20"/>
          <w:color w:val="auto"/>
        </w:rPr>
      </w:pPr>
      <w:r>
        <w:rPr>
          <w:rFonts w:ascii="Arial" w:cs="Arial" w:eastAsia="Arial" w:hAnsi="Arial"/>
          <w:sz w:val="18"/>
          <w:szCs w:val="18"/>
          <w:color w:val="auto"/>
        </w:rPr>
        <w:t>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70"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shares are not assumed to have been issued if their effect is anti-dilutive.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333"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The Company has established a defined contribution savings plan for its employees in Aligos-US under Section 401(k) of the Internal Revenue Code, and a defined benefits plan for its employees in Aligos-Belgium.</w:t>
      </w:r>
    </w:p>
    <w:p>
      <w:pPr>
        <w:spacing w:after="0" w:line="278" w:lineRule="exact"/>
        <w:rPr>
          <w:sz w:val="20"/>
          <w:szCs w:val="20"/>
          <w:color w:val="auto"/>
        </w:rPr>
      </w:pPr>
    </w:p>
    <w:p>
      <w:pPr>
        <w:ind w:right="160" w:firstLine="864"/>
        <w:spacing w:after="0" w:line="311" w:lineRule="auto"/>
        <w:rPr>
          <w:sz w:val="20"/>
          <w:szCs w:val="20"/>
          <w:color w:val="auto"/>
        </w:rPr>
      </w:pPr>
      <w:r>
        <w:rPr>
          <w:rFonts w:ascii="Arial" w:cs="Arial" w:eastAsia="Arial" w:hAnsi="Arial"/>
          <w:sz w:val="16"/>
          <w:szCs w:val="16"/>
          <w:color w:val="auto"/>
        </w:rPr>
        <w:t>The Company uses the standard method for the recognition of the actuarial results as described in ASC 715. This means application of a 10% corridor and amortization over the expected average remaining working lives of the employees. The plan contains benefits to the plan participant on the normal plan retirement date and benefits to the partner after death of the plan participant. This plan is recognized under ASC 715.</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20" w:firstLine="589"/>
        <w:spacing w:after="0" w:line="275"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(ASU 2018-07). ASU 2018-07 amends the FASB ASC to expand the scope of FASB ASC Topic 718,</w:t>
      </w:r>
      <w:r>
        <w:rPr>
          <w:rFonts w:ascii="Arial" w:cs="Arial" w:eastAsia="Arial" w:hAnsi="Arial"/>
          <w:sz w:val="17"/>
          <w:szCs w:val="17"/>
          <w:i w:val="1"/>
          <w:iCs w:val="1"/>
          <w:color w:val="auto"/>
        </w:rPr>
        <w:t xml:space="preserve"> Compensation-Stock Compensation</w:t>
      </w:r>
      <w:r>
        <w:rPr>
          <w:rFonts w:ascii="Arial" w:cs="Arial" w:eastAsia="Arial" w:hAnsi="Arial"/>
          <w:sz w:val="17"/>
          <w:szCs w:val="17"/>
          <w:color w:val="auto"/>
        </w:rPr>
        <w:t>, to include accounting for share-based payment transactions for acquiring goods and services from non-employees. The amendments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ASU 2018-07 are effective for all entities for annual periods, and interim periods within those annual periods, beginning after December 15, 2018. Early adoption was permitted. The Company early adopted this guidance at inception.</w:t>
      </w:r>
    </w:p>
    <w:p>
      <w:pPr>
        <w:spacing w:after="0" w:line="176"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supersedes existing revenue recognition guidance under U.S. GAAP. The standard’s core principle is that a company will recognize revenue when it transfers promised goods or services to customers in an amount that reflects the consideration to which the Company expects to be entitled in exchange for those goods or services. The standard defines a five-step process to achieve this principle and requires companies to use more judgment and make more estimates than under the current guidance. These judgments and estimates include identifying performance obligations in the customer contract, estimating the amount of variable consideration to include in the transaction price and allocating the transaction price to each separate performance obligation. ASU 2014-09 also requires additional disclosure about the nature, amount, timing and uncertainty of revenue and cash flows arising from customer contracts. The Company early adopted ASU 2014-09 at inception. The adoption of ASU 2014-09 did not have an impact on the Company’s consolidated financial statements as the Company does not currently have any revenue-generating arrangements.</w:t>
      </w:r>
    </w:p>
    <w:p>
      <w:pPr>
        <w:spacing w:after="0" w:line="181"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808)—Clarifying the Interaction between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Topic 606 </w:t>
      </w:r>
      <w:r>
        <w:rPr>
          <w:rFonts w:ascii="Arial" w:cs="Arial" w:eastAsia="Arial" w:hAnsi="Arial"/>
          <w:sz w:val="16"/>
          <w:szCs w:val="16"/>
          <w:color w:val="auto"/>
        </w:rPr>
        <w:t>(ASU 2018-18). The amendments in ASU 2018-18 clarify that certain transactions between collaborative arrangement participants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as revenue under ASC 606 when the collaborative arrangement participant is a customer in the context of a unit of account. The amendments under ASU 2018-18 are effective for interim and annual fiscal periods beginning after December 15, 2019, with early adoption permitted. The amendments in ASU 2018-18 should be applied retrospectively to the date of initial application of ASC 606. The Company early adopted ASU 2018-18 at inception.</w:t>
      </w:r>
    </w:p>
    <w:p>
      <w:pPr>
        <w:spacing w:after="0" w:line="161"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(ASU 2017-01). ASU 2017-01 provides guidance to evaluate whether transactions should be accounted for as acquisitions (or disposals) of assets or businesses. If substantially all of the fair value of the gross assets acquired (or disposed of) is concentrated in a single asset or a group of similar assets, the assets acquired (or disposed of) are not considered a business. The Company adopted this standard at inception.</w:t>
      </w:r>
    </w:p>
    <w:p>
      <w:pPr>
        <w:spacing w:after="0" w:line="171"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sets out the principles for the recognition, measurement, presentation and disclosure of leases for both parties to a contract (i.e.,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7" w:name="page138"/>
    <w:bookmarkEnd w:id="137"/>
    <w:p>
      <w:pPr>
        <w:ind w:right="20"/>
        <w:spacing w:after="0" w:line="273" w:lineRule="auto"/>
        <w:rPr>
          <w:sz w:val="20"/>
          <w:szCs w:val="20"/>
          <w:color w:val="auto"/>
        </w:rPr>
      </w:pPr>
      <w:r>
        <w:rPr>
          <w:rFonts w:ascii="Arial" w:cs="Arial" w:eastAsia="Arial" w:hAnsi="Arial"/>
          <w:sz w:val="17"/>
          <w:szCs w:val="17"/>
          <w:color w:val="auto"/>
        </w:rPr>
        <w:t>lessees and lessors). The new standard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The standard is effective for all entities for fiscal years beginning after December 15, 2019. Early adoption is permitted. The Company adopted this standard at inception.</w:t>
      </w:r>
    </w:p>
    <w:p>
      <w:pPr>
        <w:spacing w:after="0" w:line="178"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that a statement of cash flows explain the change during the period in the total of cash, cash equivalents and restricted cash. Therefore, amounts described as restricted cash should be included with cash and cash equivalents when reconciling the beginning of period and end of period amounts shown on the statement of cash flows. The standard is effective for all entities for fiscal years beginning after December 15, 2018. The Company early adopted this guidance at inception. The cash, cash equivalent and restricted cash balances as of December 31, 2019 and 2020 are presented in the Company’s consolidated statements of cash flows.</w:t>
      </w:r>
    </w:p>
    <w:p>
      <w:pPr>
        <w:spacing w:after="0" w:line="192"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Compensation-Retirement Benefits (ASC Topic 715)</w:t>
      </w:r>
      <w:r>
        <w:rPr>
          <w:rFonts w:ascii="Arial" w:cs="Arial" w:eastAsia="Arial" w:hAnsi="Arial"/>
          <w:sz w:val="17"/>
          <w:szCs w:val="17"/>
          <w:color w:val="auto"/>
        </w:rPr>
        <w:t xml:space="preserve"> (ASU 2017-07), which requires employers to disaggregate the service cost component from other components of net periodic benefit costs and to disclose the amounts of net periodic benefit costs that are included in each income statement line item. The standard requires employers to report the service cost component in the same line item as other compensation costs and to report the other components of net periodic benefit costs separately and outside a subtotal of operating income. The Company adopted this standard at inception and has recognized its net periodic benefit costs, excluding service costs, in interest and other income (expense), net on its consolidated statements of operations and comprehensive loss.</w:t>
      </w:r>
    </w:p>
    <w:p>
      <w:pPr>
        <w:spacing w:after="0" w:line="178"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Compensation—Retirement Benefits—Defined Benefit Plans—General (Subtopic 715-20)</w:t>
      </w:r>
      <w:r>
        <w:rPr>
          <w:rFonts w:ascii="Arial" w:cs="Arial" w:eastAsia="Arial" w:hAnsi="Arial"/>
          <w:sz w:val="18"/>
          <w:szCs w:val="18"/>
          <w:color w:val="auto"/>
        </w:rPr>
        <w:t xml:space="preserve"> (ASU 2018-14). The guidance eliminates requirements for certain disclosures that are no longer considered cost beneficial and requires new ones that the FASB considers pertinent. The standard is effective for fiscal years ending after December 15, 2021 for all entities. Early adoption is permitted. The Company adopted this standard at inception.</w:t>
      </w:r>
    </w:p>
    <w:p>
      <w:pPr>
        <w:spacing w:after="0" w:line="79"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(ASU 2018-13). The amendments eliminate, add, and modify certain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The amendments are effective for interim and annual reporting periods beginning after December 15, 2019, with early adoption permitted for either the entire ASU or only the provisions that eliminate or modify requirements. The amendments with respect to changes in unrealized gains and losses, the range and weighted-average of significant unobservable inputs used to develop Level 3 fair value measurements, and the narrative description of measurement uncertainty are to be applied prospectively. All other amendments are to be applied retrospectively to all periods presented. The Company adopted this standard in the year ended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requires that financial assets measured at amortized cost be presented at the net amount expected to be collected.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Currently, U.S. GAAP delays recognition of the full amount of credit losses until the loss is probable of occurring. Under this ASU, the income statement will reflect an entity’s current estimate of all expected credit losses. The measurement of expected credit losses will be based upon historical experience, current conditions, and reasonable and supportable forecasts that affect the collectability of the reported amount. In November 2018, the FASB issued ASU No. 2018-19, </w:t>
      </w:r>
      <w:r>
        <w:rPr>
          <w:rFonts w:ascii="Arial" w:cs="Arial" w:eastAsia="Arial" w:hAnsi="Arial"/>
          <w:sz w:val="16"/>
          <w:szCs w:val="16"/>
          <w:i w:val="1"/>
          <w:iCs w:val="1"/>
          <w:color w:val="auto"/>
        </w:rPr>
        <w:t>Codification Improvements to Topic 326, Financial Instruments—Credit Losses</w:t>
      </w:r>
      <w:r>
        <w:rPr>
          <w:rFonts w:ascii="Arial" w:cs="Arial" w:eastAsia="Arial" w:hAnsi="Arial"/>
          <w:sz w:val="16"/>
          <w:szCs w:val="16"/>
          <w:color w:val="auto"/>
        </w:rPr>
        <w:t xml:space="preserve"> (ASU 2018-19), which clarifies that receivables from operating leases are accounted for using the lease guidance and not as financial instruments. In April 2019, the FASB issued ASU No. 2019-04, </w:t>
      </w:r>
      <w:r>
        <w:rPr>
          <w:rFonts w:ascii="Arial" w:cs="Arial" w:eastAsia="Arial" w:hAnsi="Arial"/>
          <w:sz w:val="16"/>
          <w:szCs w:val="16"/>
          <w:i w:val="1"/>
          <w:iCs w:val="1"/>
          <w:color w:val="auto"/>
        </w:rPr>
        <w:t xml:space="preserve">Codification Improvements to Topic 326, Financial Instruments—Credit Losses </w:t>
      </w:r>
      <w:r>
        <w:rPr>
          <w:rFonts w:ascii="Arial" w:cs="Arial" w:eastAsia="Arial" w:hAnsi="Arial"/>
          <w:sz w:val="16"/>
          <w:szCs w:val="16"/>
          <w:color w:val="auto"/>
        </w:rPr>
        <w:t>(ASU 2019-04), which clarifies the new expected credit loss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for loans, receivables and other financial assets, including recoveries and accrued interest on receivables. In November 2019, the FASB issued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8" w:name="page139"/>
    <w:bookmarkEnd w:id="138"/>
    <w:p>
      <w:pPr>
        <w:jc w:val="both"/>
        <w:ind w:right="40"/>
        <w:spacing w:after="0" w:line="311" w:lineRule="auto"/>
        <w:rPr>
          <w:sz w:val="20"/>
          <w:szCs w:val="20"/>
          <w:color w:val="auto"/>
        </w:rPr>
      </w:pPr>
      <w:r>
        <w:rPr>
          <w:rFonts w:ascii="Arial" w:cs="Arial" w:eastAsia="Arial" w:hAnsi="Arial"/>
          <w:sz w:val="16"/>
          <w:szCs w:val="16"/>
          <w:color w:val="auto"/>
        </w:rPr>
        <w:t xml:space="preserve">ASU No. 2019-11, </w:t>
      </w:r>
      <w:r>
        <w:rPr>
          <w:rFonts w:ascii="Arial" w:cs="Arial" w:eastAsia="Arial" w:hAnsi="Arial"/>
          <w:sz w:val="16"/>
          <w:szCs w:val="16"/>
          <w:i w:val="1"/>
          <w:iCs w:val="1"/>
          <w:color w:val="auto"/>
        </w:rPr>
        <w:t>Codification Improvements to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2019-11), which clarifies guidance around how to report expected recoveries. The standard is effective for fiscal years beginning after December 15, 2022, including interim periods within those fiscal years. Early adoption is permitted. The Company is evaluating the potential impact of this standard on its consolidated financial statements.</w:t>
      </w:r>
    </w:p>
    <w:p>
      <w:pPr>
        <w:spacing w:after="0" w:line="149"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The guidance removes specific exceptions to the general principles in ASC 740, improves application of income tax-related guidance and reduces complexity related to the accounting for income taxes. The standard is effective for fiscal years beginning after December 15, 2021, and interim periods with fiscal years beginning after December 15, 2022. Early adoption is permitted. The Company is evaluating the potential impact of this standard on its consolidated financial statements.</w:t>
      </w:r>
    </w:p>
    <w:p>
      <w:pPr>
        <w:spacing w:after="0" w:line="188"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property and equipment were as follows as of December 31, 2020 and 2019:</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Lab 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3,204</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 under construction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at cost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(4,243)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(1,508)</w:t>
            </w:r>
          </w:p>
        </w:tc>
      </w:tr>
      <w:tr>
        <w:trPr>
          <w:trHeight w:val="223"/>
        </w:trPr>
        <w:tc>
          <w:tcPr>
            <w:tcW w:w="53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net</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During the years ended December 31, 2020 and December 31, 2019, depreciation expense was $2.7 million and $1.4 million, respectively. Finance leases for vehicles are also included in property and equipment on the consolidated balance sheets (Note 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As of December 31, 2020 and 2019, amortized cost, gross unrealized gains and losses, and estimated fair values of total fixed-maturity securities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Held-to-maturity securities:</w:t>
            </w:r>
          </w:p>
        </w:tc>
        <w:tc>
          <w:tcPr>
            <w:tcW w:w="1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U.S. Treasury bonds</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58,117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58,147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39" w:name="page140"/>
    <w:bookmarkEnd w:id="139"/>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5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Held-to-maturity securities: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U.S. Treasury bonds</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Borders>
              <w:bottom w:val="single" w:sz="8" w:color="CFF0FC"/>
            </w:tcBorders>
          </w:tcPr>
          <w:p>
            <w:pPr>
              <w:spacing w:after="0"/>
              <w:rPr>
                <w:sz w:val="22"/>
                <w:szCs w:val="22"/>
                <w:color w:val="auto"/>
              </w:rPr>
            </w:pPr>
          </w:p>
        </w:tc>
      </w:tr>
      <w:tr>
        <w:trPr>
          <w:trHeight w:val="210"/>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9"/>
        </w:trPr>
        <w:tc>
          <w:tcPr>
            <w:tcW w:w="5120" w:type="dxa"/>
            <w:vAlign w:val="bottom"/>
          </w:tcPr>
          <w:p>
            <w:pPr>
              <w:ind w:left="240"/>
              <w:spacing w:after="0"/>
              <w:rPr>
                <w:sz w:val="20"/>
                <w:szCs w:val="20"/>
                <w:color w:val="auto"/>
              </w:rPr>
            </w:pPr>
            <w:r>
              <w:rPr>
                <w:rFonts w:ascii="Arial" w:cs="Arial" w:eastAsia="Arial" w:hAnsi="Arial"/>
                <w:sz w:val="18"/>
                <w:szCs w:val="18"/>
                <w:color w:val="auto"/>
              </w:rPr>
              <w:t>U.S. Treasury bonds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13,060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21"/>
                <w:szCs w:val="2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40"/>
        </w:trPr>
        <w:tc>
          <w:tcPr>
            <w:tcW w:w="512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23,062</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23,144</w:t>
            </w:r>
          </w:p>
        </w:tc>
        <w:tc>
          <w:tcPr>
            <w:tcW w:w="100" w:type="dxa"/>
            <w:vAlign w:val="bottom"/>
            <w:shd w:val="clear" w:color="auto" w:fill="CFF0FC"/>
          </w:tcPr>
          <w:p>
            <w:pPr>
              <w:spacing w:after="0"/>
              <w:rPr>
                <w:sz w:val="24"/>
                <w:szCs w:val="24"/>
                <w:color w:val="auto"/>
              </w:rPr>
            </w:pP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720" w:firstLine="589"/>
        <w:spacing w:after="0" w:line="277" w:lineRule="auto"/>
        <w:rPr>
          <w:sz w:val="20"/>
          <w:szCs w:val="20"/>
          <w:color w:val="auto"/>
        </w:rPr>
      </w:pPr>
      <w:r>
        <w:rPr>
          <w:rFonts w:ascii="Arial" w:cs="Arial" w:eastAsia="Arial" w:hAnsi="Arial"/>
          <w:sz w:val="18"/>
          <w:szCs w:val="18"/>
          <w:color w:val="auto"/>
        </w:rPr>
        <w:t>Changes in fair value are related to changes in market interest rates. The Company expects to collect all contractual principal and interest payments.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Amortized cost and estimated fair value of fixed-maturity securities at December 31, 2020 by contractual maturity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maturing in:</w:t>
            </w:r>
          </w:p>
        </w:tc>
        <w:tc>
          <w:tcPr>
            <w:tcW w:w="18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Arial" w:cs="Arial" w:eastAsia="Arial" w:hAnsi="Arial"/>
                <w:sz w:val="18"/>
                <w:szCs w:val="18"/>
                <w:color w:val="auto"/>
              </w:rPr>
              <w:t>One year or less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23,062</w:t>
            </w:r>
          </w:p>
        </w:tc>
        <w:tc>
          <w:tcPr>
            <w:tcW w:w="1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More than one year</w:t>
            </w:r>
          </w:p>
        </w:tc>
        <w:tc>
          <w:tcPr>
            <w:tcW w:w="1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480"/>
              <w:spacing w:after="0"/>
              <w:rPr>
                <w:sz w:val="20"/>
                <w:szCs w:val="20"/>
                <w:color w:val="auto"/>
              </w:rPr>
            </w:pPr>
            <w:r>
              <w:rPr>
                <w:rFonts w:ascii="Arial" w:cs="Arial" w:eastAsia="Arial" w:hAnsi="Arial"/>
                <w:sz w:val="18"/>
                <w:szCs w:val="18"/>
                <w:color w:val="auto"/>
              </w:rPr>
              <w:t>Total investments</w:t>
            </w:r>
          </w:p>
        </w:tc>
        <w:tc>
          <w:tcPr>
            <w:tcW w:w="18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89"/>
        <w:spacing w:after="0" w:line="342" w:lineRule="auto"/>
        <w:rPr>
          <w:sz w:val="20"/>
          <w:szCs w:val="20"/>
          <w:color w:val="auto"/>
        </w:rPr>
      </w:pPr>
      <w:r>
        <w:rPr>
          <w:rFonts w:ascii="Arial" w:cs="Arial" w:eastAsia="Arial" w:hAnsi="Arial"/>
          <w:sz w:val="16"/>
          <w:szCs w:val="16"/>
          <w:color w:val="auto"/>
        </w:rPr>
        <w:t>The Company recorded interest income of $1.2 million and $1.6 million, respectively, during the years ended December 31, 2020 and 2019, as a component of interest and other income (expense), net on the Company’s consolidated statement of operations and comprehensive loss.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liabilities consisted of the following as of December 31:</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Accrued payables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8,554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3,113</w:t>
            </w:r>
          </w:p>
        </w:tc>
        <w:tc>
          <w:tcPr>
            <w:tcW w:w="8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Liability with early exercised stock options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9"/>
                <w:szCs w:val="19"/>
                <w:color w:val="auto"/>
              </w:rPr>
            </w:pPr>
          </w:p>
        </w:tc>
      </w:tr>
      <w:tr>
        <w:trPr>
          <w:trHeight w:val="223"/>
        </w:trPr>
        <w:tc>
          <w:tcPr>
            <w:tcW w:w="4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7,599</w:t>
            </w:r>
          </w:p>
        </w:tc>
        <w:tc>
          <w:tcPr>
            <w:tcW w:w="80" w:type="dxa"/>
            <w:vAlign w:val="bottom"/>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The Company has operating and finance leases for corporate offices, research and development facilities, and certain vehicles. These leases have remaining lease terms of four to eight and a half years, some of which include options to extend the leases for five to eight years. The Company has determined that it is not reasonably certain to exercise the options under any leases. The lease of research and development facilities includes costs for utilities and common area maintenance which have been included in the calculation of lease payments. Differences between lease payments as measured at lease inception and variations in monthly payments will be recognized as operating expenses in the period in which the obligation is incurred.</w:t>
      </w:r>
    </w:p>
    <w:p>
      <w:pPr>
        <w:spacing w:after="0" w:line="161"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Leases with an initial term of 12 months or less are not recorded on the balance sheet, and the Company recognizes lease expense for these leases on a straight-line basis over the lease terms. Leases with terms greater than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color w:val="auto"/>
        </w:rPr>
        <w:t>12 months are included in operating lease ROU assets and operating lease liabilities in the Company’s consolidated balance sheets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 Lease expense for lease payments is recognized on a straight-line basis over the lease term.</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53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93"/>
              <w:spacing w:after="0" w:line="153" w:lineRule="exact"/>
              <w:rPr>
                <w:sz w:val="20"/>
                <w:szCs w:val="20"/>
                <w:color w:val="auto"/>
              </w:rPr>
            </w:pPr>
            <w:r>
              <w:rPr>
                <w:rFonts w:ascii="Arial" w:cs="Arial" w:eastAsia="Arial" w:hAnsi="Arial"/>
                <w:sz w:val="14"/>
                <w:szCs w:val="14"/>
                <w:b w:val="1"/>
                <w:bCs w:val="1"/>
                <w:color w:val="auto"/>
                <w:w w:val="96"/>
              </w:rPr>
              <w:t>Operating</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33"/>
              <w:spacing w:after="0" w:line="153" w:lineRule="exact"/>
              <w:rPr>
                <w:sz w:val="20"/>
                <w:szCs w:val="20"/>
                <w:color w:val="auto"/>
              </w:rPr>
            </w:pPr>
            <w:r>
              <w:rPr>
                <w:rFonts w:ascii="Arial" w:cs="Arial" w:eastAsia="Arial" w:hAnsi="Arial"/>
                <w:sz w:val="14"/>
                <w:szCs w:val="14"/>
                <w:b w:val="1"/>
                <w:bCs w:val="1"/>
                <w:color w:val="auto"/>
              </w:rPr>
              <w:t>Finance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Lease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2021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(4,291)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Lease liabilities net of current portion</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lease expense were as follows for the years ended December 31, 2020 and 2019:</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Finance lease cost: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finance lease cost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Short-term lease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r>
    </w:tbl>
    <w:p>
      <w:pPr>
        <w:spacing w:after="0" w:line="229"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The Company made payments of $2.5 million and $1.2 million during the years ended December 31, 2020 and 2019, respectively, which are included as cash flow from operations on the consolidated statements of cash flows.</w:t>
      </w:r>
    </w:p>
    <w:p>
      <w:pPr>
        <w:spacing w:after="0" w:line="170"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As of December 31, 2020 and 2019, $296,000 and $296,000 of finance lease ROU assets, respectively, were presented as part of property and equipment on the consolidated balance sheet with accumulated amortization of $107,000 and $47,000, respectively.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Additional information related to the Company’s leases was as follows as of December 31: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w:t>
            </w:r>
          </w:p>
        </w:tc>
        <w:tc>
          <w:tcPr>
            <w:tcW w:w="6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Weighted-average remaining lease term (years)</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5.97</w:t>
            </w:r>
          </w:p>
        </w:tc>
        <w:tc>
          <w:tcPr>
            <w:tcW w:w="300" w:type="dxa"/>
            <w:vAlign w:val="bottom"/>
          </w:tcPr>
          <w:p>
            <w:pPr>
              <w:spacing w:after="0"/>
              <w:rPr>
                <w:sz w:val="19"/>
                <w:szCs w:val="19"/>
                <w:color w:val="auto"/>
              </w:rPr>
            </w:pPr>
          </w:p>
        </w:tc>
        <w:tc>
          <w:tcPr>
            <w:tcW w:w="1060" w:type="dxa"/>
            <w:vAlign w:val="bottom"/>
          </w:tcPr>
          <w:p>
            <w:pPr>
              <w:ind w:left="720"/>
              <w:spacing w:after="0"/>
              <w:rPr>
                <w:sz w:val="20"/>
                <w:szCs w:val="20"/>
                <w:color w:val="auto"/>
              </w:rPr>
            </w:pPr>
            <w:r>
              <w:rPr>
                <w:rFonts w:ascii="Arial" w:cs="Arial" w:eastAsia="Arial" w:hAnsi="Arial"/>
                <w:sz w:val="18"/>
                <w:szCs w:val="18"/>
                <w:color w:val="auto"/>
                <w:w w:val="91"/>
              </w:rPr>
              <w:t>7.10</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Weighted-average discount rate</w:t>
            </w:r>
          </w:p>
        </w:tc>
        <w:tc>
          <w:tcPr>
            <w:tcW w:w="6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9.35%</w:t>
            </w:r>
          </w:p>
        </w:tc>
        <w:tc>
          <w:tcPr>
            <w:tcW w:w="12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7"/>
              </w:rPr>
              <w:t>9.34%</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Finance Lease:</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Weighted-average remaining lease term (years)</w:t>
            </w:r>
          </w:p>
        </w:tc>
        <w:tc>
          <w:tcPr>
            <w:tcW w:w="360" w:type="dxa"/>
            <w:vAlign w:val="bottom"/>
            <w:shd w:val="clear" w:color="auto" w:fill="CFF0FC"/>
          </w:tcPr>
          <w:p>
            <w:pPr>
              <w:ind w:left="40"/>
              <w:spacing w:after="0"/>
              <w:rPr>
                <w:sz w:val="20"/>
                <w:szCs w:val="20"/>
                <w:color w:val="auto"/>
              </w:rPr>
            </w:pPr>
            <w:r>
              <w:rPr>
                <w:rFonts w:ascii="Arial" w:cs="Arial" w:eastAsia="Arial" w:hAnsi="Arial"/>
                <w:sz w:val="18"/>
                <w:szCs w:val="18"/>
                <w:color w:val="auto"/>
                <w:w w:val="85"/>
              </w:rPr>
              <w:t>2.68</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1"/>
              </w:rPr>
              <w:t>3.66</w:t>
            </w:r>
          </w:p>
        </w:tc>
        <w:tc>
          <w:tcPr>
            <w:tcW w:w="1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5960" w:type="dxa"/>
            <w:vAlign w:val="bottom"/>
            <w:gridSpan w:val="2"/>
          </w:tcPr>
          <w:p>
            <w:pPr>
              <w:ind w:left="240"/>
              <w:spacing w:after="0"/>
              <w:rPr>
                <w:sz w:val="20"/>
                <w:szCs w:val="20"/>
                <w:color w:val="auto"/>
              </w:rPr>
            </w:pPr>
            <w:r>
              <w:rPr>
                <w:rFonts w:ascii="Arial" w:cs="Arial" w:eastAsia="Arial" w:hAnsi="Arial"/>
                <w:sz w:val="18"/>
                <w:szCs w:val="18"/>
                <w:color w:val="auto"/>
              </w:rPr>
              <w:t>Weighted-average discount rate</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3.15%</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97"/>
              </w:rPr>
              <w:t>3.18%</w:t>
            </w:r>
          </w:p>
        </w:tc>
        <w:tc>
          <w:tcPr>
            <w:tcW w:w="1700" w:type="dxa"/>
            <w:vAlign w:val="bottom"/>
          </w:tcPr>
          <w:p>
            <w:pPr>
              <w:spacing w:after="0"/>
              <w:rPr>
                <w:sz w:val="20"/>
                <w:szCs w:val="20"/>
                <w:color w:val="auto"/>
              </w:rPr>
            </w:pPr>
          </w:p>
        </w:tc>
      </w:tr>
      <w:tr>
        <w:trPr>
          <w:trHeight w:val="836"/>
        </w:trPr>
        <w:tc>
          <w:tcPr>
            <w:tcW w:w="6980" w:type="dxa"/>
            <w:vAlign w:val="bottom"/>
            <w:gridSpan w:val="2"/>
          </w:tcPr>
          <w:p>
            <w:pPr>
              <w:jc w:val="right"/>
              <w:ind w:right="1130"/>
              <w:spacing w:after="0"/>
              <w:rPr>
                <w:sz w:val="20"/>
                <w:szCs w:val="20"/>
                <w:color w:val="auto"/>
              </w:rPr>
            </w:pPr>
            <w:r>
              <w:rPr>
                <w:rFonts w:ascii="Arial" w:cs="Arial" w:eastAsia="Arial" w:hAnsi="Arial"/>
                <w:sz w:val="18"/>
                <w:szCs w:val="18"/>
                <w:color w:val="auto"/>
              </w:rPr>
              <w:t>136</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41" w:name="page142"/>
    <w:bookmarkEnd w:id="141"/>
    <w:p>
      <w:pPr>
        <w:ind w:right="5480"/>
        <w:spacing w:after="0" w:line="377" w:lineRule="auto"/>
        <w:rPr>
          <w:sz w:val="20"/>
          <w:szCs w:val="20"/>
          <w:color w:val="auto"/>
        </w:rPr>
      </w:pPr>
      <w:r>
        <w:rPr>
          <w:rFonts w:ascii="Arial" w:cs="Arial" w:eastAsia="Arial" w:hAnsi="Arial"/>
          <w:sz w:val="18"/>
          <w:szCs w:val="18"/>
          <w:b w:val="1"/>
          <w:bCs w:val="1"/>
          <w:color w:val="auto"/>
        </w:rPr>
        <w:t xml:space="preserve">7. Derivative liabilities and redeemable convertible preferred stock liability </w:t>
      </w:r>
      <w:r>
        <w:rPr>
          <w:rFonts w:ascii="Arial" w:cs="Arial" w:eastAsia="Arial" w:hAnsi="Arial"/>
          <w:sz w:val="18"/>
          <w:szCs w:val="18"/>
          <w:b w:val="1"/>
          <w:bCs w:val="1"/>
          <w:i w:val="1"/>
          <w:iCs w:val="1"/>
          <w:color w:val="auto"/>
        </w:rPr>
        <w:t>Warrants</w:t>
      </w:r>
    </w:p>
    <w:p>
      <w:pPr>
        <w:spacing w:after="0" w:line="2"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In connection with the issuance of the Notes, Lenders were issued Warrants to purchase 134,112 shares of the Company’s capital stock. The Warrants have a coverage percentage of 25% of the principal amount of the Notes and have a ten-year expiration date from the applicable closing date of April 20, 2018 or June 6, 2018.</w:t>
      </w:r>
    </w:p>
    <w:p>
      <w:pPr>
        <w:spacing w:after="0" w:line="184" w:lineRule="exact"/>
        <w:rPr>
          <w:sz w:val="20"/>
          <w:szCs w:val="20"/>
          <w:color w:val="auto"/>
        </w:rPr>
      </w:pPr>
    </w:p>
    <w:p>
      <w:pPr>
        <w:ind w:right="640" w:firstLine="589"/>
        <w:spacing w:after="0" w:line="308" w:lineRule="auto"/>
        <w:rPr>
          <w:sz w:val="20"/>
          <w:szCs w:val="20"/>
          <w:color w:val="auto"/>
        </w:rPr>
      </w:pPr>
      <w:r>
        <w:rPr>
          <w:rFonts w:ascii="Arial" w:cs="Arial" w:eastAsia="Arial" w:hAnsi="Arial"/>
          <w:sz w:val="18"/>
          <w:szCs w:val="18"/>
          <w:color w:val="auto"/>
        </w:rPr>
        <w:t>The underlying shares issuable upon the exercise of the Warrants were eligible to be converted into the next round of equity financing. The Warrants became exercisable into shares of Series A for an exercise price of $9.32 per share.</w:t>
      </w:r>
    </w:p>
    <w:p>
      <w:pPr>
        <w:spacing w:after="0" w:line="144" w:lineRule="exact"/>
        <w:rPr>
          <w:sz w:val="20"/>
          <w:szCs w:val="20"/>
          <w:color w:val="auto"/>
        </w:rPr>
      </w:pPr>
    </w:p>
    <w:p>
      <w:pPr>
        <w:jc w:val="both"/>
        <w:ind w:right="220" w:firstLine="589"/>
        <w:spacing w:after="0" w:line="311" w:lineRule="auto"/>
        <w:rPr>
          <w:sz w:val="20"/>
          <w:szCs w:val="20"/>
          <w:color w:val="auto"/>
        </w:rPr>
      </w:pPr>
      <w:r>
        <w:rPr>
          <w:rFonts w:ascii="Arial" w:cs="Arial" w:eastAsia="Arial" w:hAnsi="Arial"/>
          <w:sz w:val="16"/>
          <w:szCs w:val="16"/>
          <w:color w:val="auto"/>
        </w:rPr>
        <w:t>The Company recorded the Warrants initially at fair value (Note 10) as derivative liabilities on the consolidated balance sheet with the remaining value being allocated to the Notes as a debt discount. The fair value of the Warrants upon issuance on April 20, 2018 and June 6, 2018, was $0.7 million and $238,000, respectively. The fair value of the Warrants was $0 and $461,000 as of December 31, 2020 and 2019, respectively.</w:t>
      </w:r>
    </w:p>
    <w:p>
      <w:pPr>
        <w:spacing w:after="0" w:line="149"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 December 2019, Warrants were exercised into 13,411 shares of Series A. As a result, there were Warrants to purchase 120,701 shares of Series A outstanding as of December 31, 2019. Following completion of an IPO or change of control, any then outstanding warrants will automatically be exercised, on net share basis, for the issuance of shares of Common Stock and, upon that exercise, such warrants will no longer be outstanding. As Series A contains a conditional obligation for the Company to repurchase the shares for cash consideration, the Warrants remain outstanding as derivative liabilities with changes in fair value being recorded on the consolidated statements of operations and comprehensive loss. For the years ended December 31, 2020 and 2019, the Company recorded a change in fair value of derivative liabilities of $296,000 and $348,000,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liability</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 xml:space="preserve">In connection with the issuance of Series B-1 Redeemable Convertible Preferred Stock (the Series B-1) (Note 8), the Series B-1 preferred stockholders committed to purchase and the Company committed to sell 3,569,630 shares of Series B-2 Redeemable Convertible Preferred Stock (the Series B-2) at a price of $11.20563 per share in a subsequent closing, contingent upon the achievement of certain developmental milestones or a receipt of a waiver of achievement of the milestones. The Redeemable Convertible Preferred Stock Liability is considered a freestanding instrument that qualifies as a liability under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480) as the Company is committed to issue an instrument that ultimately may require a transfer of assets. The liability is accounted for at fair value and re-measured at each reporting date (Note 10). On the date of the initial closing, the Company recorded the Redeemable Convertible Preferred Stock Liability at a fair value of $3.2 million.</w:t>
      </w:r>
    </w:p>
    <w:p>
      <w:pPr>
        <w:spacing w:after="0" w:line="69"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As of December 31, 2020, all Series B-2 shares were issued and then, as a result of the IPO, converted to shares of common stock. The Company recorded a change in fair value of the liability of $11.4 million for the year ended December 31, 2020 included in other expense, net. The convertible preferred stock liability was retired as of December 31, 2020.</w:t>
      </w:r>
    </w:p>
    <w:p>
      <w:pPr>
        <w:spacing w:after="0" w:line="76"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As of December 31, 2019, none of the Series B-2 shares were issued and the fair value of the liability related to this freestanding instrument remained unchanged.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On February 5, 2018, the date of incorporation, the Company was authorized to issue 20,000,000 shares of common stock with a par value of $0.0001 per share (the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ind w:right="120" w:firstLine="589"/>
        <w:spacing w:after="0" w:line="263" w:lineRule="auto"/>
        <w:rPr>
          <w:sz w:val="20"/>
          <w:szCs w:val="20"/>
          <w:color w:val="auto"/>
        </w:rPr>
      </w:pPr>
      <w:r>
        <w:rPr>
          <w:rFonts w:ascii="Arial" w:cs="Arial" w:eastAsia="Arial" w:hAnsi="Arial"/>
          <w:sz w:val="18"/>
          <w:szCs w:val="18"/>
          <w:color w:val="auto"/>
        </w:rPr>
        <w:t>On March 19, 2018, the Company granted two founders the right to purchase 1,508,900 shares of the Company’s Common Stock at a purchase price of $0.001 per share upon the terms and subject to the conditions set forth in a restricted stock purchase agreement. The shares were purchased for $2 on the grant date and the shares vested immediately upon grant.</w:t>
      </w:r>
    </w:p>
    <w:p>
      <w:pPr>
        <w:spacing w:after="0" w:line="184"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On March 19, 2018, the Company granted two founders and one employee the right to purchase 425,585 shares of the Company’s Common Stock at a purchase price of $0.001 per share upon the terms and subject to the conditions set forth in a restricted stock purchase agreement. The shares were purchased for a de-minimis amount on the grant date and the shares vest monthly over a three-year period after a one-year cliff. If the purchasers no longer provide services to the Company, any portion of the shares that have not vested pursuant to the vesting schedule shall, on the date that is 61 days following such termination of service, automatically be forfeited by purchaser without any additional consideration therefore and without any further action by the Company and such shares shall immediately be canceled by the Company and shall no longer be outstanding.</w:t>
      </w:r>
    </w:p>
    <w:p>
      <w:pPr>
        <w:spacing w:after="0" w:line="164"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On July 23, 2018, the certificate of incorporation was amended to increase the number of shares authorized for issuance to 25,000,000 shares of Common Stock. On that same date, the Company issued for purchase by employees and founders an additional 77,379 shares for a de-minimis amount subject to the same terms and conditions as the shares issued on March 19, 2018.</w:t>
      </w:r>
    </w:p>
    <w:p>
      <w:pPr>
        <w:spacing w:after="0" w:line="184"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Common Stock issuances with vesting conditions were issued outside of the equity incentive plan and are described in more detail in Note 9— Stock-based compensation.</w:t>
      </w:r>
    </w:p>
    <w:p>
      <w:pPr>
        <w:spacing w:after="0" w:line="170" w:lineRule="exact"/>
        <w:rPr>
          <w:sz w:val="20"/>
          <w:szCs w:val="20"/>
          <w:color w:val="auto"/>
        </w:rPr>
      </w:pPr>
    </w:p>
    <w:p>
      <w:pPr>
        <w:ind w:right="240" w:firstLine="589"/>
        <w:spacing w:after="0" w:line="293" w:lineRule="auto"/>
        <w:rPr>
          <w:sz w:val="20"/>
          <w:szCs w:val="20"/>
          <w:color w:val="auto"/>
        </w:rPr>
      </w:pPr>
      <w:r>
        <w:rPr>
          <w:rFonts w:ascii="Arial" w:cs="Arial" w:eastAsia="Arial" w:hAnsi="Arial"/>
          <w:sz w:val="16"/>
          <w:szCs w:val="16"/>
          <w:color w:val="auto"/>
        </w:rPr>
        <w:t>On August 15, 2018, the certificate of incorporation was amended to increase the total shares of Common Stock authorized for issuance to 149,000,000 and additionally 102,500,000 shares of preferred stock with a par value of $0.0001 per share. Effective immediately on filing date, the Company converted all shares of Common Stock into 0.90144231 shares of Common Stock (the 2018 Reverse Stock Split). All share and data shown in the accompanying consolidated financial statements and related notes have been retroactively revised to reflect the 2018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w:t>
      </w:r>
    </w:p>
    <w:p>
      <w:pPr>
        <w:spacing w:after="0" w:line="164" w:lineRule="exact"/>
        <w:rPr>
          <w:sz w:val="20"/>
          <w:szCs w:val="20"/>
          <w:color w:val="auto"/>
        </w:rPr>
      </w:pPr>
    </w:p>
    <w:p>
      <w:pPr>
        <w:ind w:right="440" w:firstLine="589"/>
        <w:spacing w:after="0" w:line="311" w:lineRule="auto"/>
        <w:rPr>
          <w:sz w:val="20"/>
          <w:szCs w:val="20"/>
          <w:color w:val="auto"/>
        </w:rPr>
      </w:pPr>
      <w:r>
        <w:rPr>
          <w:rFonts w:ascii="Arial" w:cs="Arial" w:eastAsia="Arial" w:hAnsi="Arial"/>
          <w:sz w:val="16"/>
          <w:szCs w:val="16"/>
          <w:color w:val="auto"/>
        </w:rPr>
        <w:t>On December 23, 2019, the certificate of incorporation was amended to increase the total shares of Common Stock authorized for issuance to 278,000,000 and the total shares of preferred stock authorized for issuance to 212,994,964 with a par value of $0.0001 per share. The total shares of preferred stock authorized comprised 101,962,864 shares of Series A, 77,764,055 shares of Series B-1, and 33,268,045 shares of Series B-2.</w:t>
      </w:r>
    </w:p>
    <w:p>
      <w:pPr>
        <w:spacing w:after="0" w:line="149" w:lineRule="exact"/>
        <w:rPr>
          <w:sz w:val="20"/>
          <w:szCs w:val="20"/>
          <w:color w:val="auto"/>
        </w:rPr>
      </w:pPr>
    </w:p>
    <w:p>
      <w:pPr>
        <w:ind w:right="220" w:firstLine="589"/>
        <w:spacing w:after="0" w:line="259" w:lineRule="auto"/>
        <w:rPr>
          <w:sz w:val="20"/>
          <w:szCs w:val="20"/>
          <w:color w:val="auto"/>
        </w:rPr>
      </w:pPr>
      <w:r>
        <w:rPr>
          <w:rFonts w:ascii="Arial" w:cs="Arial" w:eastAsia="Arial" w:hAnsi="Arial"/>
          <w:sz w:val="18"/>
          <w:szCs w:val="18"/>
          <w:color w:val="auto"/>
        </w:rPr>
        <w:t>On October 20, 2020, the certificate of incorporation was amended to increase the total shares of Common Stock authorized for issuance to 320,000,000 and decrease the total shares of preferred stock authorized for issuance to 10,000,000 with a par value of $0.0001 per share. 300,000,000 shares of the Common Stock were designated as “Voting Common Stock” and 20,000,000 shares of the Common Stock were designated as “Non-Voting Common Stock”.</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holders of shares of Common Stock are entitled to one vote for each share of Common Stock at all meetings of stockholders.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On August 16, 2018, the Company entered into the Series A Preferred Stock Purchase Agreement for the purchase and sale of Series A preferred stock for $9.32 per share. The Company received $75.0 million in cash proceeds from the initial purchasers. On September 19, 2018, the Company received an additional $20.0 million in cash proceeds from subsequent purchasers. Additionally, on the initial closing date, $5.6 million in convertible notes plus accrued interest converted into shares of Series A and the notes were subsequently cancelled. The Warrants associated with the convertible notes became exercisable into Series A. Each share of Series A is convertible into Common Stock on a one-for-one basis. In connection with the issuance of Series A, the Company incurred $194,000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3" w:name="page144"/>
    <w:bookmarkEnd w:id="143"/>
    <w:p>
      <w:pPr>
        <w:ind w:right="460"/>
        <w:spacing w:after="0" w:line="277" w:lineRule="auto"/>
        <w:rPr>
          <w:sz w:val="20"/>
          <w:szCs w:val="20"/>
          <w:color w:val="auto"/>
        </w:rPr>
      </w:pPr>
      <w:r>
        <w:rPr>
          <w:rFonts w:ascii="Arial" w:cs="Arial" w:eastAsia="Arial" w:hAnsi="Arial"/>
          <w:sz w:val="18"/>
          <w:szCs w:val="18"/>
          <w:color w:val="auto"/>
        </w:rPr>
        <w:t>in issuance costs which have offset amounts reported as temporary equity as of December 31, 2019. As of December 31, 2020, in connection with the Company’s IPO, all shares of Series A converted into Common Stock.</w:t>
      </w:r>
    </w:p>
    <w:p>
      <w:pPr>
        <w:spacing w:after="0" w:line="170"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On December 23, 2019, the Company entered into the Series B-1 and Series B-2 Preferred Stock Purchase Agreement, pursuant to which the investors committed to invest an aggregate amount of up to $125.0 million for the issuance and sale of shares of Series B-1 and Series B-2 (collectively, the Series B), at a price of $10.18690 and $11.20563 per share, respectively. The Company issued 8,344,034 shares of Series B-1 for cash proceeds of $85.0 million at the initial closing on December 23, 2019. The investors also committed to purchase and the Company committed to sell 3,569,630 shares of Series B-2 in a subsequent closing (the Second Closing), contingent upon achievement by the Company of certain development milestones or a receipt of a waiver of achievement of the milestones. No shares of Series B-2 were issued as of December 31, 2019. In connection with the issuance of Series B-1, the Company incurred $442,000 in issuance costs which have offset amounts reported as temporary equity as of December 31, 2019.</w:t>
      </w:r>
    </w:p>
    <w:p>
      <w:pPr>
        <w:spacing w:after="0" w:line="166" w:lineRule="exact"/>
        <w:rPr>
          <w:sz w:val="20"/>
          <w:szCs w:val="20"/>
          <w:color w:val="auto"/>
        </w:rPr>
      </w:pPr>
    </w:p>
    <w:p>
      <w:pPr>
        <w:ind w:right="420" w:firstLine="589"/>
        <w:spacing w:after="0" w:line="279" w:lineRule="auto"/>
        <w:rPr>
          <w:sz w:val="20"/>
          <w:szCs w:val="20"/>
          <w:color w:val="auto"/>
        </w:rPr>
      </w:pPr>
      <w:r>
        <w:rPr>
          <w:rFonts w:ascii="Arial" w:cs="Arial" w:eastAsia="Arial" w:hAnsi="Arial"/>
          <w:sz w:val="18"/>
          <w:szCs w:val="18"/>
          <w:color w:val="auto"/>
        </w:rPr>
        <w:t>Prior to the IPO, the Company issued 3,569,630 shares of Series B-2, which upon the closing of the IPO converted into common stock. In connection with the Company’s IPO, all shares of Series B-1 converted into common stock. As of December 31, 2020, there was 10,000,000 shares of preferred stock authorized and no preferred stock issued.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3"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Company’s 2018 Equity Incentive Plan (the 2018 Plan) allows the Company to issue restricted stock awards and restricted stock units, and to grant incentive stock options or non-qualified stock options. Incentive stock options may be granted only to the Company’s employees including officers and members of the Board who are also employees. Restricted stock awards, restricted stock units and non-qualified stock options may be granted to employees, members of the Board, outside advisors, and consultants of the Company (the Participants). The Company is authorized to issue awards for 4,913,665 shares of Common Stock under the 2018 Plan. The Company has granted awards of common stock in the form of 4,279,693 shares as of December 31, 2020 with none remaining available for future grant. Following the Company’s IPO in October 2020, all future grants will be made under the 2020 Plan (as defined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23" w:lineRule="exact"/>
        <w:rPr>
          <w:sz w:val="20"/>
          <w:szCs w:val="20"/>
          <w:color w:val="auto"/>
        </w:rPr>
      </w:pPr>
    </w:p>
    <w:p>
      <w:pPr>
        <w:ind w:firstLine="864"/>
        <w:spacing w:after="0" w:line="253" w:lineRule="auto"/>
        <w:rPr>
          <w:sz w:val="20"/>
          <w:szCs w:val="20"/>
          <w:color w:val="auto"/>
        </w:rPr>
      </w:pPr>
      <w:r>
        <w:rPr>
          <w:rFonts w:ascii="Arial" w:cs="Arial" w:eastAsia="Arial" w:hAnsi="Arial"/>
          <w:sz w:val="18"/>
          <w:szCs w:val="18"/>
          <w:color w:val="auto"/>
        </w:rPr>
        <w:t>The Company adopted the 2020 Incentive Award Plan (the 2020 Plan) effective October 15, 2020. The 2020 Plan provides for a variety of stock-based compensation awards, including stock options, stock appreciation rights, or SARs, restricted stock awards, restricted stock unit awards, performance bonus awards, performance stock unit awards, dividend equivalents, or other stock or cash based awards. The Company has granted 3,374,466 shares subject to awards as of December 31, 2020 with 1,068,965 remaining available for future grant.</w:t>
      </w:r>
    </w:p>
    <w:p>
      <w:pPr>
        <w:spacing w:after="0" w:line="193"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Following the effectiveness of the 2020 Plan, the Company will not make any further grants under the 2018 Plan. However, the 2018 Plan will continue to govern the terms and conditions of the outstanding awards granted under this plan. Shares of common stock subject to awards granted under the 2018 Plan that are forfeited or lapse unexercised and which following the effective date of the 2020 Plan are not issued under the 2018 Plan will be available for issuance under the 2020 Plan.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The Company adopted the 2020 Employee Stock Purchase Plan (the 2020 ESPP) effective on October 15, 2020. The 2020 ESPP will enable eligible employees of the Company to purchase shares of common stock at a discount to fair market value. The Company has initially reserved for issuance 368,901 shares of common stock pursuant to the 2020 ESPP. As of December 31, 2020, no grants of awards under this plan have been made.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The exercise price for incentive stock options is at least 100% of the fair market value on the date of grant for stockholders owning less than 10% of the voting power of all classes of stock, or at least 110% of the fair market value for stockholders owning more than 10% of the voting power of all classes of stock. Options generally expire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4" w:name="page145"/>
    <w:bookmarkEnd w:id="144"/>
    <w:p>
      <w:pPr>
        <w:jc w:val="both"/>
        <w:ind w:right="20"/>
        <w:spacing w:after="0" w:line="263" w:lineRule="auto"/>
        <w:rPr>
          <w:sz w:val="20"/>
          <w:szCs w:val="20"/>
          <w:color w:val="auto"/>
        </w:rPr>
      </w:pPr>
      <w:r>
        <w:rPr>
          <w:rFonts w:ascii="Arial" w:cs="Arial" w:eastAsia="Arial" w:hAnsi="Arial"/>
          <w:sz w:val="18"/>
          <w:szCs w:val="18"/>
          <w:color w:val="auto"/>
        </w:rPr>
        <w:t>in 10 years and vest over periods determined by the Board, generally 48 months. Certain stock options referred to as “early exercise stock options” permit the holders to exercise the option in whole or in part prior to the full vesting of the option in exchange for unvested shares of Restricted Stock with respect to any unvested portion of the option so exercised.</w:t>
      </w:r>
    </w:p>
    <w:p>
      <w:pPr>
        <w:spacing w:after="0" w:line="184"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During the years ended December 31, 2020 and December 31, 2019, the Company’s stock option compensation expense was approximately $2.6 million and $261,000, respectively, and there was no recognized tax benefit in either year. As of December 31, 2020, unamortized expense balance was $38.8 million, to be amortized over a weighted-average period of 3.43 years.</w:t>
      </w:r>
    </w:p>
    <w:p>
      <w:pPr>
        <w:spacing w:after="0" w:line="184"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Participants were as follows, presented on a weighted-average basis: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412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6.06</w:t>
            </w: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Volatility</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77.14%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6480" w:type="dxa"/>
            <w:vAlign w:val="bottom"/>
            <w:gridSpan w:val="4"/>
          </w:tcPr>
          <w:p>
            <w:pPr>
              <w:ind w:left="20"/>
              <w:spacing w:after="0"/>
              <w:rPr>
                <w:sz w:val="20"/>
                <w:szCs w:val="20"/>
                <w:color w:val="auto"/>
              </w:rPr>
            </w:pPr>
            <w:r>
              <w:rPr>
                <w:rFonts w:ascii="Arial" w:cs="Arial" w:eastAsia="Arial" w:hAnsi="Arial"/>
                <w:sz w:val="18"/>
                <w:szCs w:val="18"/>
                <w:color w:val="auto"/>
                <w:w w:val="90"/>
              </w:rPr>
              <w:t>Stock option activity during the year ended December 31, 2020 and 2019 was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4"/>
              </w:rPr>
              <w:t>Weighted-</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Term (years)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1,062,457</w:t>
            </w:r>
          </w:p>
        </w:tc>
        <w:tc>
          <w:tcPr>
            <w:tcW w:w="2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52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178,863</w:t>
            </w:r>
          </w:p>
        </w:tc>
        <w:tc>
          <w:tcPr>
            <w:tcW w:w="220" w:type="dxa"/>
            <w:vAlign w:val="bottom"/>
          </w:tcPr>
          <w:p>
            <w:pPr>
              <w:spacing w:after="0"/>
              <w:rPr>
                <w:sz w:val="24"/>
                <w:szCs w:val="2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(891,229)</w:t>
            </w:r>
          </w:p>
        </w:tc>
        <w:tc>
          <w:tcPr>
            <w:tcW w:w="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(3,219)</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346,872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2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5,382,362</w:t>
            </w:r>
          </w:p>
        </w:tc>
        <w:tc>
          <w:tcPr>
            <w:tcW w:w="220" w:type="dxa"/>
            <w:vAlign w:val="bottom"/>
          </w:tcPr>
          <w:p>
            <w:pPr>
              <w:spacing w:after="0"/>
              <w:rPr>
                <w:sz w:val="24"/>
                <w:szCs w:val="2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(188,990)</w:t>
            </w:r>
          </w:p>
        </w:tc>
        <w:tc>
          <w:tcPr>
            <w:tcW w:w="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(52,096)</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5,488,148</w:t>
            </w:r>
          </w:p>
        </w:tc>
        <w:tc>
          <w:tcPr>
            <w:tcW w:w="2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68"/>
        </w:trPr>
        <w:tc>
          <w:tcPr>
            <w:tcW w:w="5240" w:type="dxa"/>
            <w:vAlign w:val="bottom"/>
            <w:gridSpan w:val="2"/>
          </w:tcPr>
          <w:p>
            <w:pPr>
              <w:spacing w:after="0"/>
              <w:rPr>
                <w:sz w:val="20"/>
                <w:szCs w:val="20"/>
                <w:color w:val="auto"/>
              </w:rPr>
            </w:pPr>
            <w:r>
              <w:rPr>
                <w:rFonts w:ascii="Arial" w:cs="Arial" w:eastAsia="Arial" w:hAnsi="Arial"/>
                <w:sz w:val="18"/>
                <w:szCs w:val="18"/>
                <w:color w:val="auto"/>
              </w:rPr>
              <w:t>Options vested and expected to vest as of</w:t>
            </w: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December 31, 2020</w:t>
            </w:r>
          </w:p>
        </w:tc>
        <w:tc>
          <w:tcPr>
            <w:tcW w:w="1020" w:type="dxa"/>
            <w:vAlign w:val="bottom"/>
          </w:tcPr>
          <w:p>
            <w:pPr>
              <w:jc w:val="right"/>
              <w:spacing w:after="0"/>
              <w:rPr>
                <w:sz w:val="20"/>
                <w:szCs w:val="20"/>
                <w:color w:val="auto"/>
              </w:rPr>
            </w:pPr>
            <w:r>
              <w:rPr>
                <w:rFonts w:ascii="Arial" w:cs="Arial" w:eastAsia="Arial" w:hAnsi="Arial"/>
                <w:sz w:val="18"/>
                <w:szCs w:val="18"/>
                <w:color w:val="auto"/>
              </w:rPr>
              <w:t>5,427,891</w:t>
            </w:r>
          </w:p>
        </w:tc>
        <w:tc>
          <w:tcPr>
            <w:tcW w:w="22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vested and exercisable as of</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December 31,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464,567</w:t>
            </w:r>
          </w:p>
        </w:tc>
        <w:tc>
          <w:tcPr>
            <w:tcW w:w="22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240" w:type="dxa"/>
            <w:vAlign w:val="bottom"/>
            <w:gridSpan w:val="2"/>
          </w:tcPr>
          <w:p>
            <w:pPr>
              <w:spacing w:after="0"/>
              <w:rPr>
                <w:sz w:val="20"/>
                <w:szCs w:val="20"/>
                <w:color w:val="auto"/>
              </w:rPr>
            </w:pPr>
            <w:r>
              <w:rPr>
                <w:rFonts w:ascii="Arial" w:cs="Arial" w:eastAsia="Arial" w:hAnsi="Arial"/>
                <w:sz w:val="18"/>
                <w:szCs w:val="18"/>
                <w:color w:val="auto"/>
              </w:rPr>
              <w:t>Options vested and expected to vest as of</w:t>
            </w: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December 31, 2019</w:t>
            </w:r>
          </w:p>
        </w:tc>
        <w:tc>
          <w:tcPr>
            <w:tcW w:w="1020" w:type="dxa"/>
            <w:vAlign w:val="bottom"/>
          </w:tcPr>
          <w:p>
            <w:pPr>
              <w:jc w:val="right"/>
              <w:spacing w:after="0"/>
              <w:rPr>
                <w:sz w:val="20"/>
                <w:szCs w:val="20"/>
                <w:color w:val="auto"/>
              </w:rPr>
            </w:pPr>
            <w:r>
              <w:rPr>
                <w:rFonts w:ascii="Arial" w:cs="Arial" w:eastAsia="Arial" w:hAnsi="Arial"/>
                <w:sz w:val="18"/>
                <w:szCs w:val="18"/>
                <w:color w:val="auto"/>
              </w:rPr>
              <w:t>884,623</w:t>
            </w:r>
          </w:p>
        </w:tc>
        <w:tc>
          <w:tcPr>
            <w:tcW w:w="22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vested and exercisable as of</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December 31,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31,330</w:t>
            </w:r>
          </w:p>
        </w:tc>
        <w:tc>
          <w:tcPr>
            <w:tcW w:w="22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6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89"/>
        <w:spacing w:after="0" w:line="308" w:lineRule="auto"/>
        <w:rPr>
          <w:sz w:val="20"/>
          <w:szCs w:val="20"/>
          <w:color w:val="auto"/>
        </w:rPr>
      </w:pPr>
      <w:r>
        <w:rPr>
          <w:rFonts w:ascii="Arial" w:cs="Arial" w:eastAsia="Arial" w:hAnsi="Arial"/>
          <w:sz w:val="18"/>
          <w:szCs w:val="18"/>
          <w:color w:val="auto"/>
        </w:rPr>
        <w:t>The weighted-average grant date fair value of stock options granted was $7.50 per share during the year ended December 31, 2020. The weighted-average grant date fair value of stock options granted was $0.08 per share during the year ended December 31, 2019.</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145" w:name="page146"/>
    <w:bookmarkEnd w:id="145"/>
    <w:p>
      <w:pPr>
        <w:ind w:right="140" w:firstLine="589"/>
        <w:spacing w:after="0" w:line="257" w:lineRule="auto"/>
        <w:rPr>
          <w:sz w:val="20"/>
          <w:szCs w:val="20"/>
          <w:color w:val="auto"/>
        </w:rPr>
      </w:pPr>
      <w:r>
        <w:rPr>
          <w:rFonts w:ascii="Arial" w:cs="Arial" w:eastAsia="Arial" w:hAnsi="Arial"/>
          <w:sz w:val="18"/>
          <w:szCs w:val="18"/>
          <w:color w:val="auto"/>
        </w:rPr>
        <w:t>During the years ended December 31, 2020 and December 31, 2019, the Company issued 371,939 and 537,781 and shares of Common Stock, respectively, upon exercise of unvested stock options or purchases for unvested restricted stock awards. As of December 31, 2020 and 2019, there were 396,522 and 577,124 shares of Common Stock, respectively, held by employees subject to repurchase at an aggregate price of $0.6 million and $0.7 million, respectively. A corresponding liability was recorded and included in accrued expenses on the consolidated balance sheet as of December 31, 2020 and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140" w:firstLine="589"/>
        <w:spacing w:after="0" w:line="301" w:lineRule="auto"/>
        <w:rPr>
          <w:sz w:val="20"/>
          <w:szCs w:val="20"/>
          <w:color w:val="auto"/>
        </w:rPr>
      </w:pPr>
      <w:r>
        <w:rPr>
          <w:rFonts w:ascii="Arial" w:cs="Arial" w:eastAsia="Arial" w:hAnsi="Arial"/>
          <w:sz w:val="16"/>
          <w:szCs w:val="16"/>
          <w:color w:val="auto"/>
        </w:rPr>
        <w:t>The Company may grant restricted stock purchase awards to the Participants to purchase restricted stock under the Company’s Plan, which are subject to vesting conditions. The purchase prices of the restricted stock are determined by the Board. The Company has a right to repurchase the shares if the Participant’s service period is not fulfilled or upon termination of service at the original per share issuance price. The right of repurchase lapses over a service period which is typically four years with 25% vesting on the first anniversary of the vesting commencement date and 1/48 each month thereafter.</w:t>
      </w:r>
    </w:p>
    <w:p>
      <w:pPr>
        <w:spacing w:after="0" w:line="157" w:lineRule="exact"/>
        <w:rPr>
          <w:sz w:val="20"/>
          <w:szCs w:val="20"/>
          <w:color w:val="auto"/>
        </w:rPr>
      </w:pPr>
    </w:p>
    <w:p>
      <w:pPr>
        <w:ind w:right="380" w:firstLine="589"/>
        <w:spacing w:after="0" w:line="311" w:lineRule="auto"/>
        <w:rPr>
          <w:sz w:val="20"/>
          <w:szCs w:val="20"/>
          <w:color w:val="auto"/>
        </w:rPr>
      </w:pPr>
      <w:r>
        <w:rPr>
          <w:rFonts w:ascii="Arial" w:cs="Arial" w:eastAsia="Arial" w:hAnsi="Arial"/>
          <w:sz w:val="16"/>
          <w:szCs w:val="16"/>
          <w:color w:val="auto"/>
        </w:rPr>
        <w:t>Before the adoption of the Company’s Plan, the Company granted 502,964 restricted stock awards to employees and founders. These restricted stock awards have similar characteristics to the restricted stock awards granted under the Company’s Plan, other than the right of repurchase, which typically lapses over three years with 33% vesting on the first anniversary of the vesting commencement date and 1/36 each month thereafter.</w:t>
      </w:r>
    </w:p>
    <w:p>
      <w:pPr>
        <w:spacing w:after="0" w:line="149"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During the years ended December 31, 2020 and December 31, 2019, the Company recorded a total stock-based compensation expense of $361,000 and $492,000, respectively, related to the restricted stock awards. As of December 31, 2020, unrecognized stock-based compensation costs related to outstanding unvested restricted stock awards that are expected to vest were approximately $526,000, expected to be recognized over a weighted-average period of 1.14 years.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restricted common stock activity for years ended December 31,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Aggregate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Grant Date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 Awards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3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CFF0FC"/>
            </w:tcBorders>
          </w:tcPr>
          <w:p>
            <w:pPr>
              <w:spacing w:after="0"/>
              <w:rPr>
                <w:sz w:val="20"/>
                <w:szCs w:val="20"/>
                <w:color w:val="auto"/>
              </w:rPr>
            </w:pPr>
          </w:p>
        </w:tc>
        <w:tc>
          <w:tcPr>
            <w:tcW w:w="1040" w:type="dxa"/>
            <w:vAlign w:val="bottom"/>
            <w:tcBorders>
              <w:top w:val="single" w:sz="8" w:color="auto"/>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Issued and unvested as of</w:t>
            </w:r>
          </w:p>
        </w:tc>
        <w:tc>
          <w:tcPr>
            <w:tcW w:w="1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2018</w:t>
            </w:r>
          </w:p>
        </w:tc>
        <w:tc>
          <w:tcPr>
            <w:tcW w:w="1260" w:type="dxa"/>
            <w:vAlign w:val="bottom"/>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1,521,387</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0.94</w:t>
            </w:r>
          </w:p>
        </w:tc>
        <w:tc>
          <w:tcPr>
            <w:tcW w:w="2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FF0FC"/>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460" w:type="dxa"/>
            <w:vAlign w:val="bottom"/>
            <w:gridSpan w:val="2"/>
          </w:tcPr>
          <w:p>
            <w:pPr>
              <w:ind w:left="1140"/>
              <w:spacing w:after="0"/>
              <w:rPr>
                <w:sz w:val="20"/>
                <w:szCs w:val="20"/>
                <w:color w:val="auto"/>
              </w:rPr>
            </w:pPr>
            <w:r>
              <w:rPr>
                <w:rFonts w:ascii="Arial" w:cs="Arial" w:eastAsia="Arial" w:hAnsi="Arial"/>
                <w:sz w:val="18"/>
                <w:szCs w:val="18"/>
                <w:color w:val="auto"/>
              </w:rPr>
              <w:t>Restricted stock awards granted</w:t>
            </w:r>
          </w:p>
        </w:tc>
        <w:tc>
          <w:tcPr>
            <w:tcW w:w="126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vested</w:t>
            </w:r>
          </w:p>
        </w:tc>
        <w:tc>
          <w:tcPr>
            <w:tcW w:w="26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(694,200)</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1140"/>
              <w:spacing w:after="0"/>
              <w:rPr>
                <w:sz w:val="20"/>
                <w:szCs w:val="20"/>
                <w:color w:val="auto"/>
              </w:rPr>
            </w:pPr>
            <w:r>
              <w:rPr>
                <w:rFonts w:ascii="Arial" w:cs="Arial" w:eastAsia="Arial" w:hAnsi="Arial"/>
                <w:sz w:val="18"/>
                <w:szCs w:val="18"/>
                <w:color w:val="auto"/>
              </w:rPr>
              <w:t>Issued and unvested as of</w:t>
            </w:r>
          </w:p>
        </w:tc>
        <w:tc>
          <w:tcPr>
            <w:tcW w:w="1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December 31, 2019</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827,187</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granted</w:t>
            </w:r>
          </w:p>
        </w:tc>
        <w:tc>
          <w:tcPr>
            <w:tcW w:w="1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Restricted stock awards vested</w:t>
            </w:r>
          </w:p>
        </w:tc>
        <w:tc>
          <w:tcPr>
            <w:tcW w:w="2640" w:type="dxa"/>
            <w:vAlign w:val="bottom"/>
            <w:gridSpan w:val="3"/>
          </w:tcPr>
          <w:p>
            <w:pPr>
              <w:jc w:val="right"/>
              <w:ind w:right="120"/>
              <w:spacing w:after="0"/>
              <w:rPr>
                <w:sz w:val="20"/>
                <w:szCs w:val="20"/>
                <w:color w:val="auto"/>
              </w:rPr>
            </w:pPr>
            <w:r>
              <w:rPr>
                <w:rFonts w:ascii="Arial" w:cs="Arial" w:eastAsia="Arial" w:hAnsi="Arial"/>
                <w:sz w:val="18"/>
                <w:szCs w:val="18"/>
                <w:color w:val="auto"/>
              </w:rPr>
              <w:t>(418,776)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Issued and unvested as of</w:t>
            </w:r>
          </w:p>
        </w:tc>
        <w:tc>
          <w:tcPr>
            <w:tcW w:w="1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2020</w:t>
            </w:r>
          </w:p>
        </w:tc>
        <w:tc>
          <w:tcPr>
            <w:tcW w:w="1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408,411</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FF0FC"/>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80" w:type="dxa"/>
            <w:vAlign w:val="bottom"/>
            <w:gridSpan w:val="2"/>
          </w:tcPr>
          <w:p>
            <w:pPr>
              <w:jc w:val="right"/>
              <w:ind w:right="1096"/>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46" w:name="page147"/>
    <w:bookmarkEnd w:id="146"/>
    <w:p>
      <w:pPr>
        <w:ind w:left="600"/>
        <w:spacing w:after="0"/>
        <w:rPr>
          <w:sz w:val="20"/>
          <w:szCs w:val="20"/>
          <w:color w:val="auto"/>
        </w:rPr>
      </w:pPr>
      <w:r>
        <w:rPr>
          <w:rFonts w:ascii="Arial" w:cs="Arial" w:eastAsia="Arial" w:hAnsi="Arial"/>
          <w:sz w:val="18"/>
          <w:szCs w:val="18"/>
          <w:color w:val="auto"/>
        </w:rPr>
        <w:t>Stock-based compensation expense was allocated as follows for the years ended December 31, 2020 and December 31, 2019:</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FF0FC"/>
          </w:tcPr>
          <w:p>
            <w:pPr>
              <w:spacing w:after="0"/>
              <w:rPr>
                <w:sz w:val="19"/>
                <w:szCs w:val="19"/>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tables present the fair value of the Company’s financial instruments that are measured or disclosed at fair value on a recurring basis: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7"/>
          </w:tcPr>
          <w:p>
            <w:pPr>
              <w:jc w:val="center"/>
              <w:ind w:left="596"/>
              <w:spacing w:after="0"/>
              <w:rPr>
                <w:sz w:val="20"/>
                <w:szCs w:val="20"/>
                <w:color w:val="auto"/>
              </w:rPr>
            </w:pPr>
            <w:r>
              <w:rPr>
                <w:rFonts w:ascii="Arial" w:cs="Arial" w:eastAsia="Arial" w:hAnsi="Arial"/>
                <w:sz w:val="14"/>
                <w:szCs w:val="14"/>
                <w:b w:val="1"/>
                <w:bCs w:val="1"/>
                <w:color w:val="auto"/>
                <w:w w:val="93"/>
              </w:rPr>
              <w:t>Fair Value Measurements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0"/>
              </w:rPr>
              <w:t>as of December 31, 2020</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3"/>
                <w:szCs w:val="13"/>
                <w:color w:val="auto"/>
              </w:rPr>
            </w:pPr>
          </w:p>
        </w:tc>
        <w:tc>
          <w:tcPr>
            <w:tcW w:w="88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220,383</w:t>
            </w:r>
          </w:p>
        </w:tc>
        <w:tc>
          <w:tcPr>
            <w:tcW w:w="42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bonds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19"/>
                <w:szCs w:val="19"/>
                <w:color w:val="auto"/>
              </w:rPr>
            </w:pPr>
          </w:p>
        </w:tc>
        <w:tc>
          <w:tcPr>
            <w:tcW w:w="1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243,527</w:t>
            </w:r>
          </w:p>
        </w:tc>
        <w:tc>
          <w:tcPr>
            <w:tcW w:w="42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7"/>
          </w:tcPr>
          <w:p>
            <w:pPr>
              <w:jc w:val="center"/>
              <w:ind w:left="596"/>
              <w:spacing w:after="0"/>
              <w:rPr>
                <w:sz w:val="20"/>
                <w:szCs w:val="20"/>
                <w:color w:val="auto"/>
              </w:rPr>
            </w:pPr>
            <w:r>
              <w:rPr>
                <w:rFonts w:ascii="Arial" w:cs="Arial" w:eastAsia="Arial" w:hAnsi="Arial"/>
                <w:sz w:val="14"/>
                <w:szCs w:val="14"/>
                <w:b w:val="1"/>
                <w:bCs w:val="1"/>
                <w:color w:val="auto"/>
                <w:w w:val="93"/>
              </w:rPr>
              <w:t>Fair Value Measurements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0"/>
              </w:rPr>
              <w:t>as of December 31, 2019</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3"/>
                <w:szCs w:val="13"/>
                <w:color w:val="auto"/>
              </w:rPr>
            </w:pPr>
          </w:p>
        </w:tc>
        <w:tc>
          <w:tcPr>
            <w:tcW w:w="88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69,565</w:t>
            </w:r>
          </w:p>
        </w:tc>
        <w:tc>
          <w:tcPr>
            <w:tcW w:w="42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bonds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Liabilities: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Convertible Preferred Stock Liability</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127,712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The level 3 liabilities in the table above are composed of the fair value of Warrants and Conversion Features issued in connection with the Notes, which were subsequently converted into shares of Series A. The fair values of the Warrants and Conversion Features were determined based on significant inputs not observable in the market, which represents a Level 3 measurement within the fair value hierarchy.</w:t>
      </w:r>
    </w:p>
    <w:p>
      <w:pPr>
        <w:spacing w:after="0" w:line="165"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In order to determine the fair value of the Warrants, the Company utilized a probability-weighted multi-scenario Black-Scholes option-pricing model to determine the fair value of the Warrants by accounting for the probability of multiple possible outcomes, including deemed liquidation events, as best estimated by management. Estimates and assumptions impacting the fair value measurement including the fair value of the underlying shares of Series A, the remaining contractual or expected term of the Warrants, risk-free interest rate, expected dividend yield and expected volatility of the price of the underlying preferred stock on an as converted basis. The Company considered the probability of a deemed liquidation event in determining the remaining expected term of the Warrants, which was used as an input to the probability-weighted multi-scenario Black-Scholes option-pricing model adopted in 2019. The Company lacked company-specific historical and implied volatility information of its stock since there was no market prior to the IPO.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147" w:name="page148"/>
    <w:bookmarkEnd w:id="147"/>
    <w:p>
      <w:pPr>
        <w:ind w:left="600"/>
        <w:spacing w:after="0"/>
        <w:rPr>
          <w:sz w:val="20"/>
          <w:szCs w:val="20"/>
          <w:color w:val="auto"/>
        </w:rPr>
      </w:pPr>
      <w:r>
        <w:rPr>
          <w:rFonts w:ascii="Arial" w:cs="Arial" w:eastAsia="Arial" w:hAnsi="Arial"/>
          <w:sz w:val="16"/>
          <w:szCs w:val="16"/>
          <w:color w:val="auto"/>
        </w:rPr>
        <w:t>The Warrants were converted into shares of Series A stock immediately prior to the IPO and therefore they were retired as of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Warrants were measured at fair value under the following assumption as of December 31, 2019:</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Term (in years)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2.00 - 3.00</w:t>
            </w:r>
          </w:p>
        </w:tc>
        <w:tc>
          <w:tcPr>
            <w:tcW w:w="180" w:type="dxa"/>
            <w:vAlign w:val="bottom"/>
          </w:tcPr>
          <w:p>
            <w:pPr>
              <w:spacing w:after="0"/>
              <w:rPr>
                <w:sz w:val="19"/>
                <w:szCs w:val="19"/>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9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120.00%</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75.00%</w:t>
            </w:r>
          </w:p>
        </w:tc>
      </w:tr>
    </w:tbl>
    <w:p>
      <w:pPr>
        <w:spacing w:after="0" w:line="242"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fair value of the bifurcated conversion feature was immaterial at inception and is included in the initial fair value of the derivative liabilities. As of December 31, 2020, and 2019, the fair value of the bifurcated conversion feature was $0 as the Notes are converted into shares of Series A preferred stock in August 2018.</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a summary of changes in fair value of the Company’s derivative liability for which fair value was determined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 inputs: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16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Warrants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160" w:type="dxa"/>
            <w:vAlign w:val="bottom"/>
            <w:tcBorders>
              <w:top w:val="single" w:sz="8" w:color="auto"/>
            </w:tcBorders>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w:t>
            </w:r>
          </w:p>
        </w:tc>
        <w:tc>
          <w:tcPr>
            <w:tcW w:w="1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1160" w:type="dxa"/>
            <w:vAlign w:val="bottom"/>
            <w:tcBorders>
              <w:top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Change in fair value</w:t>
            </w: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Retirement of liability</w:t>
            </w:r>
          </w:p>
        </w:tc>
        <w:tc>
          <w:tcPr>
            <w:tcW w:w="1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(14,560)</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160" w:type="dxa"/>
            <w:vAlign w:val="bottom"/>
            <w:tcBorders>
              <w:top w:val="single" w:sz="8" w:color="auto"/>
              <w:bottom w:val="single" w:sz="8" w:color="auto"/>
            </w:tcBorders>
          </w:tcPr>
          <w:p>
            <w:pPr>
              <w:jc w:val="right"/>
              <w:ind w:right="10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Immediately prior to the IPO, the Redeemable Convertible Preferred Stock Liability was converted in shares of Series B-2 Preferred Stock, which then converted into shares of common stock. As of December 31, 2020, the liability was retired.</w:t>
      </w:r>
    </w:p>
    <w:p>
      <w:pPr>
        <w:spacing w:after="0" w:line="251"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As of December 31, 2019, in order to determine the fair value of the Redeemable Convertible Preferred Stock Liability, the Company used a probability weighted multi-scenario Black Scholes hybrid valuation method that accounts for the probability of achieving milestones as estimated by the management. The Redeemable Convertible Preferred Stock Liability has a fair value of $3.2 million at inception, which remained unchanged as of December 31, 2019. The Redeemable Convertible Preferred Stock Liability was measured at fair value under the following assumptions through redemption on October 6, 2020 and as of December 31, 2019:</w:t>
      </w:r>
    </w:p>
    <w:p>
      <w:pPr>
        <w:spacing w:after="0" w:line="26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Term (in years)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0.02-0.75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0.08%-0.11%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significant unobservable inputs used in the fair value measurement of the Redeemable Convertible Preferred Stock Liability include the probability of milestone achievement and/or milestone achievement waiver, the Series B-2 current or future value estimate under each scenario, the term, and the equity volatility, which is a statistical measure of the dispersion of returns for a given security. Significant increases (decreases) in the milestone achievement and/or milestone waiver would result in a significantly higher (lower) fair value measurement. Significant decreases (increases) in assumed current or future Series B-2 value would result in a significantly lower</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t>(higher) fair value measurement. Significant increases (decreases) in the term would result in a significantly higher (lower) fair value measurement.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increases (decreases) in the volatility would result in significantly higher (lower) fair value measurements.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agreements and 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Emory University (Emory)</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June 2018, the Company entered into a license agreement with Emory (the Emory License Agreement), pursuant to which Emory granted the Company a worldwide, sublicenseable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will become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179"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As consideration for the Emory License Agreement, the Company paid an upfront license fee of $290,000 and issued the Emory Convertible Note of $600,000. As discussed in Note 8, upon issuance of the Series A in August 2018, the Emory Convertible Note and unpaid accrued interest was cancelled and converted into shares of Series A at a conversion price of $9.32 per share.</w:t>
      </w:r>
    </w:p>
    <w:p>
      <w:pPr>
        <w:spacing w:after="0" w:line="184"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$150,000,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terminates one year from the effective date, with the Company having an option to extend for a second year. In connection with the research plan, the Company will provide Emory funding up to $270,000 per year.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49" w:name="page150"/>
    <w:bookmarkEnd w:id="149"/>
    <w:p>
      <w:pPr>
        <w:ind w:firstLine="589"/>
        <w:spacing w:after="0" w:line="269" w:lineRule="auto"/>
        <w:rPr>
          <w:sz w:val="20"/>
          <w:szCs w:val="20"/>
          <w:color w:val="auto"/>
        </w:rPr>
      </w:pPr>
      <w:r>
        <w:rPr>
          <w:rFonts w:ascii="Arial" w:cs="Arial" w:eastAsia="Arial" w:hAnsi="Arial"/>
          <w:sz w:val="17"/>
          <w:szCs w:val="17"/>
          <w:color w:val="auto"/>
        </w:rPr>
        <w:t>The Company has agreed to pay Emory up to an aggregate of $125.0 million upon the achievement of specified development, regulatory, and commercial milestones, and all ongoing patent costs. During the year ended December 31, 2019, the Company had no expenses related to milestone payments. During the year ended December 31, 2020, the Company made a payment of $4.5 million in relation to the first patient dosing in a clinical trial which was the first development milestone per the contract.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years ended December 31, 2020 and December 31, 2019, the Company made no payments associated with royalties.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Luxna Biotech Co., Ltd. (Luxna)</w:t>
      </w:r>
    </w:p>
    <w:p>
      <w:pPr>
        <w:spacing w:after="0" w:line="117"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On December 19, 2018, the Company entered into a license agreement with Luxna, pursuant to which Luxna granted the Company an exclusive, worldwide, sublicenseable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w:t>
      </w:r>
    </w:p>
    <w:p>
      <w:pPr>
        <w:spacing w:after="0" w:line="178"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As consideration for this agreement, the Company paid an upfront license fee of $600,000, which was recorded as research and development expense during the period from inception through December 31, 2018 and the year ended December 31, 2019.</w:t>
      </w:r>
    </w:p>
    <w:p>
      <w:pPr>
        <w:spacing w:after="0" w:line="170"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$200,000.</w:t>
      </w:r>
    </w:p>
    <w:p>
      <w:pPr>
        <w:spacing w:after="0" w:line="171"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The Company is obligated to make payments to Luxna, in aggregate, totaling up to but no more than $55.5 million upon the achievement of specified development, regulatory, and commercial milestones. During the years ended December 31, 2020 and December 31, 2019, the Company recognized no expenses related to milestone payments. The Company is also required to pay Luxna a low-single digit royalty percentage on net sale of applicable products, if any. During the years ended December 31, 2020 and December 31, 2019, the Company made no payments associated with royalties.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Katholieke Universiteit Leuven (KU Leuven)</w:t>
      </w:r>
    </w:p>
    <w:p>
      <w:pPr>
        <w:spacing w:after="0" w:line="117"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KU Leuven granted to the Company an exclusive (including as to KU Leuven), worldwide license under certain of KU Leuven’s know-how and existing patents, and certain joint patents and joint know-how, to manufacture and commercialize the licensed products for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0" w:name="page151"/>
    <w:bookmarkEnd w:id="150"/>
    <w:p>
      <w:pPr>
        <w:ind w:right="40"/>
        <w:spacing w:after="0" w:line="269" w:lineRule="auto"/>
        <w:rPr>
          <w:sz w:val="20"/>
          <w:szCs w:val="20"/>
          <w:color w:val="auto"/>
        </w:rPr>
      </w:pPr>
      <w:r>
        <w:rPr>
          <w:rFonts w:ascii="Arial" w:cs="Arial" w:eastAsia="Arial" w:hAnsi="Arial"/>
          <w:sz w:val="17"/>
          <w:szCs w:val="17"/>
          <w:color w:val="auto"/>
        </w:rPr>
        <w:t>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years ended December 31, 2020 and December 31, 2019, the Company recognized no expenses related to milestone payments.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Merck</w:t>
      </w:r>
    </w:p>
    <w:p>
      <w:pPr>
        <w:spacing w:after="0" w:line="117" w:lineRule="exact"/>
        <w:rPr>
          <w:sz w:val="20"/>
          <w:szCs w:val="20"/>
          <w:color w:val="auto"/>
        </w:rPr>
      </w:pPr>
    </w:p>
    <w:p>
      <w:pPr>
        <w:ind w:firstLine="589"/>
        <w:spacing w:after="0" w:line="276" w:lineRule="auto"/>
        <w:rPr>
          <w:sz w:val="20"/>
          <w:szCs w:val="20"/>
          <w:color w:val="auto"/>
        </w:rPr>
      </w:pPr>
      <w:r>
        <w:rPr>
          <w:rFonts w:ascii="Arial" w:cs="Arial" w:eastAsia="Arial" w:hAnsi="Arial"/>
          <w:sz w:val="17"/>
          <w:szCs w:val="17"/>
          <w:color w:val="auto"/>
        </w:rPr>
        <w:t>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agreement, the Company received an upfront payment from Merck and may receive an additional upfront payment after finalization of a research plan for such additional target. With respect to each collaboration target, the Company will be eligible for up to $458.0 million in development and commercialization milestones as well as tiered royalties on net sales. The Company will be primarily responsible for designing, preparing and evaluating the oligonucleotide molecules and delivering optimized lead molecules, and Merck will be responsible for subsequent research, clinical development and commercialization efforts. The Company determined that the Merck agreement falls within the scope of ASC 808 and we analogized to ASC 606 for the accounting of payments such as upfront payments and other milestones. During the year ending December 31, 2020 the Company recognized no revenue from collaborative arrangements related to milestone payments. The upfront payment received during 2020 was recorded on the consolidated balance sheet as Deferred Revenue from Collaborations.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the current provision for income taxes were as follows for the years ended December 31, 2020 and 2019:</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State</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r>
      <w:tr>
        <w:trPr>
          <w:trHeight w:val="223"/>
        </w:trPr>
        <w:tc>
          <w:tcPr>
            <w:tcW w:w="44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provision for income taxes</w:t>
            </w:r>
          </w:p>
        </w:tc>
        <w:tc>
          <w:tcPr>
            <w:tcW w:w="9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top w:val="single" w:sz="8" w:color="CFF0FC"/>
            </w:tcBorders>
            <w:shd w:val="clear" w:color="auto" w:fill="CFF0FC"/>
          </w:tcPr>
          <w:p>
            <w:pPr>
              <w:spacing w:after="0"/>
              <w:rPr>
                <w:sz w:val="19"/>
                <w:szCs w:val="19"/>
                <w:color w:val="auto"/>
              </w:rPr>
            </w:pPr>
          </w:p>
        </w:tc>
      </w:tr>
      <w:tr>
        <w:trPr>
          <w:trHeight w:val="453"/>
        </w:trPr>
        <w:tc>
          <w:tcPr>
            <w:tcW w:w="4420" w:type="dxa"/>
            <w:vAlign w:val="bottom"/>
          </w:tcPr>
          <w:p>
            <w:pPr>
              <w:spacing w:after="0"/>
              <w:rPr>
                <w:sz w:val="20"/>
                <w:szCs w:val="20"/>
                <w:color w:val="auto"/>
              </w:rPr>
            </w:pPr>
            <w:r>
              <w:rPr>
                <w:rFonts w:ascii="Arial" w:cs="Arial" w:eastAsia="Arial" w:hAnsi="Arial"/>
                <w:sz w:val="18"/>
                <w:szCs w:val="18"/>
                <w:color w:val="auto"/>
              </w:rPr>
              <w:t>Deferred:</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Federal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Pr>
          <w:p>
            <w:pPr>
              <w:ind w:left="480"/>
              <w:spacing w:after="0"/>
              <w:rPr>
                <w:sz w:val="20"/>
                <w:szCs w:val="20"/>
                <w:color w:val="auto"/>
              </w:rPr>
            </w:pPr>
            <w:r>
              <w:rPr>
                <w:rFonts w:ascii="Arial" w:cs="Arial" w:eastAsia="Arial" w:hAnsi="Arial"/>
                <w:sz w:val="18"/>
                <w:szCs w:val="18"/>
                <w:color w:val="auto"/>
              </w:rPr>
              <w:t>Total deferred provision for income taxes</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did not have any deferred provision for income taxes for the years ended December 31, 2020 and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1" w:name="page152"/>
    <w:bookmarkEnd w:id="151"/>
    <w:p>
      <w:pPr>
        <w:ind w:right="160" w:firstLine="589"/>
        <w:spacing w:after="0" w:line="277" w:lineRule="auto"/>
        <w:rPr>
          <w:sz w:val="20"/>
          <w:szCs w:val="20"/>
          <w:color w:val="auto"/>
        </w:rPr>
      </w:pPr>
      <w:r>
        <w:rPr>
          <w:rFonts w:ascii="Arial" w:cs="Arial" w:eastAsia="Arial" w:hAnsi="Arial"/>
          <w:sz w:val="18"/>
          <w:szCs w:val="18"/>
          <w:color w:val="auto"/>
        </w:rPr>
        <w:t>A reconciliation of the expected income tax (benefit) computed using the federal statutory income tax rate to the Company’s effective income tax rate is as follows for the years ended December 31, 2020 and 2019:</w:t>
      </w:r>
    </w:p>
    <w:p>
      <w:pPr>
        <w:spacing w:after="0" w:line="243"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5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Income tax computed at federal statutory rate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140" w:type="dxa"/>
            <w:vAlign w:val="bottom"/>
          </w:tcPr>
          <w:p>
            <w:pPr>
              <w:spacing w:after="0"/>
              <w:rPr>
                <w:sz w:val="19"/>
                <w:szCs w:val="19"/>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R&amp;D credit carryovers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Change in fair value of derivatives</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1100"/>
              <w:spacing w:after="0"/>
              <w:rPr>
                <w:sz w:val="20"/>
                <w:szCs w:val="20"/>
                <w:color w:val="auto"/>
              </w:rPr>
            </w:pPr>
            <w:r>
              <w:rPr>
                <w:rFonts w:ascii="Arial" w:cs="Arial" w:eastAsia="Arial" w:hAnsi="Arial"/>
                <w:sz w:val="18"/>
                <w:szCs w:val="18"/>
                <w:color w:val="auto"/>
              </w:rPr>
              <w:t>Effective income tax rate</w:t>
            </w: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60" w:type="dxa"/>
            <w:vAlign w:val="bottom"/>
            <w:gridSpan w:val="3"/>
          </w:tcPr>
          <w:p>
            <w:pPr>
              <w:spacing w:after="0"/>
              <w:rPr>
                <w:sz w:val="20"/>
                <w:szCs w:val="20"/>
                <w:color w:val="auto"/>
              </w:rPr>
            </w:pPr>
            <w:r>
              <w:rPr>
                <w:rFonts w:ascii="Arial" w:cs="Arial" w:eastAsia="Arial" w:hAnsi="Arial"/>
                <w:sz w:val="18"/>
                <w:szCs w:val="18"/>
                <w:color w:val="auto"/>
                <w:w w:val="89"/>
              </w:rPr>
              <w:t>The components of the deferred tax assets and liabilities were as follows at December 31:</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60" w:type="dxa"/>
            <w:vAlign w:val="bottom"/>
            <w:gridSpan w:val="3"/>
          </w:tcPr>
          <w:p>
            <w:pPr>
              <w:ind w:left="11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Federal net operating loss carryforward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31,233</w:t>
            </w:r>
          </w:p>
        </w:tc>
        <w:tc>
          <w:tcPr>
            <w:tcW w:w="100" w:type="dxa"/>
            <w:vAlign w:val="bottom"/>
          </w:tcPr>
          <w:p>
            <w:pPr>
              <w:spacing w:after="0"/>
              <w:rPr>
                <w:sz w:val="19"/>
                <w:szCs w:val="19"/>
                <w:color w:val="auto"/>
              </w:rPr>
            </w:pPr>
          </w:p>
        </w:tc>
        <w:tc>
          <w:tcPr>
            <w:tcW w:w="3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 net operating loss carryforward</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Foreign net operating loss carryforward</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4,453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Tax credits</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accruals and reserves</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52,799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(49,133)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(19,362)</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bottom w:val="single" w:sz="8" w:color="CFF0FC"/>
            </w:tcBorders>
            <w:gridSpan w:val="2"/>
          </w:tcPr>
          <w:p>
            <w:pPr>
              <w:ind w:left="480"/>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3,294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Right of use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(2,857)</w:t>
            </w:r>
          </w:p>
        </w:tc>
        <w:tc>
          <w:tcPr>
            <w:tcW w:w="3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deferred tax liabilities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gridSpan w:val="2"/>
          </w:tcPr>
          <w:p>
            <w:pPr>
              <w:ind w:left="480"/>
              <w:spacing w:after="0"/>
              <w:rPr>
                <w:sz w:val="20"/>
                <w:szCs w:val="20"/>
                <w:color w:val="auto"/>
              </w:rPr>
            </w:pPr>
            <w:r>
              <w:rPr>
                <w:rFonts w:ascii="Arial" w:cs="Arial" w:eastAsia="Arial" w:hAnsi="Arial"/>
                <w:sz w:val="18"/>
                <w:szCs w:val="18"/>
                <w:color w:val="auto"/>
              </w:rPr>
              <w:t>Total deferred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Management believes that, based on a number of factors, including the Company’s historical operating performance and accumulated deficit, it is more likely than not that the deferred tax assets will not be utilized, such that full valuation allowance has been recorded against the Company’s deferred tax assets. In assessing the reliability of deferred tax assets, management considers whether it is more likely than not that some portion or all of the deferred tax assets will not be realized on a jurisdiction by jurisdiction basis. The ultimate realization of deferred tax assets is dependent upon the generation of future taxable income during the periods in which those temporary differences become deductible. The valuation allowance increased by $29.7 million during the year ended December 31, 2020.</w:t>
      </w:r>
    </w:p>
    <w:p>
      <w:pPr>
        <w:spacing w:after="0" w:line="19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As of December 31, 2020, the Company had $148.7 million of federal and $152.8 million of state net operating loss (NOL) carryforwards available to offset future taxable income. The Company’s federal NOL carryforwards can be carried forward indefinitely while state NOL carryforwards, if not utilized, will begin expiring in 2038. As of December 31, 2020, the Company had research and development credit carryforwards of $4.1 million and $2.1 million available to reduce future taxable income, if any, for federal and state income tax purposes, respectively. If not utilized, the federal credit carryforwards will begin expiring in 2038. The California credit carryforwards have no expiration. Under Sections 382 and 383 of the Code, and corresponding provisions of state law, if a corporation undergoes an “ownership change” (generally defined as a greater than 50 percentage point change (by value) in its equity ownership over a rolling three-year period), the Company’s ability to use its pre-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2" w:name="page153"/>
    <w:bookmarkEnd w:id="152"/>
    <w:p>
      <w:pPr>
        <w:jc w:val="both"/>
        <w:ind w:right="140"/>
        <w:spacing w:after="0" w:line="275" w:lineRule="auto"/>
        <w:rPr>
          <w:sz w:val="20"/>
          <w:szCs w:val="20"/>
          <w:color w:val="auto"/>
        </w:rPr>
      </w:pPr>
      <w:r>
        <w:rPr>
          <w:rFonts w:ascii="Arial" w:cs="Arial" w:eastAsia="Arial" w:hAnsi="Arial"/>
          <w:sz w:val="16"/>
          <w:szCs w:val="16"/>
          <w:color w:val="auto"/>
        </w:rPr>
        <w:t xml:space="preserve">change NOL carryforwards and other pre-change tax attributes to offset its post-change income may be limited. </w:t>
      </w:r>
      <w:r>
        <w:rPr>
          <w:rFonts w:ascii="Arial" w:cs="Arial" w:eastAsia="Arial" w:hAnsi="Arial"/>
          <w:sz w:val="19"/>
          <w:szCs w:val="19"/>
          <w:color w:val="auto"/>
        </w:rPr>
        <w:t>We performed an IRC Section 382</w:t>
      </w:r>
      <w:r>
        <w:rPr>
          <w:rFonts w:ascii="Arial" w:cs="Arial" w:eastAsia="Arial" w:hAnsi="Arial"/>
          <w:sz w:val="16"/>
          <w:szCs w:val="16"/>
          <w:color w:val="auto"/>
        </w:rPr>
        <w:t xml:space="preserve"> </w:t>
      </w:r>
      <w:r>
        <w:rPr>
          <w:rFonts w:ascii="Arial" w:cs="Arial" w:eastAsia="Arial" w:hAnsi="Arial"/>
          <w:sz w:val="19"/>
          <w:szCs w:val="19"/>
          <w:color w:val="auto"/>
        </w:rPr>
        <w:t>analysis in 2021 and determined there was an ownership change that resulted in Section 382 limitations. The ownership change limited our ability to utilize net operating losses against future taxable income but will not result in the expiration of any NOLs.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191"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 xml:space="preserve">The Company adopted the provisions of FASB Accounting Standards Codification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upon the date of incorporation. ASC 740-10 prescribes a comprehensive model for the recognition, measurement, presentation and disclosure in financial statements of any uncertain tax positions that have been taken or expected to be taken on a tax return. It is the Company’s policy to include penalties and interest expense related to income taxes as a component of other expense and interest expense, respectively, as necessary. During the years ended December 31, 2020 and 2019, the Company had not recognized any tax-related penalties or interest. At December 31, 2020, the gross unrecognized tax benefit relating to research and development credit was $1.5 million, none of which if recognized would reduce the effective tax rate in a future period, due to the Company’s full valuation allowance on U.S. net deferred tax assets. The Company does not expect that its uncertain tax positions will materially change in the next twelve months. The following table summarizes the changes to the Company’s unrecognized tax benefits: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the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Increase related to prior year positions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Increase related to current year positions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ending of the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The Company files income tax returns in the United States, California and Massachusetts, and in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NOLs or credits.</w:t>
      </w:r>
    </w:p>
    <w:p>
      <w:pPr>
        <w:spacing w:after="0" w:line="184" w:lineRule="exact"/>
        <w:rPr>
          <w:sz w:val="20"/>
          <w:szCs w:val="20"/>
          <w:color w:val="auto"/>
        </w:rPr>
      </w:pPr>
    </w:p>
    <w:p>
      <w:pPr>
        <w:ind w:right="200" w:firstLine="589"/>
        <w:spacing w:after="0" w:line="275" w:lineRule="auto"/>
        <w:rPr>
          <w:sz w:val="20"/>
          <w:szCs w:val="20"/>
          <w:color w:val="auto"/>
        </w:rPr>
      </w:pPr>
      <w:r>
        <w:rPr>
          <w:rFonts w:ascii="Arial" w:cs="Arial" w:eastAsia="Arial" w:hAnsi="Arial"/>
          <w:sz w:val="17"/>
          <w:szCs w:val="17"/>
          <w:color w:val="auto"/>
        </w:rPr>
        <w:t>In January 2018, the FASB released guidance on the accounting for tax on the global intangible low-taxed income (GILTI) provisions of the Tax Reform Act. The GILTI provisions impose a tax on foreign income in excess of a deemed return on tangible assets of foreign corporations. The guidance allows companies to make an accounting policy election to either (i) account for GILTI as a component of tax expense in the period in which they are subject to the rules (the period cost method), or (ii) account for GILTI in the Company’s measurement of deferred taxes (the deferred method). After completing the analysis of the GILTI provisions, the Company elected to account for GILTI using the period cost method.</w:t>
      </w:r>
    </w:p>
    <w:p>
      <w:pPr>
        <w:spacing w:after="0" w:line="176"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On March 27, 2020, the “Coronavirus Aid, Relief and Economic Security (CARES) Act” (the “Act”) was signed into law. The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 Company analyzed the provisions of the Act and determined there was no significant impact to its income taxes for the year ended December 31, 2020.</w:t>
      </w:r>
    </w:p>
    <w:p>
      <w:pPr>
        <w:spacing w:after="0" w:line="188" w:lineRule="exact"/>
        <w:rPr>
          <w:sz w:val="20"/>
          <w:szCs w:val="20"/>
          <w:color w:val="auto"/>
        </w:rPr>
      </w:pPr>
    </w:p>
    <w:p>
      <w:pPr>
        <w:ind w:right="240" w:firstLine="589"/>
        <w:spacing w:after="0" w:line="279" w:lineRule="auto"/>
        <w:rPr>
          <w:sz w:val="20"/>
          <w:szCs w:val="20"/>
          <w:color w:val="auto"/>
        </w:rPr>
      </w:pPr>
      <w:r>
        <w:rPr>
          <w:rFonts w:ascii="Arial" w:cs="Arial" w:eastAsia="Arial" w:hAnsi="Arial"/>
          <w:sz w:val="17"/>
          <w:szCs w:val="17"/>
          <w:color w:val="auto"/>
        </w:rPr>
        <w:t>On June 29, 2020, the California Governor signed Assembly Bill 85 (“A.B. 85”), which now becomes California law. A.B. 85, which includes several tax measures, provides for a three-year suspension of the use of net operating losses for medium and large businesses and a three-year cap on the use of business incentive tax credits to offset no more than $5 million of tax per year. Generally, A.B. 85 suspends the use of net operating losses for taxable years 2020, 2021, and 2022 for taxpayers with taxable income of $1 million or more.” Since the Company 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not expected to generate California source taxable income of more than $1 million, no material impact is anticipated at this time.</w:t>
      </w:r>
    </w:p>
    <w:p>
      <w:pPr>
        <w:spacing w:after="0" w:line="225"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On December 27, 2020, the “Consolidated Appropriations Act, 2021” (the “CAA”) was signed into law. The CAA includes provisions meant to clarify and modify certain items put forth in CARES Act, while providing aid to businesses affected by the pandemic. The CAA allows deductions for expenses paid for by Paycheck Protection Program (“PPP”) and Economic Injury Disaster Loan (“EIDL”) Program, clarifies forgiveness of EIDL advances, and other business provisions. The Company analyzed the provisions of the CAA and determined there was no significant impact to its 2020 tax provision.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380" w:firstLine="589"/>
        <w:spacing w:after="0" w:line="286" w:lineRule="auto"/>
        <w:rPr>
          <w:sz w:val="20"/>
          <w:szCs w:val="20"/>
          <w:color w:val="auto"/>
        </w:rPr>
      </w:pPr>
      <w:r>
        <w:rPr>
          <w:rFonts w:ascii="Arial" w:cs="Arial" w:eastAsia="Arial" w:hAnsi="Arial"/>
          <w:sz w:val="17"/>
          <w:szCs w:val="17"/>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 contingent liabilities requiring accrual as of December 31, 2020 and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7"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The Company made matching contributions of $432,000 and $274,000 to the plan during the years ended December 31, 2020 and 2019,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plans—regular pension plan</w:t>
      </w:r>
    </w:p>
    <w:p>
      <w:pPr>
        <w:spacing w:after="0" w:line="117"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 xml:space="preserve">ASC Topic 715, </w:t>
      </w:r>
      <w:r>
        <w:rPr>
          <w:rFonts w:ascii="Arial" w:cs="Arial" w:eastAsia="Arial" w:hAnsi="Arial"/>
          <w:sz w:val="18"/>
          <w:szCs w:val="18"/>
          <w:i w:val="1"/>
          <w:iCs w:val="1"/>
          <w:color w:val="auto"/>
        </w:rPr>
        <w:t>Compensation—Retirement Benefits</w:t>
      </w:r>
      <w:r>
        <w:rPr>
          <w:rFonts w:ascii="Arial" w:cs="Arial" w:eastAsia="Arial" w:hAnsi="Arial"/>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and (c) recognize changes in the funded status of a defined benefit post retirement plan in the year in which the changes occur. Accordingly, the Company is required to report changes in its funded status on its consolidated statement of stockholders’ deficit and consolidated statement of operations and comprehensive loss.</w:t>
      </w:r>
    </w:p>
    <w:p>
      <w:pPr>
        <w:spacing w:after="0" w:line="188"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Aligos-Belgium offers its employees a regular pension plan in the form of a defined contribution plan (the Regular Pension Plan), which contains a 1.75% legally required minimum rate of return for the participants. The Regular Pension Plan does not meet all the requirements that are needed for recognition of the plans as a defined contribution plan. The Company therefore recognizes the Regular Pension Plan as a defined benefit plan.</w:t>
      </w:r>
    </w:p>
    <w:p>
      <w:pPr>
        <w:spacing w:after="0" w:line="149" w:lineRule="exact"/>
        <w:rPr>
          <w:sz w:val="20"/>
          <w:szCs w:val="20"/>
          <w:color w:val="auto"/>
        </w:rPr>
      </w:pPr>
    </w:p>
    <w:p>
      <w:pPr>
        <w:ind w:right="860" w:firstLine="589"/>
        <w:spacing w:after="0" w:line="277" w:lineRule="auto"/>
        <w:rPr>
          <w:sz w:val="20"/>
          <w:szCs w:val="20"/>
          <w:color w:val="auto"/>
        </w:rPr>
      </w:pPr>
      <w:r>
        <w:rPr>
          <w:rFonts w:ascii="Arial" w:cs="Arial" w:eastAsia="Arial" w:hAnsi="Arial"/>
          <w:sz w:val="18"/>
          <w:szCs w:val="18"/>
          <w:color w:val="auto"/>
        </w:rPr>
        <w:t>Net periodic benefit costs and other amounts recognized in other comprehensive loss for the Regular Pension Plan include the following components for the years ended December 31, 2020 and December 31,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gridSpan w:val="2"/>
          </w:tcPr>
          <w:p>
            <w:pPr>
              <w:ind w:left="170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1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Interest costs</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Amortization of actuarial gains/(losses)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 costs</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Prior service costs</w:t>
            </w:r>
          </w:p>
        </w:tc>
        <w:tc>
          <w:tcPr>
            <w:tcW w:w="16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0"/>
              </w:rPr>
              <w:t>Net actuarial loss (gain) in plan asset and projected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benefit obligation recognized in other</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7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comprehensive loss</w:t>
            </w:r>
          </w:p>
        </w:tc>
        <w:tc>
          <w:tcPr>
            <w:tcW w:w="16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FF0FC"/>
            </w:tcBorders>
          </w:tcPr>
          <w:p>
            <w:pPr>
              <w:spacing w:after="0"/>
              <w:rPr>
                <w:sz w:val="20"/>
                <w:szCs w:val="20"/>
                <w:color w:val="auto"/>
              </w:rPr>
            </w:pPr>
          </w:p>
        </w:tc>
        <w:tc>
          <w:tcPr>
            <w:tcW w:w="170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recognized</w:t>
            </w:r>
          </w:p>
        </w:tc>
        <w:tc>
          <w:tcPr>
            <w:tcW w:w="1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641"/>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tcPr>
          <w:p>
            <w:pPr>
              <w:jc w:val="right"/>
              <w:ind w:right="1210"/>
              <w:spacing w:after="0"/>
              <w:rPr>
                <w:sz w:val="20"/>
                <w:szCs w:val="20"/>
                <w:color w:val="auto"/>
              </w:rPr>
            </w:pPr>
            <w:r>
              <w:rPr>
                <w:rFonts w:ascii="Arial" w:cs="Arial" w:eastAsia="Arial" w:hAnsi="Arial"/>
                <w:sz w:val="18"/>
                <w:szCs w:val="18"/>
                <w:color w:val="auto"/>
                <w:w w:val="99"/>
              </w:rPr>
              <w:t>149</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54" w:name="page155"/>
    <w:bookmarkEnd w:id="154"/>
    <w:p>
      <w:pPr>
        <w:ind w:right="300" w:firstLine="589"/>
        <w:spacing w:after="0" w:line="277" w:lineRule="auto"/>
        <w:rPr>
          <w:sz w:val="20"/>
          <w:szCs w:val="20"/>
          <w:color w:val="auto"/>
        </w:rPr>
      </w:pPr>
      <w:r>
        <w:rPr>
          <w:rFonts w:ascii="Arial" w:cs="Arial" w:eastAsia="Arial" w:hAnsi="Arial"/>
          <w:sz w:val="18"/>
          <w:szCs w:val="18"/>
          <w:color w:val="auto"/>
        </w:rPr>
        <w:t>The net periodic benefit costs, excluding service costs, are included in interest and other income (expense), net on the Company’s consolidated statements of operations and comprehensive loss.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activities under the Regular Pension Plan are as follow:</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 in benefit obligation: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Benefit obligation, beginning of year</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service cost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Actuarial loss (gain)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Benefit obligation, end of year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Change in plan assets: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of plan assets, beginning of year</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Company contributions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net return on plan 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Other costs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Actuarial loss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Fair value of plan assets, end of year</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Funded status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The underfunded amount of $261,000 and $90,000 is recognized in accrued liabilities on the consolidated balance sheet as of December 31, 2020 and 2019, respectively. In addition, $84,000 and $85,000 of actuarial loss is recognized in accumulated other comprehensive (loss) income for the years ended December 31, 2020 and December 31, 2019, respectively.</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accumulated benefit obligation for the defined benefit plan was $0.9 million and $0.6 million as of December 31, 2020 and 2019, respectively.</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weighted-average rates used to determine the net periodic benefit costs and projected benefit obligations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0.40%</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0.90%</w:t>
            </w: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Rate of increased salary levels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1.80%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29"/>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long-term rate of return on assets</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0.53%</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0.65%</w:t>
            </w:r>
          </w:p>
        </w:tc>
      </w:tr>
    </w:tbl>
    <w:p>
      <w:pPr>
        <w:spacing w:after="0" w:line="242"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The discount rate used in 2020 and 2019 is based on a yield curve constructed from a portfolio of high-quality, Euro-denominated fixed income investments with various maturities up to 12 years. Each year’s expected future benefit payments are discounted to their present value at the appropriate yield curve rate, thereby generating the overall discount rate for the projected benefit obligation.</w:t>
      </w:r>
    </w:p>
    <w:p>
      <w:pPr>
        <w:spacing w:after="0" w:line="184" w:lineRule="exact"/>
        <w:rPr>
          <w:sz w:val="20"/>
          <w:szCs w:val="20"/>
          <w:color w:val="auto"/>
        </w:rPr>
      </w:pPr>
    </w:p>
    <w:p>
      <w:pPr>
        <w:jc w:val="both"/>
        <w:ind w:right="520" w:firstLine="589"/>
        <w:spacing w:after="0" w:line="263" w:lineRule="auto"/>
        <w:rPr>
          <w:sz w:val="20"/>
          <w:szCs w:val="20"/>
          <w:color w:val="auto"/>
        </w:rPr>
      </w:pPr>
      <w:r>
        <w:rPr>
          <w:rFonts w:ascii="Arial" w:cs="Arial" w:eastAsia="Arial" w:hAnsi="Arial"/>
          <w:sz w:val="18"/>
          <w:szCs w:val="18"/>
          <w:color w:val="auto"/>
        </w:rPr>
        <w:t>The expected long-term rate of return on plan assets is deemed to equal 0.75%, as guaranteed by the insurance company that holds the fund investments, less 0.1% of asset management fee, resulting in 0.65% prior to July 1, 2020, and a guaranteed rate of return of 0.5%, less 0.1% of asset management fee, resulting in 0.4% for all accruals after July 1, 2020.</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155" w:name="page156"/>
    <w:bookmarkEnd w:id="155"/>
    <w:p>
      <w:pPr>
        <w:ind w:left="600"/>
        <w:spacing w:after="0"/>
        <w:rPr>
          <w:sz w:val="20"/>
          <w:szCs w:val="20"/>
          <w:color w:val="auto"/>
        </w:rPr>
      </w:pPr>
      <w:r>
        <w:rPr>
          <w:rFonts w:ascii="Arial" w:cs="Arial" w:eastAsia="Arial" w:hAnsi="Arial"/>
          <w:sz w:val="18"/>
          <w:szCs w:val="18"/>
          <w:color w:val="auto"/>
        </w:rPr>
        <w:t>The fair values of the Regular Pension Plan assets as of December 31, 2020 and 2019 are as follows:</w:t>
      </w:r>
    </w:p>
    <w:p>
      <w:pPr>
        <w:spacing w:after="0" w:line="298"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229"/>
        </w:trPr>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Unobservable</w:t>
            </w:r>
          </w:p>
        </w:tc>
      </w:tr>
      <w:tr>
        <w:trPr>
          <w:trHeight w:val="229"/>
        </w:trPr>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r>
      <w:tr>
        <w:trPr>
          <w:trHeight w:val="215"/>
        </w:trPr>
        <w:tc>
          <w:tcPr>
            <w:tcW w:w="5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Sundry liabilities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Insurance policies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FF0FC"/>
          </w:tcPr>
          <w:p>
            <w:pPr>
              <w:spacing w:after="0"/>
              <w:rPr>
                <w:sz w:val="19"/>
                <w:szCs w:val="19"/>
                <w:color w:val="auto"/>
              </w:rPr>
            </w:pPr>
          </w:p>
        </w:tc>
      </w:tr>
      <w:tr>
        <w:trPr>
          <w:trHeight w:val="229"/>
        </w:trPr>
        <w:tc>
          <w:tcPr>
            <w:tcW w:w="5500" w:type="dxa"/>
            <w:vAlign w:val="bottom"/>
          </w:tcPr>
          <w:p>
            <w:pPr>
              <w:ind w:left="120"/>
              <w:spacing w:after="0"/>
              <w:rPr>
                <w:sz w:val="20"/>
                <w:szCs w:val="20"/>
                <w:color w:val="auto"/>
              </w:rPr>
            </w:pPr>
            <w:r>
              <w:rPr>
                <w:rFonts w:ascii="Arial" w:cs="Arial" w:eastAsia="Arial" w:hAnsi="Arial"/>
                <w:sz w:val="18"/>
                <w:szCs w:val="18"/>
                <w:color w:val="auto"/>
              </w:rPr>
              <w:t>Current account with insurer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23"/>
        </w:trPr>
        <w:tc>
          <w:tcPr>
            <w:tcW w:w="55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account with insurer</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Insurance policies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9"/>
                <w:szCs w:val="19"/>
                <w:color w:val="auto"/>
              </w:rPr>
            </w:pPr>
          </w:p>
        </w:tc>
      </w:tr>
      <w:tr>
        <w:trPr>
          <w:trHeight w:val="223"/>
        </w:trPr>
        <w:tc>
          <w:tcPr>
            <w:tcW w:w="5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a summary of changes in fair value of the Regular Pension Plan assets for which fair value was determined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Level 3 inputs:</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Unobservable inputs - beginning</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purchases, sales and settlements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Transfers out of Level 3 assets</w:t>
            </w: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Unobservable inputs - ending</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anticipates making $297,000 funding contributions to the Regular Pension Plan in 2021.</w:t>
      </w: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160" w:type="dxa"/>
            <w:vAlign w:val="bottom"/>
            <w:gridSpan w:val="2"/>
          </w:tcPr>
          <w:p>
            <w:pPr>
              <w:jc w:val="right"/>
              <w:ind w:right="3510"/>
              <w:spacing w:after="0"/>
              <w:rPr>
                <w:sz w:val="20"/>
                <w:szCs w:val="20"/>
                <w:color w:val="auto"/>
              </w:rPr>
            </w:pPr>
            <w:r>
              <w:rPr>
                <w:rFonts w:ascii="Arial" w:cs="Arial" w:eastAsia="Arial" w:hAnsi="Arial"/>
                <w:sz w:val="18"/>
                <w:szCs w:val="18"/>
                <w:color w:val="auto"/>
                <w:w w:val="90"/>
              </w:rPr>
              <w:t>Estimated future benefit payments are as follows:</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vMerge w:val="continue"/>
          </w:tcPr>
          <w:p>
            <w:pPr>
              <w:spacing w:after="0"/>
              <w:rPr>
                <w:sz w:val="19"/>
                <w:szCs w:val="19"/>
                <w:color w:val="auto"/>
              </w:rPr>
            </w:pPr>
          </w:p>
        </w:tc>
        <w:tc>
          <w:tcPr>
            <w:tcW w:w="5500" w:type="dxa"/>
            <w:vAlign w:val="bottom"/>
            <w:shd w:val="clear" w:color="auto" w:fill="CFF0FC"/>
          </w:tcPr>
          <w:p>
            <w:pPr>
              <w:jc w:val="right"/>
              <w:ind w:right="3510"/>
              <w:spacing w:after="0"/>
              <w:rPr>
                <w:sz w:val="20"/>
                <w:szCs w:val="20"/>
                <w:color w:val="auto"/>
              </w:rPr>
            </w:pPr>
            <w:r>
              <w:rPr>
                <w:rFonts w:ascii="Arial" w:cs="Arial" w:eastAsia="Arial" w:hAnsi="Arial"/>
                <w:sz w:val="18"/>
                <w:szCs w:val="18"/>
                <w:color w:val="auto"/>
                <w:w w:val="89"/>
              </w:rPr>
              <w:t>Fiscal year (in thousands):</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2021</w:t>
            </w:r>
          </w:p>
        </w:tc>
        <w:tc>
          <w:tcPr>
            <w:tcW w:w="540" w:type="dxa"/>
            <w:vAlign w:val="bottom"/>
            <w:gridSpan w:val="2"/>
          </w:tcPr>
          <w:p>
            <w:pPr>
              <w:jc w:val="right"/>
              <w:ind w:right="36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2026−2030</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plans—Top Hat Plan</w:t>
      </w:r>
    </w:p>
    <w:p>
      <w:pPr>
        <w:spacing w:after="0" w:line="117" w:lineRule="exact"/>
        <w:rPr>
          <w:sz w:val="20"/>
          <w:szCs w:val="20"/>
          <w:color w:val="auto"/>
        </w:rPr>
      </w:pPr>
    </w:p>
    <w:p>
      <w:pPr>
        <w:ind w:firstLine="589"/>
        <w:spacing w:after="0" w:line="303" w:lineRule="auto"/>
        <w:rPr>
          <w:sz w:val="20"/>
          <w:szCs w:val="20"/>
          <w:color w:val="auto"/>
        </w:rPr>
      </w:pPr>
      <w:r>
        <w:rPr>
          <w:rFonts w:ascii="Arial" w:cs="Arial" w:eastAsia="Arial" w:hAnsi="Arial"/>
          <w:sz w:val="17"/>
          <w:szCs w:val="17"/>
          <w:color w:val="auto"/>
        </w:rPr>
        <w:t>In Aligos-Belgium, the Company established a pension bonus complementary plan (the Top Hat Plan), where the bonus payments to each participant are added to the Top Hat Plan. The annual contributions to this plan are based on performance and determined on a discretionary basis by the Company. The Top Hat Plan contains a legal yield guarantee of 1.75%. The Top Hat Plan became effective as of January 1, 2019.</w:t>
      </w:r>
    </w:p>
    <w:p>
      <w:pPr>
        <w:spacing w:after="0" w:line="151"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In 2019, the Company accounted for the Top Hat Plan in accordance with ASC 715—</w:t>
      </w:r>
      <w:r>
        <w:rPr>
          <w:rFonts w:ascii="Arial" w:cs="Arial" w:eastAsia="Arial" w:hAnsi="Arial"/>
          <w:sz w:val="18"/>
          <w:szCs w:val="18"/>
          <w:i w:val="1"/>
          <w:iCs w:val="1"/>
          <w:color w:val="auto"/>
        </w:rPr>
        <w:t>Compensation—Retirement Benefits</w:t>
      </w:r>
      <w:r>
        <w:rPr>
          <w:rFonts w:ascii="Arial" w:cs="Arial" w:eastAsia="Arial" w:hAnsi="Arial"/>
          <w:sz w:val="18"/>
          <w:szCs w:val="18"/>
          <w:color w:val="auto"/>
        </w:rPr>
        <w:t>, once it became effective. The Top Hat Plan does not meet all the requirements that are needed for recognition as a defined contribution plan. The Company therefore recognizes the Top Hat Plan as a defined benefit plan.</w:t>
      </w: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557" w:right="599" w:bottom="1440" w:gutter="0" w:footer="0" w:header="0"/>
        </w:sectPr>
      </w:pPr>
    </w:p>
    <w:bookmarkStart w:id="156" w:name="page157"/>
    <w:bookmarkEnd w:id="156"/>
    <w:p>
      <w:pPr>
        <w:ind w:right="200" w:firstLine="589"/>
        <w:spacing w:after="0" w:line="277" w:lineRule="auto"/>
        <w:rPr>
          <w:sz w:val="20"/>
          <w:szCs w:val="20"/>
          <w:color w:val="auto"/>
        </w:rPr>
      </w:pPr>
      <w:r>
        <w:rPr>
          <w:rFonts w:ascii="Arial" w:cs="Arial" w:eastAsia="Arial" w:hAnsi="Arial"/>
          <w:sz w:val="18"/>
          <w:szCs w:val="18"/>
          <w:color w:val="auto"/>
        </w:rPr>
        <w:t>Net periodic benefit costs and other amounts recognized in other comprehensive loss for the Top Hat Plan included the following components for the years ended December 31, 2020 and December 31, 2019, respectively:</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40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4"/>
                <w:szCs w:val="14"/>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costs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Interest costs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 costs</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r>
      <w:tr>
        <w:trPr>
          <w:trHeight w:val="223"/>
        </w:trPr>
        <w:tc>
          <w:tcPr>
            <w:tcW w:w="4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9"/>
                <w:szCs w:val="19"/>
                <w:color w:val="auto"/>
              </w:rPr>
            </w:pPr>
          </w:p>
        </w:tc>
      </w:tr>
      <w:tr>
        <w:trPr>
          <w:trHeight w:val="215"/>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7"/>
              </w:rPr>
              <w:t>Net actuarial loss in plan asset and projected benefit</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obligation recognized in other comprehensive loss</w:t>
            </w:r>
          </w:p>
        </w:tc>
        <w:tc>
          <w:tcPr>
            <w:tcW w:w="3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20"/>
                <w:szCs w:val="20"/>
                <w:color w:val="auto"/>
              </w:rPr>
            </w:pPr>
          </w:p>
        </w:tc>
      </w:tr>
      <w:tr>
        <w:trPr>
          <w:trHeight w:val="223"/>
        </w:trPr>
        <w:tc>
          <w:tcPr>
            <w:tcW w:w="4080" w:type="dxa"/>
            <w:vAlign w:val="bottom"/>
          </w:tcPr>
          <w:p>
            <w:pPr>
              <w:ind w:left="240"/>
              <w:spacing w:after="0"/>
              <w:rPr>
                <w:sz w:val="20"/>
                <w:szCs w:val="20"/>
                <w:color w:val="auto"/>
              </w:rPr>
            </w:pPr>
            <w:r>
              <w:rPr>
                <w:rFonts w:ascii="Arial" w:cs="Arial" w:eastAsia="Arial" w:hAnsi="Arial"/>
                <w:sz w:val="18"/>
                <w:szCs w:val="18"/>
                <w:color w:val="auto"/>
              </w:rPr>
              <w:t>Total recognized</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9"/>
                <w:szCs w:val="19"/>
                <w:color w:val="auto"/>
              </w:rPr>
            </w:pPr>
          </w:p>
        </w:tc>
      </w:tr>
    </w:tbl>
    <w:p>
      <w:pPr>
        <w:spacing w:after="0" w:line="242" w:lineRule="exact"/>
        <w:rPr>
          <w:sz w:val="20"/>
          <w:szCs w:val="20"/>
          <w:color w:val="auto"/>
        </w:rPr>
      </w:pPr>
    </w:p>
    <w:p>
      <w:pPr>
        <w:ind w:right="800" w:firstLine="589"/>
        <w:spacing w:after="0" w:line="277" w:lineRule="auto"/>
        <w:rPr>
          <w:sz w:val="20"/>
          <w:szCs w:val="20"/>
          <w:color w:val="auto"/>
        </w:rPr>
      </w:pPr>
      <w:r>
        <w:rPr>
          <w:rFonts w:ascii="Arial" w:cs="Arial" w:eastAsia="Arial" w:hAnsi="Arial"/>
          <w:sz w:val="18"/>
          <w:szCs w:val="18"/>
          <w:color w:val="auto"/>
        </w:rPr>
        <w:t>The net periodic benefit costs, excluding prior service costs, are included in other expenses on the Company’s consolidated statements of operations and comprehensive loss.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activities under the Top Hat Plan were as follow for the years ended December 31, 2020 and December 31, 2019, respectively:</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Change in benefit obligation:</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Benefit obligation, beginning of year</w:t>
            </w:r>
          </w:p>
        </w:tc>
        <w:tc>
          <w:tcPr>
            <w:tcW w:w="7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r>
      <w:tr>
        <w:trPr>
          <w:trHeight w:val="229"/>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service cost</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FF0FC"/>
          </w:tcPr>
          <w:p>
            <w:pPr>
              <w:spacing w:after="0"/>
              <w:rPr>
                <w:sz w:val="19"/>
                <w:szCs w:val="19"/>
                <w:color w:val="auto"/>
              </w:rPr>
            </w:pPr>
          </w:p>
        </w:tc>
      </w:tr>
      <w:tr>
        <w:trPr>
          <w:trHeight w:val="229"/>
        </w:trPr>
        <w:tc>
          <w:tcPr>
            <w:tcW w:w="3860" w:type="dxa"/>
            <w:vAlign w:val="bottom"/>
          </w:tcPr>
          <w:p>
            <w:pPr>
              <w:ind w:left="240"/>
              <w:spacing w:after="0"/>
              <w:rPr>
                <w:sz w:val="20"/>
                <w:szCs w:val="20"/>
                <w:color w:val="auto"/>
              </w:rPr>
            </w:pPr>
            <w:r>
              <w:rPr>
                <w:rFonts w:ascii="Arial" w:cs="Arial" w:eastAsia="Arial" w:hAnsi="Arial"/>
                <w:sz w:val="18"/>
                <w:szCs w:val="18"/>
                <w:color w:val="auto"/>
              </w:rPr>
              <w:t>Internal transfer</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29"/>
        </w:trPr>
        <w:tc>
          <w:tcPr>
            <w:tcW w:w="3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Actuarial loss</w:t>
            </w:r>
          </w:p>
        </w:tc>
        <w:tc>
          <w:tcPr>
            <w:tcW w:w="5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Benefit obligation, end of year</w:t>
            </w:r>
          </w:p>
        </w:tc>
        <w:tc>
          <w:tcPr>
            <w:tcW w:w="5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80" w:type="dxa"/>
            <w:vAlign w:val="bottom"/>
            <w:shd w:val="clear" w:color="auto" w:fill="CFF0FC"/>
          </w:tcPr>
          <w:p>
            <w:pPr>
              <w:spacing w:after="0"/>
              <w:rPr>
                <w:sz w:val="19"/>
                <w:szCs w:val="19"/>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Change in plan assets: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of plan assets, beginning of year</w:t>
            </w:r>
          </w:p>
        </w:tc>
        <w:tc>
          <w:tcPr>
            <w:tcW w:w="7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Company contributions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costs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Internal transfer</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Actuarial gain</w:t>
            </w:r>
          </w:p>
        </w:tc>
        <w:tc>
          <w:tcPr>
            <w:tcW w:w="5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23"/>
        </w:trPr>
        <w:tc>
          <w:tcPr>
            <w:tcW w:w="3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Fair value of plan assets, end of year</w:t>
            </w:r>
          </w:p>
        </w:tc>
        <w:tc>
          <w:tcPr>
            <w:tcW w:w="5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bottom w:val="single" w:sz="8" w:color="CFF0FC"/>
            </w:tcBorders>
          </w:tcPr>
          <w:p>
            <w:pPr>
              <w:spacing w:after="0"/>
              <w:rPr>
                <w:sz w:val="19"/>
                <w:szCs w:val="19"/>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Funded status</w:t>
            </w:r>
          </w:p>
        </w:tc>
        <w:tc>
          <w:tcPr>
            <w:tcW w:w="5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The underfunded amounts of $1.1 million and $412,000 is recognized in accrued liabilities on the consolidated balance sheet as of December 31, 2020 and December 31, 2019, respectively. In addition, $52,000 and $32,000 of actuarial loss is recognized in accumulated other comprehensive (loss) income for the years ended December 31, 2020 and December 31, 2019, respectively.</w:t>
      </w:r>
    </w:p>
    <w:p>
      <w:pPr>
        <w:spacing w:after="0" w:line="184"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The accumulated benefit obligation for the Top Hat Plan was $1.7 million and $0.6 million as of December 31, 2020 and December 31, 2019, respectively.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weighted-average rates used to determine the net periodic benefit costs and projected benefit obligations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43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60" w:type="dxa"/>
            <w:vAlign w:val="bottom"/>
          </w:tcPr>
          <w:p>
            <w:pPr>
              <w:spacing w:after="0"/>
              <w:rPr>
                <w:sz w:val="14"/>
                <w:szCs w:val="14"/>
                <w:color w:val="auto"/>
              </w:rPr>
            </w:pPr>
          </w:p>
        </w:tc>
      </w:tr>
      <w:tr>
        <w:trPr>
          <w:trHeight w:val="223"/>
        </w:trPr>
        <w:tc>
          <w:tcPr>
            <w:tcW w:w="22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0.40</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Rate of increased salary levels</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1.80%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long-term rate of return on assets</w:t>
            </w:r>
          </w:p>
        </w:tc>
        <w:tc>
          <w:tcPr>
            <w:tcW w:w="6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7"/>
              </w:rPr>
              <w:t>0.00%</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c>
          <w:tcPr>
            <w:tcW w:w="2260" w:type="dxa"/>
            <w:vAlign w:val="bottom"/>
          </w:tcPr>
          <w:p>
            <w:pPr>
              <w:spacing w:after="0"/>
              <w:rPr>
                <w:sz w:val="19"/>
                <w:szCs w:val="19"/>
                <w:color w:val="auto"/>
              </w:rPr>
            </w:pPr>
          </w:p>
        </w:tc>
      </w:tr>
      <w:tr>
        <w:trPr>
          <w:trHeight w:val="648"/>
        </w:trPr>
        <w:tc>
          <w:tcPr>
            <w:tcW w:w="6560" w:type="dxa"/>
            <w:vAlign w:val="bottom"/>
            <w:gridSpan w:val="2"/>
          </w:tcPr>
          <w:p>
            <w:pPr>
              <w:jc w:val="right"/>
              <w:ind w:right="710"/>
              <w:spacing w:after="0"/>
              <w:rPr>
                <w:sz w:val="20"/>
                <w:szCs w:val="20"/>
                <w:color w:val="auto"/>
              </w:rPr>
            </w:pPr>
            <w:r>
              <w:rPr>
                <w:rFonts w:ascii="Arial" w:cs="Arial" w:eastAsia="Arial" w:hAnsi="Arial"/>
                <w:sz w:val="18"/>
                <w:szCs w:val="18"/>
                <w:color w:val="auto"/>
              </w:rPr>
              <w:t>152</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57" w:name="page158"/>
    <w:bookmarkEnd w:id="157"/>
    <w:p>
      <w:pPr>
        <w:jc w:val="both"/>
        <w:ind w:right="300" w:firstLine="589"/>
        <w:spacing w:after="0" w:line="263" w:lineRule="auto"/>
        <w:rPr>
          <w:sz w:val="20"/>
          <w:szCs w:val="20"/>
          <w:color w:val="auto"/>
        </w:rPr>
      </w:pPr>
      <w:r>
        <w:rPr>
          <w:rFonts w:ascii="Arial" w:cs="Arial" w:eastAsia="Arial" w:hAnsi="Arial"/>
          <w:sz w:val="18"/>
          <w:szCs w:val="18"/>
          <w:color w:val="auto"/>
        </w:rPr>
        <w:t>The discount rate used in 2020 and 2019 is based on a yield curve constructed from a portfolio of high-quality, Euro-denominated fixed income investments with various maturities up to 12 years. Each year’s expected future benefit payments are discounted to their present value at the appropriate yield curve rate, thereby generating the overall discount rate for the projected benefit obligation.</w:t>
      </w:r>
    </w:p>
    <w:p>
      <w:pPr>
        <w:spacing w:after="0" w:line="184" w:lineRule="exact"/>
        <w:rPr>
          <w:sz w:val="20"/>
          <w:szCs w:val="20"/>
          <w:color w:val="auto"/>
        </w:rPr>
      </w:pPr>
    </w:p>
    <w:p>
      <w:pPr>
        <w:ind w:right="480" w:firstLine="589"/>
        <w:spacing w:after="0" w:line="277" w:lineRule="auto"/>
        <w:rPr>
          <w:sz w:val="20"/>
          <w:szCs w:val="20"/>
          <w:color w:val="auto"/>
        </w:rPr>
      </w:pPr>
      <w:r>
        <w:rPr>
          <w:rFonts w:ascii="Arial" w:cs="Arial" w:eastAsia="Arial" w:hAnsi="Arial"/>
          <w:sz w:val="18"/>
          <w:szCs w:val="18"/>
          <w:color w:val="auto"/>
        </w:rPr>
        <w:t>The expected long-term rate of return on plan assets is deemed to equal 0.00%, as there is no guarantee of return from the insurance company holding the investments.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fair values of the Top Hat Plan assets as of December 31, 2020 and December 31, 2019 were as follows:</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4"/>
          </w:tcPr>
          <w:p>
            <w:pPr>
              <w:jc w:val="center"/>
              <w:ind w:left="341"/>
              <w:spacing w:after="0"/>
              <w:rPr>
                <w:sz w:val="20"/>
                <w:szCs w:val="20"/>
                <w:color w:val="auto"/>
              </w:rPr>
            </w:pPr>
            <w:r>
              <w:rPr>
                <w:rFonts w:ascii="Arial" w:cs="Arial" w:eastAsia="Arial" w:hAnsi="Arial"/>
                <w:sz w:val="14"/>
                <w:szCs w:val="14"/>
                <w:b w:val="1"/>
                <w:bCs w:val="1"/>
                <w:color w:val="auto"/>
                <w:w w:val="92"/>
              </w:rPr>
              <w:t>Significant</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4"/>
          </w:tcPr>
          <w:p>
            <w:pPr>
              <w:jc w:val="center"/>
              <w:ind w:left="321"/>
              <w:spacing w:after="0"/>
              <w:rPr>
                <w:sz w:val="20"/>
                <w:szCs w:val="20"/>
                <w:color w:val="auto"/>
              </w:rPr>
            </w:pPr>
            <w:r>
              <w:rPr>
                <w:rFonts w:ascii="Arial" w:cs="Arial" w:eastAsia="Arial" w:hAnsi="Arial"/>
                <w:sz w:val="14"/>
                <w:szCs w:val="14"/>
                <w:b w:val="1"/>
                <w:bCs w:val="1"/>
                <w:color w:val="auto"/>
                <w:w w:val="90"/>
              </w:rPr>
              <w:t>Unobservable</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4"/>
          </w:tcPr>
          <w:p>
            <w:pPr>
              <w:jc w:val="center"/>
              <w:ind w:left="321"/>
              <w:spacing w:after="0"/>
              <w:rPr>
                <w:sz w:val="20"/>
                <w:szCs w:val="20"/>
                <w:color w:val="auto"/>
              </w:rPr>
            </w:pPr>
            <w:r>
              <w:rPr>
                <w:rFonts w:ascii="Arial" w:cs="Arial" w:eastAsia="Arial" w:hAnsi="Arial"/>
                <w:sz w:val="14"/>
                <w:szCs w:val="14"/>
                <w:b w:val="1"/>
                <w:bCs w:val="1"/>
                <w:color w:val="auto"/>
                <w:w w:val="95"/>
              </w:rPr>
              <w:t>Inputs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4"/>
          </w:tcPr>
          <w:p>
            <w:pPr>
              <w:jc w:val="center"/>
              <w:ind w:left="341"/>
              <w:spacing w:after="0"/>
              <w:rPr>
                <w:sz w:val="20"/>
                <w:szCs w:val="20"/>
                <w:color w:val="auto"/>
              </w:rPr>
            </w:pPr>
            <w:r>
              <w:rPr>
                <w:rFonts w:ascii="Arial" w:cs="Arial" w:eastAsia="Arial" w:hAnsi="Arial"/>
                <w:sz w:val="14"/>
                <w:szCs w:val="14"/>
                <w:b w:val="1"/>
                <w:bCs w:val="1"/>
                <w:color w:val="auto"/>
                <w:w w:val="94"/>
              </w:rPr>
              <w:t>(Level 3)</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8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Sundry liabilities</w:t>
            </w:r>
          </w:p>
        </w:tc>
        <w:tc>
          <w:tcPr>
            <w:tcW w:w="17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(797)</w:t>
            </w:r>
          </w:p>
        </w:tc>
        <w:tc>
          <w:tcPr>
            <w:tcW w:w="3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Insurance policies</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The following table sets forth a summary of changes in fair value of the Top Hat Plan assets in 2020 and 2019 for which fair value was determined by Level 3 inputs:</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43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Unobservable inputs - beginning</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purchases, sales and settlements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Transfers out of Level 3 assets</w:t>
            </w: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Unobservable inputs - ending</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anticipates making $0.6 million in funding contributions to the Top Hat Plan in 2021.</w:t>
      </w:r>
    </w:p>
    <w:p>
      <w:pPr>
        <w:spacing w:after="0" w:line="225"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4820" w:type="dxa"/>
            <w:vAlign w:val="bottom"/>
            <w:gridSpan w:val="2"/>
          </w:tcPr>
          <w:p>
            <w:pPr>
              <w:jc w:val="right"/>
              <w:ind w:right="1170"/>
              <w:spacing w:after="0"/>
              <w:rPr>
                <w:sz w:val="20"/>
                <w:szCs w:val="20"/>
                <w:color w:val="auto"/>
              </w:rPr>
            </w:pPr>
            <w:r>
              <w:rPr>
                <w:rFonts w:ascii="Arial" w:cs="Arial" w:eastAsia="Arial" w:hAnsi="Arial"/>
                <w:sz w:val="18"/>
                <w:szCs w:val="18"/>
                <w:color w:val="auto"/>
                <w:w w:val="90"/>
              </w:rPr>
              <w:t>Estimated future benefit payments are as follows: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vMerge w:val="continue"/>
          </w:tcPr>
          <w:p>
            <w:pPr>
              <w:spacing w:after="0"/>
              <w:rPr>
                <w:sz w:val="19"/>
                <w:szCs w:val="19"/>
                <w:color w:val="auto"/>
              </w:rPr>
            </w:pPr>
          </w:p>
        </w:tc>
        <w:tc>
          <w:tcPr>
            <w:tcW w:w="3160" w:type="dxa"/>
            <w:vAlign w:val="bottom"/>
            <w:shd w:val="clear" w:color="auto" w:fill="CFF0FC"/>
          </w:tcPr>
          <w:p>
            <w:pPr>
              <w:jc w:val="right"/>
              <w:ind w:right="1170"/>
              <w:spacing w:after="0"/>
              <w:rPr>
                <w:sz w:val="20"/>
                <w:szCs w:val="20"/>
                <w:color w:val="auto"/>
              </w:rPr>
            </w:pPr>
            <w:r>
              <w:rPr>
                <w:rFonts w:ascii="Arial" w:cs="Arial" w:eastAsia="Arial" w:hAnsi="Arial"/>
                <w:sz w:val="18"/>
                <w:szCs w:val="18"/>
                <w:color w:val="auto"/>
                <w:w w:val="89"/>
              </w:rPr>
              <w:t>Fiscal year (in thousands):</w:t>
            </w:r>
          </w:p>
        </w:tc>
        <w:tc>
          <w:tcPr>
            <w:tcW w:w="1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1900"/>
              <w:spacing w:after="0"/>
              <w:rPr>
                <w:sz w:val="20"/>
                <w:szCs w:val="20"/>
                <w:color w:val="auto"/>
              </w:rPr>
            </w:pPr>
            <w:r>
              <w:rPr>
                <w:rFonts w:ascii="Arial" w:cs="Arial" w:eastAsia="Arial" w:hAnsi="Arial"/>
                <w:sz w:val="18"/>
                <w:szCs w:val="18"/>
                <w:color w:val="auto"/>
              </w:rPr>
              <w:t>2021</w:t>
            </w:r>
          </w:p>
        </w:tc>
        <w:tc>
          <w:tcPr>
            <w:tcW w:w="1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2023</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2025</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2026 - 2030</w:t>
            </w:r>
          </w:p>
        </w:tc>
        <w:tc>
          <w:tcPr>
            <w:tcW w:w="1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computation of basic and diluted net loss per share of the Company: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170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76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(108,543)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(52,264)</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89"/>
              </w:rPr>
              <w:t>Weighted average common stock outstanding, basic</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7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diluted</w:t>
            </w:r>
          </w:p>
        </w:tc>
        <w:tc>
          <w:tcPr>
            <w:tcW w:w="15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9,988,191</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2,007,173</w:t>
            </w:r>
          </w:p>
        </w:tc>
        <w:tc>
          <w:tcPr>
            <w:tcW w:w="80" w:type="dxa"/>
            <w:vAlign w:val="bottom"/>
            <w:tcBorders>
              <w:bottom w:val="single" w:sz="8" w:color="CFF0FC"/>
            </w:tcBorders>
          </w:tcPr>
          <w:p>
            <w:pPr>
              <w:spacing w:after="0"/>
              <w:rPr>
                <w:sz w:val="20"/>
                <w:szCs w:val="20"/>
                <w:color w:val="auto"/>
              </w:rPr>
            </w:pPr>
          </w:p>
        </w:tc>
        <w:tc>
          <w:tcPr>
            <w:tcW w:w="170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5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425"/>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00" w:type="dxa"/>
            <w:vAlign w:val="bottom"/>
          </w:tcPr>
          <w:p>
            <w:pPr>
              <w:jc w:val="right"/>
              <w:ind w:right="1110"/>
              <w:spacing w:after="0"/>
              <w:rPr>
                <w:sz w:val="20"/>
                <w:szCs w:val="20"/>
                <w:color w:val="auto"/>
              </w:rPr>
            </w:pPr>
            <w:r>
              <w:rPr>
                <w:rFonts w:ascii="Arial" w:cs="Arial" w:eastAsia="Arial" w:hAnsi="Arial"/>
                <w:sz w:val="18"/>
                <w:szCs w:val="18"/>
                <w:color w:val="auto"/>
                <w:w w:val="93"/>
              </w:rPr>
              <w:t>153</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158" w:name="page159"/>
    <w:bookmarkEnd w:id="158"/>
    <w:p>
      <w:pPr>
        <w:ind w:firstLine="589"/>
        <w:spacing w:after="0" w:line="296" w:lineRule="auto"/>
        <w:rPr>
          <w:sz w:val="20"/>
          <w:szCs w:val="20"/>
          <w:color w:val="auto"/>
        </w:rPr>
      </w:pPr>
      <w:r>
        <w:rPr>
          <w:rFonts w:ascii="Arial" w:cs="Arial" w:eastAsia="Arial" w:hAnsi="Arial"/>
          <w:sz w:val="16"/>
          <w:szCs w:val="16"/>
          <w:color w:val="auto"/>
        </w:rPr>
        <w:t>The Company’s potentially dilutive securities, which include redeemable convertible preferred stock, forward contracts to issue Preferred Stock,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540" w:type="dxa"/>
            <w:vAlign w:val="bottom"/>
            <w:gridSpan w:val="4"/>
          </w:tcPr>
          <w:p>
            <w:pPr>
              <w:ind w:left="480"/>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5320" w:type="dxa"/>
            <w:vAlign w:val="bottom"/>
            <w:tcBorders>
              <w:bottom w:val="single" w:sz="8" w:color="CFF0FC"/>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19,163,877</w:t>
            </w:r>
          </w:p>
        </w:tc>
        <w:tc>
          <w:tcPr>
            <w:tcW w:w="80" w:type="dxa"/>
            <w:vAlign w:val="bottom"/>
            <w:shd w:val="clear" w:color="auto" w:fill="CFF0FC"/>
          </w:tcPr>
          <w:p>
            <w:pPr>
              <w:spacing w:after="0"/>
              <w:rPr>
                <w:sz w:val="19"/>
                <w:szCs w:val="19"/>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Forward contract to issue convertible preferred</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stock</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3,569,630</w:t>
            </w:r>
          </w:p>
        </w:tc>
        <w:tc>
          <w:tcPr>
            <w:tcW w:w="80" w:type="dxa"/>
            <w:vAlign w:val="bottom"/>
          </w:tcPr>
          <w:p>
            <w:pPr>
              <w:spacing w:after="0"/>
              <w:rPr>
                <w:sz w:val="20"/>
                <w:szCs w:val="20"/>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3,344,765</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884,623</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200" w:type="dxa"/>
            <w:vAlign w:val="bottom"/>
          </w:tcPr>
          <w:p>
            <w:pPr>
              <w:jc w:val="right"/>
              <w:spacing w:after="0"/>
              <w:rPr>
                <w:sz w:val="20"/>
                <w:szCs w:val="20"/>
                <w:color w:val="auto"/>
              </w:rPr>
            </w:pPr>
            <w:r>
              <w:rPr>
                <w:rFonts w:ascii="Arial" w:cs="Arial" w:eastAsia="Arial" w:hAnsi="Arial"/>
                <w:sz w:val="18"/>
                <w:szCs w:val="18"/>
                <w:color w:val="auto"/>
              </w:rPr>
              <w:t>408,396</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827,187</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preferred stock</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120,701</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3,753,161</w:t>
            </w: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24,566,018</w:t>
            </w:r>
          </w:p>
        </w:tc>
        <w:tc>
          <w:tcPr>
            <w:tcW w:w="80" w:type="dxa"/>
            <w:vAlign w:val="bottom"/>
          </w:tcPr>
          <w:p>
            <w:pPr>
              <w:spacing w:after="0"/>
              <w:rPr>
                <w:sz w:val="19"/>
                <w:szCs w:val="19"/>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The Company has evaluated all events occurring past the balance sheet date, during which time, nothing has occurred outside the normal course of business operations that would require disclosure.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14" w:right="3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220" w:firstLine="589"/>
        <w:spacing w:after="0" w:line="291" w:lineRule="auto"/>
        <w:rPr>
          <w:sz w:val="20"/>
          <w:szCs w:val="20"/>
          <w:color w:val="auto"/>
        </w:rPr>
      </w:pPr>
      <w:r>
        <w:rPr>
          <w:rFonts w:ascii="Arial" w:cs="Arial" w:eastAsia="Arial" w:hAnsi="Arial"/>
          <w:sz w:val="16"/>
          <w:szCs w:val="16"/>
          <w:color w:val="auto"/>
        </w:rPr>
        <w:t>Our management has evaluated, with the participation of our Chief Executive Officer and Chief Financial Officer, our principal executive officer and principal financial officer, respectively, the effectiveness of our disclosure controls and procedures (as defined in Rules 13a-15(e) and 15d-</w:t>
      </w:r>
    </w:p>
    <w:p>
      <w:pPr>
        <w:ind w:right="220"/>
        <w:spacing w:after="0" w:line="216" w:lineRule="exact"/>
        <w:rPr>
          <w:sz w:val="20"/>
          <w:szCs w:val="20"/>
          <w:color w:val="auto"/>
        </w:rPr>
      </w:pPr>
      <w:r>
        <w:rPr>
          <w:rFonts w:ascii="Arial" w:cs="Arial" w:eastAsia="Arial" w:hAnsi="Arial"/>
          <w:sz w:val="16"/>
          <w:szCs w:val="16"/>
          <w:color w:val="auto"/>
        </w:rPr>
        <w:t>15(e) under the Securities Exchange Act of 1934, as amended) as of the end of the period covered by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2020, our disclosure controls and procedures were effective.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1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quarter ended December 31, 2020 that has materially affected, or is reasonably likely to materially affect, our internal control over financial reporting.</w:t>
      </w:r>
    </w:p>
    <w:p>
      <w:pPr>
        <w:spacing w:after="0" w:line="184"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As a result of the COVID-19 pandemic, in March 2020, substantially all of our employees began working remotely.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over financial reporting</w:t>
      </w:r>
    </w:p>
    <w:p>
      <w:pPr>
        <w:spacing w:after="0" w:line="225" w:lineRule="exact"/>
        <w:rPr>
          <w:sz w:val="20"/>
          <w:szCs w:val="20"/>
          <w:color w:val="auto"/>
        </w:rPr>
      </w:pPr>
    </w:p>
    <w:p>
      <w:pPr>
        <w:ind w:right="60" w:firstLine="589"/>
        <w:spacing w:after="0" w:line="274"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w:t>
      </w:r>
    </w:p>
    <w:p>
      <w:pPr>
        <w:ind w:right="60"/>
        <w:spacing w:after="0" w:line="253" w:lineRule="auto"/>
        <w:rPr>
          <w:sz w:val="20"/>
          <w:szCs w:val="20"/>
          <w:color w:val="auto"/>
        </w:rPr>
      </w:pPr>
      <w:r>
        <w:rPr>
          <w:rFonts w:ascii="Arial" w:cs="Arial" w:eastAsia="Arial" w:hAnsi="Arial"/>
          <w:sz w:val="18"/>
          <w:szCs w:val="18"/>
          <w:color w:val="auto"/>
        </w:rPr>
        <w:t>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0" w:name="page161"/>
    <w:bookmarkEnd w:id="160"/>
    <w:p>
      <w:pPr>
        <w:ind w:left="55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0" w:firstLine="589"/>
        <w:spacing w:after="0" w:line="296" w:lineRule="auto"/>
        <w:rPr>
          <w:sz w:val="20"/>
          <w:szCs w:val="20"/>
          <w:color w:val="auto"/>
        </w:rPr>
      </w:pPr>
      <w:r>
        <w:rPr>
          <w:rFonts w:ascii="Arial" w:cs="Arial" w:eastAsia="Arial" w:hAnsi="Arial"/>
          <w:sz w:val="16"/>
          <w:szCs w:val="16"/>
          <w:color w:val="auto"/>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investor.aligos.com under the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aligos.com or in a Current Report on Form 8-K filed with the SEC.</w:t>
      </w:r>
    </w:p>
    <w:p>
      <w:pPr>
        <w:spacing w:after="0" w:line="16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 remaining information required by this item, including information about our Directors, Executive Officers and Audit Committee, is incorporated by reference to the definitive Proxy Statement for our 2021 Annual Meeting of Stockholders, which will be filed with the SEC no later than 120 days after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 in our Proxy Statement and is incorporated in this Annual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“Security Ownership of Certain Beneficial Owners and Management” in our Proxy Statement and is incorporated in this Annual Report by reference.</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Information regarding our equity compensation plans will be set forth in the section headed “Executive Compensation” in our Proxy Statement and is incorporated in this Annual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“Transactions with Related Persons” in our Proxy Statement and is incorporated in this Annual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“—Ratification of Selection of Independent Registered Public Accounting Firm” in our Proxy Statement and is incorporated in this Annual Report by reference.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61" w:name="page162"/>
    <w:bookmarkEnd w:id="161"/>
    <w:p>
      <w:pPr>
        <w:ind w:left="5560"/>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Documents filed as a part of this Annual Report on Form 10-K:</w:t>
      </w:r>
    </w:p>
    <w:p>
      <w:pPr>
        <w:spacing w:after="0" w:line="329" w:lineRule="exact"/>
        <w:rPr>
          <w:sz w:val="20"/>
          <w:szCs w:val="20"/>
          <w:color w:val="auto"/>
        </w:rPr>
      </w:pPr>
    </w:p>
    <w:p>
      <w:pPr>
        <w:ind w:left="1160" w:hanging="572"/>
        <w:spacing w:after="0"/>
        <w:tabs>
          <w:tab w:leader="none" w:pos="11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financial statements are included in Part II, Item 8 of this Annual Report on Form 10-K:</w:t>
      </w:r>
    </w:p>
    <w:p>
      <w:pPr>
        <w:spacing w:after="0" w:line="266" w:lineRule="exact"/>
        <w:rPr>
          <w:sz w:val="20"/>
          <w:szCs w:val="20"/>
          <w:color w:val="auto"/>
        </w:rPr>
      </w:pPr>
    </w:p>
    <w:p>
      <w:pPr>
        <w:ind w:left="44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Report of Independent Registered Public Accounting Firm</w:t>
        </w:r>
      </w:hyperlink>
    </w:p>
    <w:p>
      <w:pPr>
        <w:spacing w:after="0" w:line="23" w:lineRule="exact"/>
        <w:rPr>
          <w:sz w:val="20"/>
          <w:szCs w:val="20"/>
          <w:color w:val="auto"/>
        </w:rPr>
      </w:pPr>
    </w:p>
    <w:p>
      <w:pPr>
        <w:ind w:left="44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Consolidated Balance Sheets</w:t>
        </w:r>
      </w:hyperlink>
    </w:p>
    <w:p>
      <w:pPr>
        <w:spacing w:after="0" w:line="9" w:lineRule="exact"/>
        <w:rPr>
          <w:sz w:val="20"/>
          <w:szCs w:val="20"/>
          <w:color w:val="auto"/>
        </w:rPr>
      </w:pPr>
    </w:p>
    <w:p>
      <w:pPr>
        <w:ind w:left="44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Consolidated Statements of Operations and Comprehensive Loss</w:t>
        </w:r>
      </w:hyperlink>
    </w:p>
    <w:p>
      <w:pPr>
        <w:spacing w:after="0" w:line="9" w:lineRule="exact"/>
        <w:rPr>
          <w:sz w:val="20"/>
          <w:szCs w:val="20"/>
          <w:color w:val="auto"/>
        </w:rPr>
      </w:pPr>
    </w:p>
    <w:p>
      <w:pPr>
        <w:ind w:left="44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Consolidated Statements of Redeemable Convertible Preferred Stock and Stockholders’ Equity (Deficit)</w:t>
        </w:r>
      </w:hyperlink>
    </w:p>
    <w:p>
      <w:pPr>
        <w:spacing w:after="0" w:line="9" w:lineRule="exact"/>
        <w:rPr>
          <w:sz w:val="20"/>
          <w:szCs w:val="20"/>
          <w:color w:val="auto"/>
        </w:rPr>
      </w:pPr>
    </w:p>
    <w:p>
      <w:pPr>
        <w:ind w:left="44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Consolidated Statements of Cash Flows</w:t>
        </w:r>
      </w:hyperlink>
    </w:p>
    <w:p>
      <w:pPr>
        <w:spacing w:after="0" w:line="9" w:lineRule="exact"/>
        <w:rPr>
          <w:sz w:val="20"/>
          <w:szCs w:val="20"/>
          <w:color w:val="auto"/>
        </w:rPr>
      </w:pPr>
    </w:p>
    <w:p>
      <w:pPr>
        <w:ind w:left="4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Notes to Consolidated Financial Statements</w:t>
        </w:r>
      </w:hyperlink>
    </w:p>
    <w:p>
      <w:pPr>
        <w:spacing w:after="0" w:line="116" w:lineRule="exact"/>
        <w:rPr>
          <w:sz w:val="20"/>
          <w:szCs w:val="20"/>
          <w:color w:val="auto"/>
        </w:rPr>
      </w:pPr>
    </w:p>
    <w:p>
      <w:pPr>
        <w:ind w:left="1160" w:hanging="572"/>
        <w:spacing w:after="0"/>
        <w:tabs>
          <w:tab w:leader="none" w:pos="1160"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All other schedules have been omitted because they are not required, not applicable, or the required information is otherwise included.</w:t>
      </w:r>
    </w:p>
    <w:p>
      <w:pPr>
        <w:spacing w:after="0" w:line="140" w:lineRule="exact"/>
        <w:rPr>
          <w:rFonts w:ascii="Arial" w:cs="Arial" w:eastAsia="Arial" w:hAnsi="Arial"/>
          <w:sz w:val="16"/>
          <w:szCs w:val="16"/>
          <w:b w:val="1"/>
          <w:bCs w:val="1"/>
          <w:color w:val="auto"/>
        </w:rPr>
      </w:pPr>
    </w:p>
    <w:p>
      <w:pPr>
        <w:ind w:left="1160" w:hanging="572"/>
        <w:spacing w:after="0"/>
        <w:tabs>
          <w:tab w:leader="none" w:pos="11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The exhibits listed in the Exhibit Index below are filed or incorporated by reference as part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40"/>
          </w:cols>
          <w:pgMar w:left="320" w:top="445" w:right="739" w:bottom="1440" w:gutter="0" w:footer="0" w:header="0"/>
        </w:sectPr>
      </w:pPr>
    </w:p>
    <w:bookmarkStart w:id="162" w:name="page163"/>
    <w:bookmarkEnd w:id="162"/>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3"/>
              </w:rPr>
              <w:t>Incorporated by Reference</w:t>
            </w:r>
          </w:p>
        </w:tc>
        <w:tc>
          <w:tcPr>
            <w:tcW w:w="880" w:type="dxa"/>
            <w:vAlign w:val="bottom"/>
            <w:tcBorders>
              <w:bottom w:val="single" w:sz="8" w:color="auto"/>
            </w:tcBorders>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20" w:type="dxa"/>
            <w:vAlign w:val="bottom"/>
            <w:gridSpan w:val="30"/>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w w:val="97"/>
              </w:rPr>
              <w:t>Form</w:t>
            </w:r>
          </w:p>
        </w:tc>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11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0"/>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5440" w:type="dxa"/>
            <w:vAlign w:val="bottom"/>
            <w:gridSpan w:val="35"/>
          </w:tcPr>
          <w:p>
            <w:pPr>
              <w:spacing w:after="0" w:line="169" w:lineRule="exact"/>
              <w:rPr>
                <w:rFonts w:ascii="Arial" w:cs="Arial" w:eastAsia="Arial" w:hAnsi="Arial"/>
                <w:sz w:val="18"/>
                <w:szCs w:val="18"/>
                <w:color w:val="0000EE"/>
              </w:rPr>
            </w:pPr>
            <w:hyperlink r:id="rId206">
              <w:r>
                <w:rPr>
                  <w:rFonts w:ascii="Arial" w:cs="Arial" w:eastAsia="Arial" w:hAnsi="Arial"/>
                  <w:sz w:val="18"/>
                  <w:szCs w:val="18"/>
                  <w:color w:val="0000EE"/>
                </w:rPr>
                <w:t>Amended and Restated Certificate of Incorporation.</w:t>
              </w:r>
            </w:hyperlink>
          </w:p>
        </w:tc>
        <w:tc>
          <w:tcPr>
            <w:tcW w:w="820" w:type="dxa"/>
            <w:vAlign w:val="bottom"/>
          </w:tcPr>
          <w:p>
            <w:pPr>
              <w:jc w:val="center"/>
              <w:ind w:left="91"/>
              <w:spacing w:after="0" w:line="169" w:lineRule="exact"/>
              <w:rPr>
                <w:sz w:val="20"/>
                <w:szCs w:val="20"/>
                <w:color w:val="auto"/>
              </w:rPr>
            </w:pPr>
            <w:r>
              <w:rPr>
                <w:rFonts w:ascii="Arial" w:cs="Arial" w:eastAsia="Arial" w:hAnsi="Arial"/>
                <w:sz w:val="18"/>
                <w:szCs w:val="18"/>
                <w:color w:val="auto"/>
                <w:w w:val="99"/>
              </w:rPr>
              <w:t>8-K</w:t>
            </w:r>
          </w:p>
        </w:tc>
        <w:tc>
          <w:tcPr>
            <w:tcW w:w="1800" w:type="dxa"/>
            <w:vAlign w:val="bottom"/>
          </w:tcPr>
          <w:p>
            <w:pPr>
              <w:jc w:val="center"/>
              <w:spacing w:after="0" w:line="169" w:lineRule="exact"/>
              <w:rPr>
                <w:sz w:val="20"/>
                <w:szCs w:val="20"/>
                <w:color w:val="auto"/>
              </w:rPr>
            </w:pPr>
            <w:r>
              <w:rPr>
                <w:rFonts w:ascii="Arial" w:cs="Arial" w:eastAsia="Arial" w:hAnsi="Arial"/>
                <w:sz w:val="18"/>
                <w:szCs w:val="18"/>
                <w:color w:val="auto"/>
                <w:w w:val="90"/>
              </w:rPr>
              <w:t>10/20/2020</w:t>
            </w:r>
          </w:p>
        </w:tc>
        <w:tc>
          <w:tcPr>
            <w:tcW w:w="880" w:type="dxa"/>
            <w:vAlign w:val="bottom"/>
          </w:tcPr>
          <w:p>
            <w:pPr>
              <w:jc w:val="center"/>
              <w:ind w:right="151"/>
              <w:spacing w:after="0" w:line="169" w:lineRule="exact"/>
              <w:rPr>
                <w:sz w:val="20"/>
                <w:szCs w:val="20"/>
                <w:color w:val="auto"/>
              </w:rPr>
            </w:pPr>
            <w:r>
              <w:rPr>
                <w:rFonts w:ascii="Arial" w:cs="Arial" w:eastAsia="Arial" w:hAnsi="Arial"/>
                <w:sz w:val="18"/>
                <w:szCs w:val="18"/>
                <w:color w:val="auto"/>
                <w:w w:val="95"/>
              </w:rPr>
              <w:t>3.1</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37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07">
              <w:r>
                <w:rPr>
                  <w:rFonts w:ascii="Arial" w:cs="Arial" w:eastAsia="Arial" w:hAnsi="Arial"/>
                  <w:sz w:val="18"/>
                  <w:szCs w:val="18"/>
                  <w:color w:val="0000EE"/>
                </w:rPr>
                <w:t>Amended and Restated Bylaws.</w:t>
              </w:r>
            </w:hyperlink>
          </w:p>
        </w:tc>
        <w:tc>
          <w:tcPr>
            <w:tcW w:w="1700" w:type="dxa"/>
            <w:vAlign w:val="bottom"/>
            <w:gridSpan w:val="18"/>
          </w:tcPr>
          <w:p>
            <w:pPr>
              <w:spacing w:after="0"/>
              <w:rPr>
                <w:sz w:val="17"/>
                <w:szCs w:val="17"/>
                <w:color w:val="auto"/>
              </w:rPr>
            </w:pPr>
          </w:p>
        </w:tc>
        <w:tc>
          <w:tcPr>
            <w:tcW w:w="820" w:type="dxa"/>
            <w:vAlign w:val="bottom"/>
          </w:tcPr>
          <w:p>
            <w:pPr>
              <w:jc w:val="center"/>
              <w:ind w:left="91"/>
              <w:spacing w:after="0" w:line="196" w:lineRule="exact"/>
              <w:rPr>
                <w:sz w:val="20"/>
                <w:szCs w:val="20"/>
                <w:color w:val="auto"/>
              </w:rPr>
            </w:pPr>
            <w:r>
              <w:rPr>
                <w:rFonts w:ascii="Arial" w:cs="Arial" w:eastAsia="Arial" w:hAnsi="Arial"/>
                <w:sz w:val="18"/>
                <w:szCs w:val="18"/>
                <w:color w:val="auto"/>
                <w:w w:val="99"/>
              </w:rPr>
              <w:t>8-K</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0"/>
              </w:rPr>
              <w:t>10/20/2020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5"/>
              </w:rPr>
              <w:t>3.2</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5440" w:type="dxa"/>
            <w:vAlign w:val="bottom"/>
            <w:gridSpan w:val="35"/>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206">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207">
              <w:r>
                <w:rPr>
                  <w:rFonts w:ascii="Arial" w:cs="Arial" w:eastAsia="Arial" w:hAnsi="Arial"/>
                  <w:sz w:val="18"/>
                  <w:szCs w:val="18"/>
                  <w:color w:val="0000EE"/>
                </w:rPr>
                <w:t>3.2</w:t>
              </w:r>
            </w:hyperlink>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26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08">
              <w:r>
                <w:rPr>
                  <w:rFonts w:ascii="Arial" w:cs="Arial" w:eastAsia="Arial" w:hAnsi="Arial"/>
                  <w:sz w:val="18"/>
                  <w:szCs w:val="18"/>
                  <w:color w:val="0000EE"/>
                  <w:w w:val="92"/>
                </w:rPr>
                <w:t>Form of Common Stock Certificate.</w:t>
              </w:r>
            </w:hyperlink>
          </w:p>
        </w:tc>
        <w:tc>
          <w:tcPr>
            <w:tcW w:w="2820" w:type="dxa"/>
            <w:vAlign w:val="bottom"/>
            <w:gridSpan w:val="26"/>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5"/>
              </w:rPr>
              <w:t>4.2</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5440" w:type="dxa"/>
            <w:vAlign w:val="bottom"/>
            <w:gridSpan w:val="35"/>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Description of Securities.</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10.1(a)†</w:t>
            </w:r>
          </w:p>
        </w:tc>
        <w:tc>
          <w:tcPr>
            <w:tcW w:w="5440" w:type="dxa"/>
            <w:vAlign w:val="bottom"/>
            <w:gridSpan w:val="35"/>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Aligos Therapeutics/Emory University License Agreement by and between</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Aligos Therapeutics, Inc. and Emory University, dated June 26, 2018.</w:t>
              </w:r>
            </w:hyperlink>
          </w:p>
        </w:tc>
        <w:tc>
          <w:tcPr>
            <w:tcW w:w="38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10.1(a)</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10.1(b)†</w:t>
            </w:r>
          </w:p>
        </w:tc>
        <w:tc>
          <w:tcPr>
            <w:tcW w:w="5440" w:type="dxa"/>
            <w:vAlign w:val="bottom"/>
            <w:gridSpan w:val="35"/>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First Amendment to License Agreement by and between Aligos</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00" w:type="dxa"/>
            <w:vAlign w:val="bottom"/>
            <w:tcBorders>
              <w:top w:val="single" w:sz="8" w:color="0000EE"/>
            </w:tcBorders>
            <w:gridSpan w:val="22"/>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Therapeutics, Inc. and Emory University, dated June 18, 2020.</w:t>
              </w:r>
            </w:hyperlink>
          </w:p>
        </w:tc>
        <w:tc>
          <w:tcPr>
            <w:tcW w:w="840" w:type="dxa"/>
            <w:vAlign w:val="bottom"/>
            <w:gridSpan w:val="13"/>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10.1(b)</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10.2(a)†</w:t>
            </w:r>
          </w:p>
        </w:tc>
        <w:tc>
          <w:tcPr>
            <w:tcW w:w="52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License Agreement by and between Aligos Therapeutics, Inc. and Luxna</w:t>
              </w:r>
            </w:hyperlink>
          </w:p>
        </w:tc>
        <w:tc>
          <w:tcPr>
            <w:tcW w:w="1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2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Biotech Co., Ltd., dated December 19, 2018.</w:t>
              </w:r>
            </w:hyperlink>
          </w:p>
        </w:tc>
        <w:tc>
          <w:tcPr>
            <w:tcW w:w="2200" w:type="dxa"/>
            <w:vAlign w:val="bottom"/>
            <w:gridSpan w:val="22"/>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10.2(a)</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10.2(b)†</w:t>
            </w:r>
          </w:p>
        </w:tc>
        <w:tc>
          <w:tcPr>
            <w:tcW w:w="526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Amendment to License Agreement by and between Aligos Therapeutics,</w:t>
              </w:r>
            </w:hyperlink>
          </w:p>
        </w:tc>
        <w:tc>
          <w:tcPr>
            <w:tcW w:w="18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9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212">
              <w:r>
                <w:rPr>
                  <w:rFonts w:ascii="Arial" w:cs="Arial" w:eastAsia="Arial" w:hAnsi="Arial"/>
                  <w:sz w:val="18"/>
                  <w:szCs w:val="18"/>
                  <w:color w:val="0000EE"/>
                  <w:w w:val="92"/>
                </w:rPr>
                <w:t>Inc. and Luxna Biotech Co., Ltd., dated April 8, 2020.</w:t>
              </w:r>
            </w:hyperlink>
          </w:p>
        </w:tc>
        <w:tc>
          <w:tcPr>
            <w:tcW w:w="1520" w:type="dxa"/>
            <w:vAlign w:val="bottom"/>
            <w:gridSpan w:val="17"/>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10.2(b)</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5440" w:type="dxa"/>
            <w:vAlign w:val="bottom"/>
            <w:gridSpan w:val="35"/>
          </w:tcPr>
          <w:p>
            <w:pPr>
              <w:spacing w:after="0" w:line="196" w:lineRule="exact"/>
              <w:rPr>
                <w:rFonts w:ascii="Arial" w:cs="Arial" w:eastAsia="Arial" w:hAnsi="Arial"/>
                <w:sz w:val="18"/>
                <w:szCs w:val="18"/>
                <w:color w:val="0000EE"/>
                <w:w w:val="94"/>
              </w:rPr>
            </w:pPr>
            <w:hyperlink r:id="rId213">
              <w:r>
                <w:rPr>
                  <w:rFonts w:ascii="Arial" w:cs="Arial" w:eastAsia="Arial" w:hAnsi="Arial"/>
                  <w:sz w:val="18"/>
                  <w:szCs w:val="18"/>
                  <w:color w:val="0000EE"/>
                  <w:w w:val="94"/>
                </w:rPr>
                <w:t>Lease between Aligos Therapeutics, Inc. and Britannia Biotech Gateway</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213">
              <w:r>
                <w:rPr>
                  <w:rFonts w:ascii="Arial" w:cs="Arial" w:eastAsia="Arial" w:hAnsi="Arial"/>
                  <w:sz w:val="18"/>
                  <w:szCs w:val="18"/>
                  <w:color w:val="0000EE"/>
                  <w:w w:val="89"/>
                </w:rPr>
                <w:t>Limited Partnership, dated June 21, 2018.</w:t>
              </w:r>
            </w:hyperlink>
          </w:p>
        </w:tc>
        <w:tc>
          <w:tcPr>
            <w:tcW w:w="2220" w:type="dxa"/>
            <w:vAlign w:val="bottom"/>
            <w:tcBorders>
              <w:top w:val="single" w:sz="8" w:color="0000EE"/>
            </w:tcBorders>
            <w:gridSpan w:val="19"/>
          </w:tcPr>
          <w:p>
            <w:pPr>
              <w:spacing w:after="0"/>
              <w:rPr>
                <w:sz w:val="17"/>
                <w:szCs w:val="17"/>
                <w:color w:val="auto"/>
              </w:rPr>
            </w:pPr>
          </w:p>
        </w:tc>
        <w:tc>
          <w:tcPr>
            <w:tcW w:w="200" w:type="dxa"/>
            <w:vAlign w:val="bottom"/>
            <w:gridSpan w:val="4"/>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10.3</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5440" w:type="dxa"/>
            <w:vAlign w:val="bottom"/>
            <w:gridSpan w:val="35"/>
          </w:tcPr>
          <w:p>
            <w:pPr>
              <w:spacing w:after="0" w:line="196" w:lineRule="exact"/>
              <w:rPr>
                <w:rFonts w:ascii="Arial" w:cs="Arial" w:eastAsia="Arial" w:hAnsi="Arial"/>
                <w:sz w:val="18"/>
                <w:szCs w:val="18"/>
                <w:color w:val="0000EE"/>
                <w:w w:val="96"/>
              </w:rPr>
            </w:pPr>
            <w:hyperlink r:id="rId214">
              <w:r>
                <w:rPr>
                  <w:rFonts w:ascii="Arial" w:cs="Arial" w:eastAsia="Arial" w:hAnsi="Arial"/>
                  <w:sz w:val="18"/>
                  <w:szCs w:val="18"/>
                  <w:color w:val="0000EE"/>
                  <w:w w:val="96"/>
                </w:rPr>
                <w:t>Amended and Restated Investors’ Rights Agreement dated October 9,</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214">
              <w:r>
                <w:rPr>
                  <w:rFonts w:ascii="Arial" w:cs="Arial" w:eastAsia="Arial" w:hAnsi="Arial"/>
                  <w:sz w:val="18"/>
                  <w:szCs w:val="18"/>
                  <w:color w:val="0000EE"/>
                  <w:w w:val="88"/>
                </w:rPr>
                <w:t>2020.</w:t>
              </w:r>
            </w:hyperlink>
          </w:p>
        </w:tc>
        <w:tc>
          <w:tcPr>
            <w:tcW w:w="4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10.4</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10.5(a)#</w:t>
            </w:r>
          </w:p>
        </w:tc>
        <w:tc>
          <w:tcPr>
            <w:tcW w:w="30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2018 Equity Incentive Plan, as amended.</w:t>
              </w:r>
            </w:hyperlink>
          </w:p>
        </w:tc>
        <w:tc>
          <w:tcPr>
            <w:tcW w:w="2420" w:type="dxa"/>
            <w:vAlign w:val="bottom"/>
            <w:gridSpan w:val="23"/>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10.5(a)</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10.5(b)#</w:t>
            </w:r>
          </w:p>
        </w:tc>
        <w:tc>
          <w:tcPr>
            <w:tcW w:w="51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Form of Stock Option Grant Notice and Stock Option Agreement under</w:t>
              </w:r>
            </w:hyperlink>
          </w:p>
        </w:tc>
        <w:tc>
          <w:tcPr>
            <w:tcW w:w="26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2018 Equity Incentive Plan, as amended.</w:t>
              </w:r>
            </w:hyperlink>
          </w:p>
        </w:tc>
        <w:tc>
          <w:tcPr>
            <w:tcW w:w="2420" w:type="dxa"/>
            <w:vAlign w:val="bottom"/>
            <w:gridSpan w:val="23"/>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10.5(b)</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10.5(c)#</w:t>
            </w:r>
          </w:p>
        </w:tc>
        <w:tc>
          <w:tcPr>
            <w:tcW w:w="49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17">
              <w:r>
                <w:rPr>
                  <w:rFonts w:ascii="Arial" w:cs="Arial" w:eastAsia="Arial" w:hAnsi="Arial"/>
                  <w:sz w:val="18"/>
                  <w:szCs w:val="18"/>
                  <w:color w:val="0000EE"/>
                  <w:w w:val="91"/>
                </w:rPr>
                <w:t>Form of Early Exercise Stock Option Grant Notice and Stock Option</w:t>
              </w:r>
            </w:hyperlink>
          </w:p>
        </w:tc>
        <w:tc>
          <w:tcPr>
            <w:tcW w:w="46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17">
              <w:r>
                <w:rPr>
                  <w:rFonts w:ascii="Arial" w:cs="Arial" w:eastAsia="Arial" w:hAnsi="Arial"/>
                  <w:sz w:val="18"/>
                  <w:szCs w:val="18"/>
                  <w:color w:val="0000EE"/>
                  <w:w w:val="90"/>
                </w:rPr>
                <w:t>Agreement under 2018 Equity Incentive Plan, as amended.</w:t>
              </w:r>
            </w:hyperlink>
          </w:p>
        </w:tc>
        <w:tc>
          <w:tcPr>
            <w:tcW w:w="1160" w:type="dxa"/>
            <w:vAlign w:val="bottom"/>
            <w:gridSpan w:val="15"/>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2"/>
              </w:rPr>
              <w:t>10.5(c)</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10.5(d)#</w:t>
            </w:r>
          </w:p>
        </w:tc>
        <w:tc>
          <w:tcPr>
            <w:tcW w:w="5440" w:type="dxa"/>
            <w:vAlign w:val="bottom"/>
            <w:gridSpan w:val="35"/>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Form of International Stock Option Grant Notice and Stock Option</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r:id="rId218">
              <w:r>
                <w:rPr>
                  <w:rFonts w:ascii="Arial" w:cs="Arial" w:eastAsia="Arial" w:hAnsi="Arial"/>
                  <w:sz w:val="18"/>
                  <w:szCs w:val="18"/>
                  <w:color w:val="0000EE"/>
                  <w:w w:val="89"/>
                </w:rPr>
                <w:t>Agreement under 2018 Equity Incentive Plan, as amended.</w:t>
              </w:r>
            </w:hyperlink>
          </w:p>
        </w:tc>
        <w:tc>
          <w:tcPr>
            <w:tcW w:w="580" w:type="dxa"/>
            <w:vAlign w:val="bottom"/>
            <w:tcBorders>
              <w:top w:val="single" w:sz="8" w:color="0000EE"/>
            </w:tcBorders>
            <w:gridSpan w:val="5"/>
          </w:tcPr>
          <w:p>
            <w:pPr>
              <w:spacing w:after="0"/>
              <w:rPr>
                <w:sz w:val="17"/>
                <w:szCs w:val="17"/>
                <w:color w:val="auto"/>
              </w:rPr>
            </w:pPr>
          </w:p>
        </w:tc>
        <w:tc>
          <w:tcPr>
            <w:tcW w:w="600" w:type="dxa"/>
            <w:vAlign w:val="bottom"/>
            <w:gridSpan w:val="11"/>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10.5(d)</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10.6(a)#</w:t>
            </w:r>
          </w:p>
        </w:tc>
        <w:tc>
          <w:tcPr>
            <w:tcW w:w="2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2020 Incentive Award Plan.</w:t>
              </w:r>
            </w:hyperlink>
          </w:p>
        </w:tc>
        <w:tc>
          <w:tcPr>
            <w:tcW w:w="3420" w:type="dxa"/>
            <w:vAlign w:val="bottom"/>
            <w:gridSpan w:val="30"/>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10.6(a)</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10.6(b)#</w:t>
            </w:r>
          </w:p>
        </w:tc>
        <w:tc>
          <w:tcPr>
            <w:tcW w:w="544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Form of Stock Option Grant Notice and Stock Option Agreement under the</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2020 Incentive Award Plan.</w:t>
              </w:r>
            </w:hyperlink>
          </w:p>
        </w:tc>
        <w:tc>
          <w:tcPr>
            <w:tcW w:w="3420" w:type="dxa"/>
            <w:vAlign w:val="bottom"/>
            <w:gridSpan w:val="30"/>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10.6(b)</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10.6(c)#</w:t>
            </w:r>
          </w:p>
        </w:tc>
        <w:tc>
          <w:tcPr>
            <w:tcW w:w="5440" w:type="dxa"/>
            <w:vAlign w:val="bottom"/>
            <w:gridSpan w:val="35"/>
          </w:tcPr>
          <w:p>
            <w:pPr>
              <w:spacing w:after="0" w:line="196" w:lineRule="exact"/>
              <w:rPr>
                <w:rFonts w:ascii="Arial" w:cs="Arial" w:eastAsia="Arial" w:hAnsi="Arial"/>
                <w:sz w:val="18"/>
                <w:szCs w:val="18"/>
                <w:color w:val="0000EE"/>
                <w:w w:val="98"/>
              </w:rPr>
            </w:pPr>
            <w:hyperlink r:id="rId221">
              <w:r>
                <w:rPr>
                  <w:rFonts w:ascii="Arial" w:cs="Arial" w:eastAsia="Arial" w:hAnsi="Arial"/>
                  <w:sz w:val="18"/>
                  <w:szCs w:val="18"/>
                  <w:color w:val="0000EE"/>
                  <w:w w:val="98"/>
                </w:rPr>
                <w:t>Form of Restricted Stock Award Agreement under the 2020 Incentive</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21">
              <w:r>
                <w:rPr>
                  <w:rFonts w:ascii="Arial" w:cs="Arial" w:eastAsia="Arial" w:hAnsi="Arial"/>
                  <w:sz w:val="18"/>
                  <w:szCs w:val="18"/>
                  <w:color w:val="0000EE"/>
                  <w:w w:val="90"/>
                </w:rPr>
                <w:t>Award Plan.</w:t>
              </w:r>
            </w:hyperlink>
          </w:p>
        </w:tc>
        <w:tc>
          <w:tcPr>
            <w:tcW w:w="4120" w:type="dxa"/>
            <w:vAlign w:val="bottom"/>
            <w:tcBorders>
              <w:top w:val="single" w:sz="8" w:color="0000EE"/>
            </w:tcBorders>
            <w:gridSpan w:val="24"/>
          </w:tcPr>
          <w:p>
            <w:pPr>
              <w:spacing w:after="0"/>
              <w:rPr>
                <w:sz w:val="17"/>
                <w:szCs w:val="17"/>
                <w:color w:val="auto"/>
              </w:rPr>
            </w:pPr>
          </w:p>
        </w:tc>
        <w:tc>
          <w:tcPr>
            <w:tcW w:w="420" w:type="dxa"/>
            <w:vAlign w:val="bottom"/>
            <w:gridSpan w:val="9"/>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2"/>
              </w:rPr>
              <w:t>10.6(c)</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10.6(d)#</w:t>
            </w:r>
          </w:p>
        </w:tc>
        <w:tc>
          <w:tcPr>
            <w:tcW w:w="5440" w:type="dxa"/>
            <w:vAlign w:val="bottom"/>
            <w:gridSpan w:val="35"/>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Form of Restricted Stock Unit Award Grant Notice under the 2020</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8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Incentive Award Plan.</w:t>
              </w:r>
            </w:hyperlink>
          </w:p>
        </w:tc>
        <w:tc>
          <w:tcPr>
            <w:tcW w:w="640" w:type="dxa"/>
            <w:vAlign w:val="bottom"/>
            <w:gridSpan w:val="12"/>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10.6(d)</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5440" w:type="dxa"/>
            <w:vAlign w:val="bottom"/>
            <w:gridSpan w:val="35"/>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2020 Employee Stock Purchase Plan.</w:t>
              </w:r>
            </w:hyperlink>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10.7</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5440" w:type="dxa"/>
            <w:vAlign w:val="bottom"/>
            <w:gridSpan w:val="35"/>
          </w:tcPr>
          <w:p>
            <w:pPr>
              <w:spacing w:after="0" w:line="196" w:lineRule="exact"/>
              <w:rPr>
                <w:rFonts w:ascii="Arial" w:cs="Arial" w:eastAsia="Arial" w:hAnsi="Arial"/>
                <w:sz w:val="18"/>
                <w:szCs w:val="18"/>
                <w:color w:val="0000EE"/>
                <w:w w:val="96"/>
              </w:rPr>
            </w:pPr>
            <w:hyperlink r:id="rId224">
              <w:r>
                <w:rPr>
                  <w:rFonts w:ascii="Arial" w:cs="Arial" w:eastAsia="Arial" w:hAnsi="Arial"/>
                  <w:sz w:val="18"/>
                  <w:szCs w:val="18"/>
                  <w:color w:val="0000EE"/>
                  <w:w w:val="96"/>
                </w:rPr>
                <w:t>Employment Agreement by and between Aligos Therapeutics, Inc. and</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224">
              <w:r>
                <w:rPr>
                  <w:rFonts w:ascii="Arial" w:cs="Arial" w:eastAsia="Arial" w:hAnsi="Arial"/>
                  <w:sz w:val="18"/>
                  <w:szCs w:val="18"/>
                  <w:color w:val="0000EE"/>
                  <w:w w:val="91"/>
                </w:rPr>
                <w:t>Lawrence M. Blatt, Ph.D., dated August 16, 2018.</w:t>
              </w:r>
            </w:hyperlink>
          </w:p>
        </w:tc>
        <w:tc>
          <w:tcPr>
            <w:tcW w:w="1480" w:type="dxa"/>
            <w:vAlign w:val="bottom"/>
            <w:tcBorders>
              <w:top w:val="single" w:sz="8" w:color="0000EE"/>
            </w:tcBorders>
            <w:gridSpan w:val="12"/>
          </w:tcPr>
          <w:p>
            <w:pPr>
              <w:spacing w:after="0"/>
              <w:rPr>
                <w:sz w:val="17"/>
                <w:szCs w:val="17"/>
                <w:color w:val="auto"/>
              </w:rPr>
            </w:pPr>
          </w:p>
        </w:tc>
        <w:tc>
          <w:tcPr>
            <w:tcW w:w="320" w:type="dxa"/>
            <w:vAlign w:val="bottom"/>
            <w:gridSpan w:val="7"/>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10.8</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5440" w:type="dxa"/>
            <w:vAlign w:val="bottom"/>
            <w:gridSpan w:val="35"/>
          </w:tcPr>
          <w:p>
            <w:pPr>
              <w:spacing w:after="0" w:line="196" w:lineRule="exact"/>
              <w:rPr>
                <w:rFonts w:ascii="Arial" w:cs="Arial" w:eastAsia="Arial" w:hAnsi="Arial"/>
                <w:sz w:val="18"/>
                <w:szCs w:val="18"/>
                <w:color w:val="0000EE"/>
                <w:w w:val="96"/>
              </w:rPr>
            </w:pPr>
            <w:hyperlink r:id="rId225">
              <w:r>
                <w:rPr>
                  <w:rFonts w:ascii="Arial" w:cs="Arial" w:eastAsia="Arial" w:hAnsi="Arial"/>
                  <w:sz w:val="18"/>
                  <w:szCs w:val="18"/>
                  <w:color w:val="0000EE"/>
                  <w:w w:val="96"/>
                </w:rPr>
                <w:t>Employment Agreement by and between Aligos Therapeutics, Inc. and</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1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Leonid Beigelman, Ph.D., dated August 16, 2018.</w:t>
              </w:r>
            </w:hyperlink>
          </w:p>
        </w:tc>
        <w:tc>
          <w:tcPr>
            <w:tcW w:w="320" w:type="dxa"/>
            <w:vAlign w:val="bottom"/>
            <w:gridSpan w:val="7"/>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10.9</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00" w:type="dxa"/>
            <w:vAlign w:val="bottom"/>
            <w:tcBorders>
              <w:right w:val="single" w:sz="8" w:color="0000EE"/>
            </w:tcBorders>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1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51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Confirmatory Employment Letter by and between Aligos Therapeutics,</w:t>
              </w:r>
            </w:hyperlink>
          </w:p>
        </w:tc>
        <w:tc>
          <w:tcPr>
            <w:tcW w:w="2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26">
              <w:r>
                <w:rPr>
                  <w:rFonts w:ascii="Arial" w:cs="Arial" w:eastAsia="Arial" w:hAnsi="Arial"/>
                  <w:sz w:val="18"/>
                  <w:szCs w:val="18"/>
                  <w:color w:val="0000EE"/>
                  <w:w w:val="90"/>
                </w:rPr>
                <w:t>Inc. and Lucinda Quan, J.D., dated May 14, 2019.</w:t>
              </w:r>
            </w:hyperlink>
          </w:p>
        </w:tc>
        <w:tc>
          <w:tcPr>
            <w:tcW w:w="1820" w:type="dxa"/>
            <w:vAlign w:val="bottom"/>
            <w:gridSpan w:val="20"/>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88"/>
              </w:rPr>
              <w:t>10.10</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5440" w:type="dxa"/>
            <w:vAlign w:val="bottom"/>
            <w:gridSpan w:val="35"/>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Non-Employee Director Compensation Program.</w:t>
              </w:r>
            </w:hyperlink>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88"/>
              </w:rPr>
              <w:t>10.11</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3600" w:type="dxa"/>
            <w:vAlign w:val="bottom"/>
            <w:tcBorders>
              <w:top w:val="single" w:sz="8" w:color="0000EE"/>
            </w:tcBorders>
            <w:gridSpan w:val="14"/>
          </w:tcPr>
          <w:p>
            <w:pPr>
              <w:spacing w:after="0"/>
              <w:rPr>
                <w:sz w:val="24"/>
                <w:szCs w:val="24"/>
                <w:color w:val="auto"/>
              </w:rPr>
            </w:pPr>
          </w:p>
        </w:tc>
        <w:tc>
          <w:tcPr>
            <w:tcW w:w="1200" w:type="dxa"/>
            <w:vAlign w:val="bottom"/>
            <w:gridSpan w:val="9"/>
          </w:tcPr>
          <w:p>
            <w:pPr>
              <w:jc w:val="right"/>
              <w:ind w:right="16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5600" w:type="dxa"/>
            <w:vAlign w:val="bottom"/>
            <w:gridSpan w:val="15"/>
          </w:tcPr>
          <w:p>
            <w:pPr>
              <w:spacing w:after="0"/>
              <w:rPr>
                <w:rFonts w:ascii="Arial" w:cs="Arial" w:eastAsia="Arial" w:hAnsi="Arial"/>
                <w:sz w:val="18"/>
                <w:szCs w:val="18"/>
                <w:color w:val="0000EE"/>
              </w:rPr>
            </w:pPr>
            <w:hyperlink r:id="rId230">
              <w:r>
                <w:rPr>
                  <w:rFonts w:ascii="Arial" w:cs="Arial" w:eastAsia="Arial" w:hAnsi="Arial"/>
                  <w:sz w:val="18"/>
                  <w:szCs w:val="18"/>
                  <w:color w:val="0000EE"/>
                </w:rPr>
                <w:t>Form of Indemnification Agreement for directors and officers.</w:t>
              </w:r>
            </w:hyperlink>
          </w:p>
        </w:tc>
        <w:tc>
          <w:tcPr>
            <w:tcW w:w="860" w:type="dxa"/>
            <w:vAlign w:val="bottom"/>
          </w:tcPr>
          <w:p>
            <w:pPr>
              <w:jc w:val="center"/>
              <w:ind w:right="70"/>
              <w:spacing w:after="0"/>
              <w:rPr>
                <w:sz w:val="20"/>
                <w:szCs w:val="20"/>
                <w:color w:val="auto"/>
              </w:rPr>
            </w:pPr>
            <w:r>
              <w:rPr>
                <w:rFonts w:ascii="Arial" w:cs="Arial" w:eastAsia="Arial" w:hAnsi="Arial"/>
                <w:sz w:val="18"/>
                <w:szCs w:val="18"/>
                <w:color w:val="auto"/>
                <w:w w:val="93"/>
              </w:rPr>
              <w:t>S-1/A</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10/9/2020</w:t>
            </w:r>
          </w:p>
        </w:tc>
        <w:tc>
          <w:tcPr>
            <w:tcW w:w="1760" w:type="dxa"/>
            <w:vAlign w:val="bottom"/>
          </w:tcPr>
          <w:p>
            <w:pPr>
              <w:jc w:val="right"/>
              <w:ind w:right="930"/>
              <w:spacing w:after="0"/>
              <w:rPr>
                <w:sz w:val="20"/>
                <w:szCs w:val="20"/>
                <w:color w:val="auto"/>
              </w:rPr>
            </w:pPr>
            <w:r>
              <w:rPr>
                <w:rFonts w:ascii="Arial" w:cs="Arial" w:eastAsia="Arial" w:hAnsi="Arial"/>
                <w:sz w:val="18"/>
                <w:szCs w:val="18"/>
                <w:color w:val="auto"/>
              </w:rPr>
              <w:t>10.12</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1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31">
              <w:r>
                <w:rPr>
                  <w:rFonts w:ascii="Arial" w:cs="Arial" w:eastAsia="Arial" w:hAnsi="Arial"/>
                  <w:sz w:val="18"/>
                  <w:szCs w:val="18"/>
                  <w:color w:val="0000EE"/>
                  <w:w w:val="90"/>
                </w:rPr>
                <w:t>Subsidiaries of Registrant.</w:t>
              </w:r>
            </w:hyperlink>
          </w:p>
        </w:tc>
        <w:tc>
          <w:tcPr>
            <w:tcW w:w="2580" w:type="dxa"/>
            <w:vAlign w:val="bottom"/>
            <w:tcBorders>
              <w:top w:val="single" w:sz="8" w:color="0000EE"/>
            </w:tcBorders>
            <w:gridSpan w:val="4"/>
          </w:tcPr>
          <w:p>
            <w:pPr>
              <w:spacing w:after="0"/>
              <w:rPr>
                <w:sz w:val="17"/>
                <w:szCs w:val="17"/>
                <w:color w:val="auto"/>
              </w:rPr>
            </w:pPr>
          </w:p>
        </w:tc>
        <w:tc>
          <w:tcPr>
            <w:tcW w:w="1100" w:type="dxa"/>
            <w:vAlign w:val="bottom"/>
            <w:gridSpan w:val="9"/>
          </w:tcPr>
          <w:p>
            <w:pPr>
              <w:spacing w:after="0"/>
              <w:rPr>
                <w:sz w:val="17"/>
                <w:szCs w:val="17"/>
                <w:color w:val="auto"/>
              </w:rPr>
            </w:pPr>
          </w:p>
        </w:tc>
        <w:tc>
          <w:tcPr>
            <w:tcW w:w="8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2"/>
              </w:rPr>
              <w:t>S-1</w:t>
            </w:r>
          </w:p>
        </w:tc>
        <w:tc>
          <w:tcPr>
            <w:tcW w:w="13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9/25/2020</w:t>
            </w:r>
          </w:p>
        </w:tc>
        <w:tc>
          <w:tcPr>
            <w:tcW w:w="1760" w:type="dxa"/>
            <w:vAlign w:val="bottom"/>
          </w:tcPr>
          <w:p>
            <w:pPr>
              <w:jc w:val="right"/>
              <w:ind w:right="970"/>
              <w:spacing w:after="0" w:line="196" w:lineRule="exact"/>
              <w:rPr>
                <w:sz w:val="20"/>
                <w:szCs w:val="20"/>
                <w:color w:val="auto"/>
              </w:rPr>
            </w:pPr>
            <w:r>
              <w:rPr>
                <w:rFonts w:ascii="Arial" w:cs="Arial" w:eastAsia="Arial" w:hAnsi="Arial"/>
                <w:sz w:val="18"/>
                <w:szCs w:val="18"/>
                <w:color w:val="auto"/>
              </w:rPr>
              <w:t>21.1</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43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Consent of Independent Registered Public Accounting Firm.</w:t>
              </w:r>
            </w:hyperlink>
          </w:p>
        </w:tc>
        <w:tc>
          <w:tcPr>
            <w:tcW w:w="122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ind w:left="1620"/>
              <w:spacing w:after="0" w:line="196" w:lineRule="exact"/>
              <w:rPr>
                <w:sz w:val="20"/>
                <w:szCs w:val="20"/>
                <w:color w:val="auto"/>
              </w:rPr>
            </w:pPr>
            <w:r>
              <w:rPr>
                <w:rFonts w:ascii="Arial" w:cs="Arial" w:eastAsia="Arial" w:hAnsi="Arial"/>
                <w:sz w:val="18"/>
                <w:szCs w:val="18"/>
                <w:color w:val="auto"/>
                <w:w w:val="99"/>
              </w:rPr>
              <w:t>X</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48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65">
              <w:r>
                <w:rPr>
                  <w:rFonts w:ascii="Arial" w:cs="Arial" w:eastAsia="Arial" w:hAnsi="Arial"/>
                  <w:sz w:val="18"/>
                  <w:szCs w:val="18"/>
                  <w:color w:val="0000EE"/>
                  <w:w w:val="91"/>
                </w:rPr>
                <w:t>Power of Attorney (included on signature page to this Form 10-K).</w:t>
              </w:r>
            </w:hyperlink>
          </w:p>
        </w:tc>
        <w:tc>
          <w:tcPr>
            <w:tcW w:w="76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ind w:left="1620"/>
              <w:spacing w:after="0" w:line="196" w:lineRule="exact"/>
              <w:rPr>
                <w:sz w:val="20"/>
                <w:szCs w:val="20"/>
                <w:color w:val="auto"/>
              </w:rPr>
            </w:pPr>
            <w:r>
              <w:rPr>
                <w:rFonts w:ascii="Arial" w:cs="Arial" w:eastAsia="Arial" w:hAnsi="Arial"/>
                <w:sz w:val="18"/>
                <w:szCs w:val="18"/>
                <w:color w:val="auto"/>
                <w:w w:val="99"/>
              </w:rPr>
              <w:t>X</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52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72">
              <w:r>
                <w:rPr>
                  <w:rFonts w:ascii="Arial" w:cs="Arial" w:eastAsia="Arial" w:hAnsi="Arial"/>
                  <w:sz w:val="18"/>
                  <w:szCs w:val="18"/>
                  <w:color w:val="0000EE"/>
                  <w:w w:val="92"/>
                </w:rPr>
                <w:t>Certification of Principal Executive Officer Pursuant to Rules 13a-14(a)</w:t>
              </w:r>
            </w:hyperlink>
          </w:p>
        </w:tc>
        <w:tc>
          <w:tcPr>
            <w:tcW w:w="40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0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72">
              <w:r>
                <w:rPr>
                  <w:rFonts w:ascii="Arial" w:cs="Arial" w:eastAsia="Arial" w:hAnsi="Arial"/>
                  <w:sz w:val="18"/>
                  <w:szCs w:val="18"/>
                  <w:color w:val="0000EE"/>
                  <w:w w:val="89"/>
                </w:rPr>
                <w:t>and 15d-14(a) under the Securities Exchange Act of 1934, as Adopted</w:t>
              </w:r>
            </w:hyperlink>
          </w:p>
        </w:tc>
        <w:tc>
          <w:tcPr>
            <w:tcW w:w="54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600" w:type="dxa"/>
            <w:vAlign w:val="bottom"/>
            <w:gridSpan w:val="15"/>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Pursuant to Section 302 of the Sarbanes-Oxley Act of 2002.</w:t>
              </w:r>
            </w:hyperlink>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ind w:left="162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600" w:type="dxa"/>
            <w:vAlign w:val="bottom"/>
            <w:gridSpan w:val="15"/>
          </w:tcPr>
          <w:p>
            <w:pPr>
              <w:spacing w:after="0" w:line="196" w:lineRule="exact"/>
              <w:rPr>
                <w:rFonts w:ascii="Arial" w:cs="Arial" w:eastAsia="Arial" w:hAnsi="Arial"/>
                <w:sz w:val="18"/>
                <w:szCs w:val="18"/>
                <w:color w:val="0000EE"/>
                <w:w w:val="94"/>
              </w:rPr>
            </w:pPr>
            <w:hyperlink w:anchor="page173">
              <w:r>
                <w:rPr>
                  <w:rFonts w:ascii="Arial" w:cs="Arial" w:eastAsia="Arial" w:hAnsi="Arial"/>
                  <w:sz w:val="18"/>
                  <w:szCs w:val="18"/>
                  <w:color w:val="0000EE"/>
                  <w:w w:val="94"/>
                </w:rPr>
                <w:t>Certification of Principal Financial Officer Pursuant to Rules 13a-14(a) and</w:t>
              </w:r>
            </w:hyperlink>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440" w:type="dxa"/>
            <w:vAlign w:val="bottom"/>
            <w:tcBorders>
              <w:top w:val="single" w:sz="8" w:color="0000EE"/>
            </w:tcBorders>
            <w:gridSpan w:val="14"/>
          </w:tcPr>
          <w:p>
            <w:pPr>
              <w:spacing w:after="0" w:line="196"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15d-14(a) under the Securities Exchange Act of 1934, as Adopted Pursuant</w:t>
              </w:r>
            </w:hyperlink>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73">
              <w:r>
                <w:rPr>
                  <w:rFonts w:ascii="Arial" w:cs="Arial" w:eastAsia="Arial" w:hAnsi="Arial"/>
                  <w:sz w:val="18"/>
                  <w:szCs w:val="18"/>
                  <w:color w:val="0000EE"/>
                  <w:w w:val="90"/>
                </w:rPr>
                <w:t>to Section 302 of the Sarbanes-Oxley Act of 2002.</w:t>
              </w:r>
            </w:hyperlink>
          </w:p>
        </w:tc>
        <w:tc>
          <w:tcPr>
            <w:tcW w:w="1760" w:type="dxa"/>
            <w:vAlign w:val="bottom"/>
            <w:tcBorders>
              <w:top w:val="single" w:sz="8" w:color="0000EE"/>
            </w:tcBorders>
            <w:gridSpan w:val="10"/>
          </w:tcPr>
          <w:p>
            <w:pPr>
              <w:spacing w:after="0"/>
              <w:rPr>
                <w:sz w:val="17"/>
                <w:szCs w:val="17"/>
                <w:color w:val="auto"/>
              </w:rPr>
            </w:pPr>
          </w:p>
        </w:tc>
        <w:tc>
          <w:tcPr>
            <w:tcW w:w="1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ind w:left="1620"/>
              <w:spacing w:after="0" w:line="196" w:lineRule="exact"/>
              <w:rPr>
                <w:sz w:val="20"/>
                <w:szCs w:val="20"/>
                <w:color w:val="auto"/>
              </w:rPr>
            </w:pPr>
            <w:r>
              <w:rPr>
                <w:rFonts w:ascii="Arial" w:cs="Arial" w:eastAsia="Arial" w:hAnsi="Arial"/>
                <w:sz w:val="18"/>
                <w:szCs w:val="18"/>
                <w:color w:val="auto"/>
                <w:w w:val="99"/>
              </w:rPr>
              <w:t>X</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53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74">
              <w:r>
                <w:rPr>
                  <w:rFonts w:ascii="Arial" w:cs="Arial" w:eastAsia="Arial" w:hAnsi="Arial"/>
                  <w:sz w:val="18"/>
                  <w:szCs w:val="18"/>
                  <w:color w:val="0000EE"/>
                  <w:w w:val="92"/>
                </w:rPr>
                <w:t>Certification of Principal Executive Officer Pursuant to 18 U.S.C. Section</w:t>
              </w:r>
            </w:hyperlink>
          </w:p>
        </w:tc>
        <w:tc>
          <w:tcPr>
            <w:tcW w:w="26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600" w:type="dxa"/>
            <w:vAlign w:val="bottom"/>
            <w:gridSpan w:val="15"/>
          </w:tcPr>
          <w:p>
            <w:pPr>
              <w:spacing w:after="0" w:line="196" w:lineRule="exact"/>
              <w:rPr>
                <w:rFonts w:ascii="Arial" w:cs="Arial" w:eastAsia="Arial" w:hAnsi="Arial"/>
                <w:sz w:val="18"/>
                <w:szCs w:val="18"/>
                <w:color w:val="0000EE"/>
                <w:w w:val="97"/>
              </w:rPr>
            </w:pPr>
            <w:hyperlink w:anchor="page174">
              <w:r>
                <w:rPr>
                  <w:rFonts w:ascii="Arial" w:cs="Arial" w:eastAsia="Arial" w:hAnsi="Arial"/>
                  <w:sz w:val="18"/>
                  <w:szCs w:val="18"/>
                  <w:color w:val="0000EE"/>
                  <w:w w:val="97"/>
                </w:rPr>
                <w:t>1350, as Adopted Pursuant to Section 906 of the Sarbanes-Oxley Act of</w:t>
              </w:r>
            </w:hyperlink>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4">
              <w:r>
                <w:rPr>
                  <w:rFonts w:ascii="Arial" w:cs="Arial" w:eastAsia="Arial" w:hAnsi="Arial"/>
                  <w:sz w:val="18"/>
                  <w:szCs w:val="18"/>
                  <w:color w:val="0000EE"/>
                  <w:w w:val="88"/>
                </w:rPr>
                <w:t>2002.</w:t>
              </w:r>
            </w:hyperlink>
          </w:p>
        </w:tc>
        <w:tc>
          <w:tcPr>
            <w:tcW w:w="15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ind w:left="1620"/>
              <w:spacing w:after="0" w:line="196" w:lineRule="exact"/>
              <w:rPr>
                <w:sz w:val="20"/>
                <w:szCs w:val="20"/>
                <w:color w:val="auto"/>
              </w:rPr>
            </w:pPr>
            <w:r>
              <w:rPr>
                <w:rFonts w:ascii="Arial" w:cs="Arial" w:eastAsia="Arial" w:hAnsi="Arial"/>
                <w:sz w:val="18"/>
                <w:szCs w:val="18"/>
                <w:color w:val="auto"/>
                <w:w w:val="99"/>
              </w:rPr>
              <w:t>X</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5600" w:type="dxa"/>
            <w:vAlign w:val="bottom"/>
            <w:gridSpan w:val="15"/>
          </w:tcPr>
          <w:p>
            <w:pPr>
              <w:spacing w:after="0" w:line="196" w:lineRule="exact"/>
              <w:rPr>
                <w:rFonts w:ascii="Arial" w:cs="Arial" w:eastAsia="Arial" w:hAnsi="Arial"/>
                <w:sz w:val="18"/>
                <w:szCs w:val="18"/>
                <w:color w:val="0000EE"/>
                <w:w w:val="98"/>
              </w:rPr>
            </w:pPr>
            <w:hyperlink w:anchor="page175">
              <w:r>
                <w:rPr>
                  <w:rFonts w:ascii="Arial" w:cs="Arial" w:eastAsia="Arial" w:hAnsi="Arial"/>
                  <w:sz w:val="18"/>
                  <w:szCs w:val="18"/>
                  <w:color w:val="0000EE"/>
                  <w:w w:val="98"/>
                </w:rPr>
                <w:t>Certification of Principal Financial Officer Pursuant to 18 U.S.C. Section</w:t>
              </w:r>
            </w:hyperlink>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280" w:type="dxa"/>
            <w:vAlign w:val="bottom"/>
            <w:tcBorders>
              <w:top w:val="single" w:sz="8" w:color="0000EE"/>
            </w:tcBorders>
            <w:gridSpan w:val="11"/>
          </w:tcPr>
          <w:p>
            <w:pPr>
              <w:spacing w:after="0" w:line="196" w:lineRule="exact"/>
              <w:rPr>
                <w:rFonts w:ascii="Arial" w:cs="Arial" w:eastAsia="Arial" w:hAnsi="Arial"/>
                <w:sz w:val="18"/>
                <w:szCs w:val="18"/>
                <w:color w:val="0000EE"/>
                <w:w w:val="91"/>
              </w:rPr>
            </w:pPr>
            <w:hyperlink w:anchor="page175">
              <w:r>
                <w:rPr>
                  <w:rFonts w:ascii="Arial" w:cs="Arial" w:eastAsia="Arial" w:hAnsi="Arial"/>
                  <w:sz w:val="18"/>
                  <w:szCs w:val="18"/>
                  <w:color w:val="0000EE"/>
                  <w:w w:val="91"/>
                </w:rPr>
                <w:t>1350, as Adopted Pursuant to Section 906 of the Sarbanes-Oxley Act of</w:t>
              </w:r>
            </w:hyperlink>
          </w:p>
        </w:tc>
        <w:tc>
          <w:tcPr>
            <w:tcW w:w="32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2002.</w:t>
              </w:r>
            </w:hyperlink>
          </w:p>
        </w:tc>
        <w:tc>
          <w:tcPr>
            <w:tcW w:w="15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60" w:type="dxa"/>
            <w:vAlign w:val="bottom"/>
          </w:tcPr>
          <w:p>
            <w:pPr>
              <w:ind w:left="1620"/>
              <w:spacing w:after="0" w:line="196" w:lineRule="exact"/>
              <w:rPr>
                <w:sz w:val="20"/>
                <w:szCs w:val="20"/>
                <w:color w:val="auto"/>
              </w:rPr>
            </w:pPr>
            <w:r>
              <w:rPr>
                <w:rFonts w:ascii="Arial" w:cs="Arial" w:eastAsia="Arial" w:hAnsi="Arial"/>
                <w:sz w:val="18"/>
                <w:szCs w:val="18"/>
                <w:color w:val="auto"/>
                <w:w w:val="99"/>
              </w:rPr>
              <w:t>X</w:t>
            </w: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560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56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56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56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56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56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bl>
    <w:p>
      <w:pPr>
        <w:spacing w:after="0" w:line="134" w:lineRule="exact"/>
        <w:rPr>
          <w:sz w:val="20"/>
          <w:szCs w:val="20"/>
          <w:color w:val="auto"/>
        </w:rPr>
      </w:pPr>
    </w:p>
    <w:p>
      <w:pPr>
        <w:ind w:firstLine="8"/>
        <w:spacing w:after="0" w:line="258" w:lineRule="auto"/>
        <w:tabs>
          <w:tab w:leader="none" w:pos="1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would likely cause competitive harm if publicly disclosed.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9" w:lineRule="exact"/>
        <w:rPr>
          <w:rFonts w:ascii="Arial" w:cs="Arial" w:eastAsia="Arial" w:hAnsi="Arial"/>
          <w:sz w:val="18"/>
          <w:szCs w:val="18"/>
          <w:color w:val="auto"/>
        </w:rPr>
      </w:pPr>
    </w:p>
    <w:p>
      <w:pPr>
        <w:ind w:right="220"/>
        <w:spacing w:after="0" w:line="253" w:lineRule="auto"/>
        <w:rPr>
          <w:rFonts w:ascii="Arial" w:cs="Arial" w:eastAsia="Arial" w:hAnsi="Arial"/>
          <w:sz w:val="18"/>
          <w:szCs w:val="18"/>
          <w:color w:val="auto"/>
        </w:rPr>
      </w:pPr>
      <w:r>
        <w:rPr>
          <w:rFonts w:ascii="Arial" w:cs="Arial" w:eastAsia="Arial" w:hAnsi="Arial"/>
          <w:sz w:val="18"/>
          <w:szCs w:val="18"/>
          <w:color w:val="auto"/>
        </w:rPr>
        <w:t>* The certifications attached as Exhibits 32.1 and 32.2 that accompany this Annual Report on Form 10-K,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-973455</wp:posOffset>
            </wp:positionV>
            <wp:extent cx="10972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8140" w:type="dxa"/>
            <w:vAlign w:val="bottom"/>
            <w:gridSpan w:val="2"/>
          </w:tcPr>
          <w:p>
            <w:pPr>
              <w:ind w:left="2560"/>
              <w:spacing w:after="0"/>
              <w:rPr>
                <w:sz w:val="20"/>
                <w:szCs w:val="20"/>
                <w:color w:val="auto"/>
              </w:rPr>
            </w:pPr>
            <w:r>
              <w:rPr>
                <w:rFonts w:ascii="Arial" w:cs="Arial" w:eastAsia="Arial" w:hAnsi="Arial"/>
                <w:sz w:val="18"/>
                <w:szCs w:val="18"/>
                <w:b w:val="1"/>
                <w:bCs w:val="1"/>
                <w:color w:val="auto"/>
              </w:rPr>
              <w:t>Aligos Therapeutics, Inc.</w:t>
            </w: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Date: March 23, 2021</w:t>
            </w:r>
          </w:p>
        </w:tc>
        <w:tc>
          <w:tcPr>
            <w:tcW w:w="8140" w:type="dxa"/>
            <w:vAlign w:val="bottom"/>
            <w:gridSpan w:val="2"/>
          </w:tcPr>
          <w:p>
            <w:pPr>
              <w:ind w:left="2560"/>
              <w:spacing w:after="0"/>
              <w:rPr>
                <w:sz w:val="20"/>
                <w:szCs w:val="20"/>
                <w:color w:val="auto"/>
              </w:rPr>
            </w:pPr>
            <w:r>
              <w:rPr>
                <w:rFonts w:ascii="Arial" w:cs="Arial" w:eastAsia="Arial" w:hAnsi="Arial"/>
                <w:sz w:val="18"/>
                <w:szCs w:val="18"/>
                <w:color w:val="auto"/>
              </w:rPr>
              <w:t>By: /s/ Lawrence M. Blatt</w:t>
            </w:r>
          </w:p>
        </w:tc>
      </w:tr>
      <w:tr>
        <w:trPr>
          <w:trHeight w:val="222"/>
        </w:trPr>
        <w:tc>
          <w:tcPr>
            <w:tcW w:w="3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Lawrence M. Blatt, Ph.D.</w:t>
            </w:r>
          </w:p>
        </w:tc>
      </w:tr>
      <w:tr>
        <w:trPr>
          <w:trHeight w:val="230"/>
        </w:trPr>
        <w:tc>
          <w:tcPr>
            <w:tcW w:w="3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100" w:type="dxa"/>
            <w:vAlign w:val="bottom"/>
          </w:tcPr>
          <w:p>
            <w:pPr>
              <w:spacing w:after="0"/>
              <w:rPr>
                <w:sz w:val="24"/>
                <w:szCs w:val="24"/>
                <w:color w:val="auto"/>
              </w:rPr>
            </w:pPr>
          </w:p>
        </w:tc>
        <w:tc>
          <w:tcPr>
            <w:tcW w:w="814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Lawrence M. Blatt, Ph.D., Lesley Ann Calhoun and Lucinda Quan, J.D., and each of them acting individually, as his or her true and lawful attorneys-in-fact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218"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0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Lawrence M. Blatt</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Chief Executive Officer and Director</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w w:val="93"/>
              </w:rPr>
              <w:t>March 23, 2021</w:t>
            </w:r>
          </w:p>
        </w:tc>
        <w:tc>
          <w:tcPr>
            <w:tcW w:w="0" w:type="dxa"/>
            <w:vAlign w:val="bottom"/>
          </w:tcPr>
          <w:p>
            <w:pPr>
              <w:spacing w:after="0"/>
              <w:rPr>
                <w:sz w:val="1"/>
                <w:szCs w:val="1"/>
                <w:color w:val="auto"/>
              </w:rPr>
            </w:pPr>
          </w:p>
        </w:tc>
      </w:tr>
      <w:tr>
        <w:trPr>
          <w:trHeight w:val="82"/>
        </w:trPr>
        <w:tc>
          <w:tcPr>
            <w:tcW w:w="3720" w:type="dxa"/>
            <w:vAlign w:val="bottom"/>
            <w:vMerge w:val="restart"/>
          </w:tcPr>
          <w:p>
            <w:pPr>
              <w:jc w:val="center"/>
              <w:spacing w:after="0"/>
              <w:rPr>
                <w:sz w:val="20"/>
                <w:szCs w:val="20"/>
                <w:color w:val="auto"/>
              </w:rPr>
            </w:pPr>
            <w:r>
              <w:rPr>
                <w:rFonts w:ascii="Arial" w:cs="Arial" w:eastAsia="Arial" w:hAnsi="Arial"/>
                <w:sz w:val="16"/>
                <w:szCs w:val="16"/>
                <w:color w:val="auto"/>
                <w:w w:val="94"/>
              </w:rPr>
              <w:t>Lawrence M. Blatt, Ph.D.</w:t>
            </w:r>
          </w:p>
        </w:tc>
        <w:tc>
          <w:tcPr>
            <w:tcW w:w="120" w:type="dxa"/>
            <w:vAlign w:val="bottom"/>
          </w:tcPr>
          <w:p>
            <w:pPr>
              <w:spacing w:after="0"/>
              <w:rPr>
                <w:sz w:val="7"/>
                <w:szCs w:val="7"/>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(Principal Executive Officer)</w:t>
            </w: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960" w:type="dxa"/>
            <w:vAlign w:val="bottom"/>
            <w:gridSpan w:val="2"/>
            <w:vMerge w:val="continue"/>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Lesley Ann Calhoun</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Executive Vice President, Chief Financial Officer</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w w:val="93"/>
              </w:rPr>
              <w:t>March 23, 2021</w:t>
            </w:r>
          </w:p>
        </w:tc>
        <w:tc>
          <w:tcPr>
            <w:tcW w:w="0" w:type="dxa"/>
            <w:vAlign w:val="bottom"/>
          </w:tcPr>
          <w:p>
            <w:pPr>
              <w:spacing w:after="0"/>
              <w:rPr>
                <w:sz w:val="1"/>
                <w:szCs w:val="1"/>
                <w:color w:val="auto"/>
              </w:rPr>
            </w:pPr>
          </w:p>
        </w:tc>
      </w:tr>
      <w:tr>
        <w:trPr>
          <w:trHeight w:val="82"/>
        </w:trPr>
        <w:tc>
          <w:tcPr>
            <w:tcW w:w="3720" w:type="dxa"/>
            <w:vAlign w:val="bottom"/>
            <w:vMerge w:val="restart"/>
          </w:tcPr>
          <w:p>
            <w:pPr>
              <w:jc w:val="center"/>
              <w:spacing w:after="0"/>
              <w:rPr>
                <w:sz w:val="20"/>
                <w:szCs w:val="20"/>
                <w:color w:val="auto"/>
              </w:rPr>
            </w:pPr>
            <w:r>
              <w:rPr>
                <w:rFonts w:ascii="Arial" w:cs="Arial" w:eastAsia="Arial" w:hAnsi="Arial"/>
                <w:sz w:val="16"/>
                <w:szCs w:val="16"/>
                <w:color w:val="auto"/>
                <w:w w:val="93"/>
              </w:rPr>
              <w:t>Lesley Ann Calhoun</w:t>
            </w:r>
          </w:p>
        </w:tc>
        <w:tc>
          <w:tcPr>
            <w:tcW w:w="120" w:type="dxa"/>
            <w:vAlign w:val="bottom"/>
          </w:tcPr>
          <w:p>
            <w:pPr>
              <w:spacing w:after="0"/>
              <w:rPr>
                <w:sz w:val="7"/>
                <w:szCs w:val="7"/>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(Principal Financial and Accounting Officer)</w:t>
            </w: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960" w:type="dxa"/>
            <w:vAlign w:val="bottom"/>
            <w:gridSpan w:val="2"/>
            <w:vMerge w:val="continue"/>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Leonid Beigelman</w:t>
            </w:r>
          </w:p>
        </w:tc>
        <w:tc>
          <w:tcPr>
            <w:tcW w:w="120" w:type="dxa"/>
            <w:vAlign w:val="bottom"/>
          </w:tcPr>
          <w:p>
            <w:pPr>
              <w:spacing w:after="0"/>
              <w:rPr>
                <w:sz w:val="24"/>
                <w:szCs w:val="24"/>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auto"/>
              </w:rPr>
              <w:t>President and Director</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w w:val="93"/>
              </w:rPr>
              <w:t>March 23, 2021</w:t>
            </w: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6"/>
                <w:szCs w:val="16"/>
                <w:color w:val="auto"/>
                <w:w w:val="92"/>
              </w:rPr>
              <w:t>Leonid Beigelman, Ph.D.</w:t>
            </w:r>
          </w:p>
        </w:tc>
        <w:tc>
          <w:tcPr>
            <w:tcW w:w="12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K. Peter Hirth</w:t>
            </w:r>
          </w:p>
        </w:tc>
        <w:tc>
          <w:tcPr>
            <w:tcW w:w="120" w:type="dxa"/>
            <w:vAlign w:val="bottom"/>
          </w:tcPr>
          <w:p>
            <w:pPr>
              <w:spacing w:after="0"/>
              <w:rPr>
                <w:sz w:val="24"/>
                <w:szCs w:val="24"/>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w w:val="93"/>
              </w:rPr>
              <w:t>March 23, 2021</w:t>
            </w: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6"/>
                <w:szCs w:val="16"/>
                <w:color w:val="auto"/>
                <w:w w:val="93"/>
              </w:rPr>
              <w:t>K. Peter Hirth, Ph.D.</w:t>
            </w:r>
          </w:p>
        </w:tc>
        <w:tc>
          <w:tcPr>
            <w:tcW w:w="12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Jack B. Nielsen</w:t>
            </w:r>
          </w:p>
        </w:tc>
        <w:tc>
          <w:tcPr>
            <w:tcW w:w="120" w:type="dxa"/>
            <w:vAlign w:val="bottom"/>
          </w:tcPr>
          <w:p>
            <w:pPr>
              <w:spacing w:after="0"/>
              <w:rPr>
                <w:sz w:val="24"/>
                <w:szCs w:val="24"/>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w w:val="93"/>
              </w:rPr>
              <w:t>March 23, 2021</w:t>
            </w: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6"/>
                <w:szCs w:val="16"/>
                <w:color w:val="auto"/>
                <w:w w:val="90"/>
              </w:rPr>
              <w:t>Jack B. Nielsen</w:t>
            </w:r>
          </w:p>
        </w:tc>
        <w:tc>
          <w:tcPr>
            <w:tcW w:w="12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Peter Moldt</w:t>
            </w:r>
          </w:p>
        </w:tc>
        <w:tc>
          <w:tcPr>
            <w:tcW w:w="120" w:type="dxa"/>
            <w:vAlign w:val="bottom"/>
          </w:tcPr>
          <w:p>
            <w:pPr>
              <w:spacing w:after="0"/>
              <w:rPr>
                <w:sz w:val="24"/>
                <w:szCs w:val="24"/>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w w:val="93"/>
              </w:rPr>
              <w:t>March 23, 2021</w:t>
            </w: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6"/>
                <w:szCs w:val="16"/>
                <w:color w:val="auto"/>
                <w:w w:val="93"/>
              </w:rPr>
              <w:t>Peter Moldt, Ph.D.</w:t>
            </w:r>
          </w:p>
        </w:tc>
        <w:tc>
          <w:tcPr>
            <w:tcW w:w="12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Carole Nuechterlein</w:t>
            </w:r>
          </w:p>
        </w:tc>
        <w:tc>
          <w:tcPr>
            <w:tcW w:w="120" w:type="dxa"/>
            <w:vAlign w:val="bottom"/>
          </w:tcPr>
          <w:p>
            <w:pPr>
              <w:spacing w:after="0"/>
              <w:rPr>
                <w:sz w:val="24"/>
                <w:szCs w:val="24"/>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w w:val="93"/>
              </w:rPr>
              <w:t>March 23, 2021</w:t>
            </w: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6"/>
                <w:szCs w:val="16"/>
                <w:color w:val="auto"/>
                <w:w w:val="93"/>
              </w:rPr>
              <w:t>Carole Nuechterlein</w:t>
            </w:r>
          </w:p>
        </w:tc>
        <w:tc>
          <w:tcPr>
            <w:tcW w:w="12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Thomas Woiwode</w:t>
            </w:r>
          </w:p>
        </w:tc>
        <w:tc>
          <w:tcPr>
            <w:tcW w:w="120" w:type="dxa"/>
            <w:vAlign w:val="bottom"/>
          </w:tcPr>
          <w:p>
            <w:pPr>
              <w:spacing w:after="0"/>
              <w:rPr>
                <w:sz w:val="24"/>
                <w:szCs w:val="24"/>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w w:val="93"/>
              </w:rPr>
              <w:t>March 23, 2021</w:t>
            </w: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6"/>
                <w:szCs w:val="16"/>
                <w:color w:val="auto"/>
                <w:w w:val="92"/>
              </w:rPr>
              <w:t>Thomas Woiwode, Ph.D.</w:t>
            </w:r>
          </w:p>
        </w:tc>
        <w:tc>
          <w:tcPr>
            <w:tcW w:w="12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Kathleen Sereda Glaub</w:t>
            </w:r>
          </w:p>
        </w:tc>
        <w:tc>
          <w:tcPr>
            <w:tcW w:w="120" w:type="dxa"/>
            <w:vAlign w:val="bottom"/>
          </w:tcPr>
          <w:p>
            <w:pPr>
              <w:spacing w:after="0"/>
              <w:rPr>
                <w:sz w:val="24"/>
                <w:szCs w:val="24"/>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auto"/>
              </w:rPr>
              <w:t>Director</w:t>
            </w:r>
          </w:p>
        </w:tc>
        <w:tc>
          <w:tcPr>
            <w:tcW w:w="2440" w:type="dxa"/>
            <w:vAlign w:val="bottom"/>
            <w:vMerge w:val="restart"/>
          </w:tcPr>
          <w:p>
            <w:pPr>
              <w:jc w:val="center"/>
              <w:spacing w:after="0"/>
              <w:rPr>
                <w:sz w:val="20"/>
                <w:szCs w:val="20"/>
                <w:color w:val="auto"/>
              </w:rPr>
            </w:pPr>
            <w:r>
              <w:rPr>
                <w:rFonts w:ascii="Arial" w:cs="Arial" w:eastAsia="Arial" w:hAnsi="Arial"/>
                <w:sz w:val="16"/>
                <w:szCs w:val="16"/>
                <w:color w:val="auto"/>
                <w:w w:val="93"/>
              </w:rPr>
              <w:t>March 23, 2021</w:t>
            </w: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6"/>
                <w:szCs w:val="16"/>
                <w:color w:val="auto"/>
                <w:w w:val="90"/>
              </w:rPr>
              <w:t>Kathleen Sereda Glaub</w:t>
            </w:r>
          </w:p>
        </w:tc>
        <w:tc>
          <w:tcPr>
            <w:tcW w:w="12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337"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4.3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Description of Capital Stock</w:t>
      </w:r>
    </w:p>
    <w:p>
      <w:pPr>
        <w:spacing w:after="0" w:line="95" w:lineRule="exact"/>
        <w:rPr>
          <w:sz w:val="20"/>
          <w:szCs w:val="20"/>
          <w:color w:val="auto"/>
        </w:rPr>
      </w:pPr>
    </w:p>
    <w:p>
      <w:pPr>
        <w:ind w:right="160"/>
        <w:spacing w:after="0"/>
        <w:rPr>
          <w:sz w:val="20"/>
          <w:szCs w:val="20"/>
          <w:color w:val="auto"/>
        </w:rPr>
      </w:pPr>
      <w:r>
        <w:rPr>
          <w:rFonts w:ascii="Arial" w:cs="Arial" w:eastAsia="Arial" w:hAnsi="Arial"/>
          <w:sz w:val="18"/>
          <w:szCs w:val="18"/>
          <w:i w:val="1"/>
          <w:iCs w:val="1"/>
          <w:color w:val="auto"/>
        </w:rPr>
        <w:t>The following summary describes the capital stock of Aligos Therapeutics, Inc. (the “Company,” “we,” “us” and “our”) and the material provisions of our amended and restated certificate of incorporation and our amended and restated bylaws,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are incorporated by reference as Exhibits 3.1, 3.2 and 10.4, respectively, to our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authorized capital stock consists of 300,000,000 shares of common stock, $0.0001 par value per share, 20,000,000 shares of non-voting common stock, $0.0001 par value per share, and 10,000,000 shares of preferred stock, $0.0001 par value per share.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and Non-Voting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holders of our common stock and non-voting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and (ii) holders of our common stock have no conversion rights, while holders of our non-voting common stock have the right to convert each share of non-voting common stock into one share of common stock at such holder’s election, provided that as a result of such conversion, such holder, together with its affiliates and any members of a Schedule 13(d) group with such holder, would not beneficially own in excess of 4.99% of our common stock immediately prior to and following such conversion, unless otherwise expressly provided for in our amended and restated certificate of incorporation. However, this ownership limitation may be increased to any other percentage designated by such holder of non-voting common stock upon 61 days’ notice to us or decreased at any time upon notice to us.</w:t>
      </w:r>
    </w:p>
    <w:p>
      <w:pPr>
        <w:spacing w:after="0" w:line="9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such as the provisions relating to amending our amended and restated bylaws, our classified board and director liability.</w:t>
      </w:r>
    </w:p>
    <w:p>
      <w:pPr>
        <w:spacing w:after="0" w:line="9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and non-voting common stock are entitled to receive dividends, if any, as may be declared from time to time by our board of directors out of legally available funds.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the event of our liquidation, dissolution or winding up, holders of our common stock and non-voting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US-DOCS\121972707.2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Holders of our common stock and non-voting common stock have no preemptive, conversion, subscription or other rights, and there are no redemption or sinking fund provisions applicable to our common stock or non-voting common stock. The rights, preferences and privileges of the holders of our common stock and non-voting common stock are subject to and may be adversely affected by the rights of the holders of shares of any series of our preferred stock that we may designate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All of our outstanding shares of common stock and non-voting common stock are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3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our amended and restated investors’ rights agreement, certain holders of shares of common stock and non-voting common stock, or their transferees, have the right to require us to register their shares under the Securities Act of 1933, as amended, so that those shares may be publicly resold, and certain holders of shares of common stock and non-voting common stock, or their transferees, have the right to include their shares in any registration statement we file, in each case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S-1 Demand Registration Rights</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Certain holders of shares of our common stock and non-voting common stock, or their transferees, are entitled to certain Form S-1 demand registration rights. Beginning April 14, 2021, the holders of at least 30% of these shares can request that we register all or a portion of their shares (including the shares of common stock into which any shares of non-voting common stock held by such investors may be converted), so long as such holders request that we register at least 20% of the shares entitled to these demand registration rights and the aggregate proceeds, net of underwriting discounts and commissions, would exceed $ 20 million if the first offering or $5 million after the first offering. These stockholders may make up to two requests for registration on Form S-1.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Demand Registration Rights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Certain holders of shares of our common stock and non-voting stock, or their transferees, are entitled to certain Form S-3 demand registration rights. If we are eligible to use a Form S-3 registration statement, the holders of these shares can request that we register all or a portion of their shares on a Form S-3 registration statement if the anticipated aggregate offering price is at least $2 million, net of underwriting discounts and commissions and certain other expenses related to the sale of the shares. These stockholders may make unlimited requests for registration on Form S-3, provided that we are not obligated to effect, or take any action to effect, a registration on Form S-3 if we have effected two registrations on Form S-3 pursuant to requests by these stockholders within the twelve month period immediately preceding such request.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US-DOCS\121972707.2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event that we determine to register any of our common stock under the Securities Act of 1933, as amended, (subject to certain exceptions), either for our own account or for the account of other security holders, certain holders of shares of our common stock and non-voting common stock or their transferees will be entitled to certain “piggyback” registration rights allowing the holders to include their shares in such registration, subject to certain marketing and other limitations and the conversion of non-voting common stock into shares of common stock prior to registration thereof. As a result, whenever we propose to file a registration statement under the Securities Act of 1933, as amended, other than with respect to certain registrations, including related to the sale of securities to employees pursuant to employee benefit plans, the offer and sale of convertible debt securities, an SEC Rule 145 transaction, or a registration on any form that does not include substantially the same information as would be required to be included in a registration statement covering the sale of the registerable shares, the holders of these shares are entitled to notice of the registration and have the right to include their shares of common stock in the registration. In an underwritten offering, the underwriters have the right, subject to specified conditions, to limit the number of shares such holders may include.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will pay the registration expenses, excluding underwriting discounts and commissions and certain other expenses, of the holders of the shares registered pursuant to the Form S-1 demand, Form S-3 demand and piggyback registration rights described above, including the reasonable expenses of one counsel for the selling holders not to exceed $50,000.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6"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 Form S-1 demand, Form S-3 demand and piggyback registration rights described above will terminate, with respect to any particular stockholder, upon the earlier of (i) three years after the consummation of our initial public offering, (ii) the date that Rule 144 or another similar exemption under the Securities Act of 1933, as amended, is available to such stockholder for the sale of all of such stockholder’s shares without limitation during a three-month period, or (iii) upon the consummation of a merger or consolidation.</w:t>
      </w:r>
    </w:p>
    <w:p>
      <w:pPr>
        <w:spacing w:after="0" w:line="173" w:lineRule="exact"/>
        <w:rPr>
          <w:sz w:val="20"/>
          <w:szCs w:val="20"/>
          <w:color w:val="auto"/>
        </w:rPr>
      </w:pPr>
    </w:p>
    <w:p>
      <w:pPr>
        <w:ind w:right="160"/>
        <w:spacing w:after="0" w:line="261" w:lineRule="auto"/>
        <w:rPr>
          <w:sz w:val="20"/>
          <w:szCs w:val="20"/>
          <w:color w:val="auto"/>
        </w:rPr>
      </w:pPr>
      <w:r>
        <w:rPr>
          <w:rFonts w:ascii="Arial" w:cs="Arial" w:eastAsia="Arial" w:hAnsi="Arial"/>
          <w:sz w:val="22"/>
          <w:szCs w:val="22"/>
          <w:b w:val="1"/>
          <w:bCs w:val="1"/>
          <w:color w:val="auto"/>
        </w:rPr>
        <w:t>Anti-takeover Effects of Provisions of our Amended and Restated Certificate of Incorporation, our Amended and Restated Bylaws and Delaware Law</w:t>
      </w:r>
    </w:p>
    <w:p>
      <w:pPr>
        <w:spacing w:after="0" w:line="7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26"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US-DOCS\121972707.2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8" w:name="page169"/>
    <w:bookmarkEnd w:id="168"/>
    <w:p>
      <w:pPr>
        <w:ind w:right="140"/>
        <w:spacing w:after="0" w:line="238" w:lineRule="auto"/>
        <w:rPr>
          <w:sz w:val="20"/>
          <w:szCs w:val="20"/>
          <w:color w:val="auto"/>
        </w:rPr>
      </w:pPr>
      <w:r>
        <w:rPr>
          <w:rFonts w:ascii="Arial" w:cs="Arial" w:eastAsia="Arial" w:hAnsi="Arial"/>
          <w:sz w:val="18"/>
          <w:szCs w:val="18"/>
          <w:color w:val="auto"/>
        </w:rPr>
        <w:t>“interested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institute a change of control of our company. These and other provisions may have the effect of deterring hostile takeovers or delaying changes in control or management of our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26"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Our amended and restated bylaws provide that a special meeting of stockholders may only be called by our board of directors, Chief Executive Officer or, in the absence of a chief executive officer, our President.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26"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Our amended and restated certificate of incorporation and our amended and restated bylaws eliminate the right of stockholders to act by written consent without a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is divided into three classes. The directors in each class serve for a three-year term, one class being elected each year by our stockholders.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our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US-DOCS\121972707.2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69" w:name="page170"/>
    <w:bookmarkEnd w:id="169"/>
    <w:p>
      <w:pPr>
        <w:ind w:right="180"/>
        <w:spacing w:after="0" w:line="246" w:lineRule="auto"/>
        <w:rPr>
          <w:sz w:val="20"/>
          <w:szCs w:val="20"/>
          <w:color w:val="auto"/>
        </w:rPr>
      </w:pPr>
      <w:r>
        <w:rPr>
          <w:rFonts w:ascii="Arial" w:cs="Arial" w:eastAsia="Arial" w:hAnsi="Arial"/>
          <w:sz w:val="18"/>
          <w:szCs w:val="18"/>
          <w:color w:val="auto"/>
        </w:rPr>
        <w:t>federal district courts of the United States of America are the exclusive forum for the resolution of any complaint asserting a cause of action against us or any of our directors, officers, employees or agents and arising under the Securities Act of 1933, as amended.</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would not apply to suits brought to enforce any liability or duty created by the Securities Exchange Act of 1934, as amended.</w:t>
      </w:r>
    </w:p>
    <w:p>
      <w:pPr>
        <w:spacing w:after="0" w:line="97"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Our exclusive forum provision does not relieve us of our duties to comply with the federal securities laws and the rules and regulations thereunder, and our stockholders are not deemed to have waived our compliance with these laws, rules and regulations.</w:t>
      </w:r>
    </w:p>
    <w:p>
      <w:pPr>
        <w:spacing w:after="0" w:line="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Provisions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Nasdaq Global Select Market Listing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“ALGS.”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3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transfer agent and registrar for our common stock is Continental Stock Transfer &amp; Trust Co. The transfer agent and registrar’s address is 1 State Street, 30th Floor, New York, NY 10004.</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US-DOCS\121972707.2</w:t>
      </w:r>
    </w:p>
    <w:p>
      <w:pPr>
        <w:sectPr>
          <w:pgSz w:w="11900" w:h="16838" w:orient="portrait"/>
          <w:cols w:equalWidth="0" w:num="1">
            <w:col w:w="11240"/>
          </w:cols>
          <w:pgMar w:left="320" w:top="463"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 (Form S-8 No. 333-249568) pertaining to the 2018 Equity Incentive Plan, 2020 Incentive Award Plan, and 2020 Employee Stock Purchase Plan of Aligos Therapeutics, Inc. of our report dated March 23, 2021, with respect to the consolidated financial statements of Aligos Therapeutics, Inc. included in this Annual Report (Form 10-K) for the year ended December 31,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Lawrence M. Blatt, Ph.D., certify that:</w:t>
      </w:r>
    </w:p>
    <w:p>
      <w:pPr>
        <w:spacing w:after="0" w:line="225" w:lineRule="exact"/>
        <w:rPr>
          <w:sz w:val="20"/>
          <w:szCs w:val="20"/>
          <w:color w:val="auto"/>
        </w:rPr>
      </w:pPr>
    </w:p>
    <w:p>
      <w:pPr>
        <w:ind w:left="620" w:hanging="612"/>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Aligos Therapeutics,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80" w:hanging="612"/>
        <w:spacing w:after="0" w:line="277"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March 23, 2021</w:t>
            </w:r>
          </w:p>
        </w:tc>
        <w:tc>
          <w:tcPr>
            <w:tcW w:w="2300" w:type="dxa"/>
            <w:vAlign w:val="bottom"/>
          </w:tcPr>
          <w:p>
            <w:pPr>
              <w:ind w:left="196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Lawrence M. Blatt</w:t>
            </w:r>
          </w:p>
        </w:tc>
      </w:tr>
      <w:tr>
        <w:trPr>
          <w:trHeight w:val="222"/>
        </w:trPr>
        <w:tc>
          <w:tcPr>
            <w:tcW w:w="35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2"/>
              </w:rPr>
              <w:t>Lawrence M. Blatt, Ph.D.</w:t>
            </w:r>
          </w:p>
        </w:tc>
      </w:tr>
      <w:tr>
        <w:trPr>
          <w:trHeight w:val="216"/>
        </w:trPr>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351"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Lesley Ann Calhoun, certify that:</w:t>
      </w:r>
    </w:p>
    <w:p>
      <w:pPr>
        <w:spacing w:after="0" w:line="225" w:lineRule="exact"/>
        <w:rPr>
          <w:sz w:val="20"/>
          <w:szCs w:val="20"/>
          <w:color w:val="auto"/>
        </w:rPr>
      </w:pPr>
    </w:p>
    <w:p>
      <w:pPr>
        <w:ind w:left="620" w:hanging="612"/>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Aligos Therapeutics,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80" w:hanging="612"/>
        <w:spacing w:after="0" w:line="277" w:lineRule="auto"/>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40" w:hanging="612"/>
        <w:spacing w:after="0" w:line="342" w:lineRule="auto"/>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440" w:val="left"/>
          <w:tab w:leader="none" w:pos="7600" w:val="left"/>
        </w:tabs>
        <w:rPr>
          <w:sz w:val="20"/>
          <w:szCs w:val="20"/>
          <w:color w:val="auto"/>
        </w:rPr>
      </w:pPr>
      <w:r>
        <w:rPr>
          <w:rFonts w:ascii="Arial" w:cs="Arial" w:eastAsia="Arial" w:hAnsi="Arial"/>
          <w:sz w:val="18"/>
          <w:szCs w:val="18"/>
          <w:color w:val="auto"/>
        </w:rPr>
        <w:t>Date: March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721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Lesley Ann Calhoun</w:t>
      </w:r>
    </w:p>
    <w:p>
      <w:pPr>
        <w:spacing w:after="0" w:line="77"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Executive Vice President, Chief Financial Officer</w:t>
      </w:r>
    </w:p>
    <w:p>
      <w:pPr>
        <w:spacing w:after="0" w:line="6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5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connection with the Annual Report of Aligos Therapeutics, Inc. (the “Company”) on Form 10-K for the period ended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right="780" w:hanging="440"/>
        <w:spacing w:after="0" w:line="27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3" w:lineRule="exact"/>
        <w:rPr>
          <w:sz w:val="20"/>
          <w:szCs w:val="20"/>
          <w:color w:val="auto"/>
        </w:rPr>
      </w:pPr>
    </w:p>
    <w:tbl>
      <w:tblPr>
        <w:tblLayout w:type="fixed"/>
        <w:tblInd w:w="714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Lawrence M. Blatt</w:t>
            </w:r>
          </w:p>
        </w:tc>
      </w:tr>
      <w:tr>
        <w:trPr>
          <w:trHeight w:val="195"/>
        </w:trPr>
        <w:tc>
          <w:tcPr>
            <w:tcW w:w="50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3"/>
              </w:rPr>
              <w:t>Lawrence M. Blatt, Ph.D.</w:t>
            </w:r>
          </w:p>
        </w:tc>
      </w:tr>
      <w:tr>
        <w:trPr>
          <w:trHeight w:val="216"/>
        </w:trPr>
        <w:tc>
          <w:tcPr>
            <w:tcW w:w="5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5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351"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connection with the Annual Report of Aligos Therapeutics, Inc. (the “Company”) on Form 10-K for the period ended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880" w:hanging="440"/>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80" w:right="700" w:hanging="440"/>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3" w:lineRule="exact"/>
        <w:rPr>
          <w:sz w:val="20"/>
          <w:szCs w:val="20"/>
          <w:color w:val="auto"/>
        </w:rPr>
      </w:pPr>
    </w:p>
    <w:tbl>
      <w:tblPr>
        <w:tblLayout w:type="fixed"/>
        <w:tblInd w:w="714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Lesley Ann Calhoun</w:t>
            </w:r>
          </w:p>
        </w:tc>
      </w:tr>
      <w:tr>
        <w:trPr>
          <w:trHeight w:val="195"/>
        </w:trPr>
        <w:tc>
          <w:tcPr>
            <w:tcW w:w="50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Lesley Ann Calhoun</w:t>
            </w:r>
          </w:p>
        </w:tc>
      </w:tr>
      <w:tr>
        <w:trPr>
          <w:trHeight w:val="216"/>
        </w:trPr>
        <w:tc>
          <w:tcPr>
            <w:tcW w:w="5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Financial Officer</w:t>
            </w:r>
          </w:p>
        </w:tc>
      </w:tr>
      <w:tr>
        <w:trPr>
          <w:trHeight w:val="230"/>
        </w:trPr>
        <w:tc>
          <w:tcPr>
            <w:tcW w:w="5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lowerRoman"/>
      <w:start w:val="3"/>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2"/>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decimal"/>
      <w:start w:val="2"/>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2"/>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06" Type="http://schemas.openxmlformats.org/officeDocument/2006/relationships/hyperlink" Target="http://www.sec.gov/Archives/edgar/data/1799448/000119312520272852/d46540dex31.htm" TargetMode="External"/><Relationship Id="rId207" Type="http://schemas.openxmlformats.org/officeDocument/2006/relationships/hyperlink" Target="http://www.sec.gov/Archives/edgar/data/1799448/000119312520272852/d46540dex32.htm" TargetMode="External"/><Relationship Id="rId208" Type="http://schemas.openxmlformats.org/officeDocument/2006/relationships/hyperlink" Target="http://www.sec.gov/Archives/edgar/data/1799448/000119312520267346/d31402dex42.htm" TargetMode="External"/><Relationship Id="rId209" Type="http://schemas.openxmlformats.org/officeDocument/2006/relationships/hyperlink" Target="http://www.sec.gov/Archives/edgar/data/1799448/000119312520254760/d31402dex101a.htm" TargetMode="External"/><Relationship Id="rId210" Type="http://schemas.openxmlformats.org/officeDocument/2006/relationships/hyperlink" Target="http://www.sec.gov/Archives/edgar/data/1799448/000119312520254760/d31402dex101b.htm" TargetMode="External"/><Relationship Id="rId211" Type="http://schemas.openxmlformats.org/officeDocument/2006/relationships/hyperlink" Target="http://www.sec.gov/Archives/edgar/data/1799448/000119312520254760/d31402dex102a.htm" TargetMode="External"/><Relationship Id="rId212" Type="http://schemas.openxmlformats.org/officeDocument/2006/relationships/hyperlink" Target="http://www.sec.gov/Archives/edgar/data/1799448/000119312520254760/d31402dex102b.htm" TargetMode="External"/><Relationship Id="rId213" Type="http://schemas.openxmlformats.org/officeDocument/2006/relationships/hyperlink" Target="http://www.sec.gov/Archives/edgar/data/1799448/000119312520254760/d31402dex103.htm" TargetMode="External"/><Relationship Id="rId214" Type="http://schemas.openxmlformats.org/officeDocument/2006/relationships/hyperlink" Target="http://www.sec.gov/Archives/edgar/data/1799448/000119312520267346/d31402dex104.htm" TargetMode="External"/><Relationship Id="rId215" Type="http://schemas.openxmlformats.org/officeDocument/2006/relationships/hyperlink" Target="http://www.sec.gov/Archives/edgar/data/1799448/000119312520254760/d31402dex105a.htm" TargetMode="External"/><Relationship Id="rId216" Type="http://schemas.openxmlformats.org/officeDocument/2006/relationships/hyperlink" Target="http://www.sec.gov/Archives/edgar/data/1799448/000119312520254760/d31402dex105b.htm" TargetMode="External"/><Relationship Id="rId217" Type="http://schemas.openxmlformats.org/officeDocument/2006/relationships/hyperlink" Target="http://www.sec.gov/Archives/edgar/data/1799448/000119312520254760/d31402dex105c.htm" TargetMode="External"/><Relationship Id="rId218" Type="http://schemas.openxmlformats.org/officeDocument/2006/relationships/hyperlink" Target="http://www.sec.gov/Archives/edgar/data/1799448/000119312520254760/d31402dex105d.htm" TargetMode="External"/><Relationship Id="rId219" Type="http://schemas.openxmlformats.org/officeDocument/2006/relationships/hyperlink" Target="http://www.sec.gov/Archives/edgar/data/1799448/000119312520267346/d31402dex106a.htm" TargetMode="External"/><Relationship Id="rId220" Type="http://schemas.openxmlformats.org/officeDocument/2006/relationships/hyperlink" Target="http://www.sec.gov/Archives/edgar/data/1799448/000119312520267346/d31402dex106b.htm" TargetMode="External"/><Relationship Id="rId221" Type="http://schemas.openxmlformats.org/officeDocument/2006/relationships/hyperlink" Target="http://www.sec.gov/Archives/edgar/data/1799448/000119312520267346/d31402dex106c.htm" TargetMode="External"/><Relationship Id="rId222" Type="http://schemas.openxmlformats.org/officeDocument/2006/relationships/hyperlink" Target="http://www.sec.gov/Archives/edgar/data/1799448/000119312520267346/d31402dex106d.htm" TargetMode="External"/><Relationship Id="rId223" Type="http://schemas.openxmlformats.org/officeDocument/2006/relationships/hyperlink" Target="http://www.sec.gov/Archives/edgar/data/1799448/000119312520267346/d31402dex107.htm" TargetMode="External"/><Relationship Id="rId224" Type="http://schemas.openxmlformats.org/officeDocument/2006/relationships/hyperlink" Target="http://www.sec.gov/Archives/edgar/data/1799448/000119312520267346/d31402dex108.htm" TargetMode="External"/><Relationship Id="rId225" Type="http://schemas.openxmlformats.org/officeDocument/2006/relationships/hyperlink" Target="http://www.sec.gov/Archives/edgar/data/1799448/000119312520267346/d31402dex109.htm" TargetMode="External"/><Relationship Id="rId226" Type="http://schemas.openxmlformats.org/officeDocument/2006/relationships/hyperlink" Target="http://www.sec.gov/Archives/edgar/data/1799448/000119312520267346/d31402dex1010.htm" TargetMode="External"/><Relationship Id="rId227" Type="http://schemas.openxmlformats.org/officeDocument/2006/relationships/hyperlink" Target="http://www.sec.gov/Archives/edgar/data/1799448/000119312520267346/d31402dex1011.htm" TargetMode="External"/><Relationship Id="rId230" Type="http://schemas.openxmlformats.org/officeDocument/2006/relationships/hyperlink" Target="http://www.sec.gov/Archives/edgar/data/1799448/000119312520267346/d31402dex1012.htm" TargetMode="External"/><Relationship Id="rId231" Type="http://schemas.openxmlformats.org/officeDocument/2006/relationships/hyperlink" Target="http://www.sec.gov/Archives/edgar/data/1799448/000119312520254760/d3140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2021-03-25T17:17:27Z</dcterms:created>
  <dcterms:modified xsi:type="dcterms:W3CDTF">2021-03-25T17:17:27Z</dcterms:modified>
</cp:coreProperties>
</file>