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ind w:left="2380" w:right="800" w:hanging="2367"/>
        <w:spacing w:after="0" w:line="336" w:lineRule="auto"/>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214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74295</wp:posOffset>
            </wp:positionV>
            <wp:extent cx="1748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2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42"/>
          <w:szCs w:val="42"/>
          <w:b w:val="1"/>
          <w:bCs w:val="1"/>
          <w:color w:val="auto"/>
        </w:rPr>
        <w:t>Aligos Therapeutics, Inc.</w:t>
      </w:r>
    </w:p>
    <w:p>
      <w:pPr>
        <w:spacing w:after="0" w:line="60" w:lineRule="exact"/>
        <w:rPr>
          <w:sz w:val="24"/>
          <w:szCs w:val="24"/>
          <w:color w:val="auto"/>
        </w:rPr>
      </w:pPr>
    </w:p>
    <w:tbl>
      <w:tblPr>
        <w:tblLayout w:type="fixed"/>
        <w:tblInd w:w="320" w:type="dxa"/>
        <w:tblCellMar>
          <w:top w:w="0" w:type="dxa"/>
          <w:left w:w="0" w:type="dxa"/>
          <w:bottom w:w="0" w:type="dxa"/>
          <w:right w:w="0" w:type="dxa"/>
        </w:tblCellMar>
      </w:tblPr>
      <w:tr>
        <w:trPr>
          <w:trHeight w:val="238"/>
        </w:trPr>
        <w:tc>
          <w:tcPr>
            <w:tcW w:w="62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20" w:type="dxa"/>
            <w:vAlign w:val="bottom"/>
          </w:tcPr>
          <w:p>
            <w:pPr>
              <w:spacing w:after="0"/>
              <w:rPr>
                <w:sz w:val="20"/>
                <w:szCs w:val="20"/>
                <w:color w:val="auto"/>
              </w:rPr>
            </w:pPr>
          </w:p>
        </w:tc>
      </w:tr>
      <w:tr>
        <w:trPr>
          <w:trHeight w:val="253"/>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82-4724808</w:t>
            </w:r>
          </w:p>
        </w:tc>
      </w:tr>
      <w:tr>
        <w:trPr>
          <w:trHeight w:val="135"/>
        </w:trPr>
        <w:tc>
          <w:tcPr>
            <w:tcW w:w="6220" w:type="dxa"/>
            <w:vAlign w:val="bottom"/>
          </w:tcPr>
          <w:p>
            <w:pPr>
              <w:jc w:val="center"/>
              <w:ind w:right="368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20" w:type="dxa"/>
            <w:vAlign w:val="bottom"/>
          </w:tcPr>
          <w:p>
            <w:pPr>
              <w:jc w:val="center"/>
              <w:ind w:left="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20" w:type="dxa"/>
            <w:vAlign w:val="bottom"/>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8"/>
                <w:szCs w:val="18"/>
                <w:b w:val="1"/>
                <w:bCs w:val="1"/>
                <w:color w:val="auto"/>
                <w:w w:val="99"/>
              </w:rPr>
              <w:t>One Corporate Drive, 2nd Floor</w:t>
            </w:r>
          </w:p>
        </w:tc>
        <w:tc>
          <w:tcPr>
            <w:tcW w:w="1120" w:type="dxa"/>
            <w:vAlign w:val="bottom"/>
          </w:tcPr>
          <w:p>
            <w:pPr>
              <w:spacing w:after="0"/>
              <w:rPr>
                <w:sz w:val="22"/>
                <w:szCs w:val="22"/>
                <w:color w:val="auto"/>
              </w:rPr>
            </w:pPr>
          </w:p>
        </w:tc>
      </w:tr>
      <w:tr>
        <w:trPr>
          <w:trHeight w:val="232"/>
        </w:trPr>
        <w:tc>
          <w:tcPr>
            <w:tcW w:w="6220" w:type="dxa"/>
            <w:vAlign w:val="bottom"/>
          </w:tcPr>
          <w:p>
            <w:pPr>
              <w:jc w:val="center"/>
              <w:ind w:right="3682"/>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6"/>
        </w:trPr>
        <w:tc>
          <w:tcPr>
            <w:tcW w:w="6220" w:type="dxa"/>
            <w:vAlign w:val="bottom"/>
          </w:tcPr>
          <w:p>
            <w:pPr>
              <w:jc w:val="center"/>
              <w:ind w:right="366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20" w:type="dxa"/>
            <w:vAlign w:val="bottom"/>
          </w:tcPr>
          <w:p>
            <w:pPr>
              <w:jc w:val="center"/>
              <w:ind w:left="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105410</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p>
      <w:pPr>
        <w:sectPr>
          <w:pgSz w:w="11900" w:h="16838" w:orient="portrait"/>
          <w:cols w:equalWidth="0" w:num="2">
            <w:col w:w="940" w:space="320"/>
            <w:col w:w="9980"/>
          </w:cols>
          <w:pgMar w:left="320" w:top="1045"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00" w:type="dxa"/>
            <w:vAlign w:val="bottom"/>
          </w:tcPr>
          <w:p>
            <w:pPr>
              <w:spacing w:after="0"/>
              <w:rPr>
                <w:sz w:val="13"/>
                <w:szCs w:val="13"/>
                <w:color w:val="auto"/>
              </w:rPr>
            </w:pPr>
          </w:p>
        </w:tc>
        <w:tc>
          <w:tcPr>
            <w:tcW w:w="43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7"/>
        </w:trPr>
        <w:tc>
          <w:tcPr>
            <w:tcW w:w="4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16"/>
                <w:szCs w:val="16"/>
                <w:color w:val="auto"/>
              </w:rPr>
            </w:pPr>
          </w:p>
        </w:tc>
        <w:tc>
          <w:tcPr>
            <w:tcW w:w="2260" w:type="dxa"/>
            <w:vAlign w:val="bottom"/>
          </w:tcPr>
          <w:p>
            <w:pPr>
              <w:ind w:left="880"/>
              <w:spacing w:after="0" w:line="188" w:lineRule="exact"/>
              <w:rPr>
                <w:sz w:val="20"/>
                <w:szCs w:val="20"/>
                <w:color w:val="auto"/>
              </w:rPr>
            </w:pPr>
            <w:r>
              <w:rPr>
                <w:rFonts w:ascii="Times New Roman" w:cs="Times New Roman" w:eastAsia="Times New Roman" w:hAnsi="Times New Roman"/>
                <w:sz w:val="18"/>
                <w:szCs w:val="18"/>
                <w:b w:val="1"/>
                <w:bCs w:val="1"/>
                <w:color w:val="auto"/>
              </w:rPr>
              <w:t>ALGS</w:t>
            </w:r>
          </w:p>
        </w:tc>
        <w:tc>
          <w:tcPr>
            <w:tcW w:w="100" w:type="dxa"/>
            <w:vAlign w:val="bottom"/>
          </w:tcPr>
          <w:p>
            <w:pPr>
              <w:spacing w:after="0"/>
              <w:rPr>
                <w:sz w:val="16"/>
                <w:szCs w:val="16"/>
                <w:color w:val="auto"/>
              </w:rPr>
            </w:pPr>
          </w:p>
        </w:tc>
        <w:tc>
          <w:tcPr>
            <w:tcW w:w="4360" w:type="dxa"/>
            <w:vAlign w:val="bottom"/>
          </w:tcPr>
          <w:p>
            <w:pPr>
              <w:jc w:val="right"/>
              <w:ind w:right="879"/>
              <w:spacing w:after="0" w:line="188"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238"/>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(Nasdaq Capital Market)</w:t>
            </w:r>
          </w:p>
        </w:tc>
      </w:tr>
    </w:tbl>
    <w:p>
      <w:pPr>
        <w:spacing w:after="0" w:line="63"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6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right="120" w:firstLine="509"/>
        <w:spacing w:after="0" w:line="255"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7"/>
          <w:szCs w:val="17"/>
          <w:color w:val="auto"/>
        </w:rPr>
        <w:t>s of October 31, 2025, the registrant had 6,153,582 shares of common stock, $0.0001 par value per share, outstanding, comprised of 5,353,582 shares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voting common stock, $0.0001 par value per share and 800,000 shares of non-voting common stock, $0.0001 par value per share. This number does not include 4,217,432 shares of common stock issuable upon the exercise of pre-funded warrants outstanding as of October 31, 2025 (which are immediately exercisable at an exercise price of $0.0025 and $0.0001 per share of common stock, respectively, subject to beneficial ownership limitations) sold in the Registrant’s private placement on October 23, 2023 and February 13, 2025. See Note 7 — Common Warrants and Pre-Funded Warrants to the Registrant’s unaudited condensed consolidated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and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our drug candidates and any future drug candidates, if approved for commercial use;</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our ability to obtain additional capital and our ability to continue as a going concern;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5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(the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17" w:lineRule="exact"/>
        <w:rPr>
          <w:sz w:val="20"/>
          <w:szCs w:val="20"/>
          <w:color w:val="auto"/>
        </w:rPr>
      </w:pPr>
    </w:p>
    <w:p>
      <w:pPr>
        <w:ind w:left="1020" w:right="2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 for a full fiscal year.</w:t>
      </w:r>
    </w:p>
    <w:p>
      <w:pPr>
        <w:spacing w:after="0" w:line="117"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and our ability to continue as a going concern.</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23"/>
                <w:szCs w:val="23"/>
                <w:color w:val="auto"/>
              </w:rPr>
            </w:pPr>
          </w:p>
        </w:tc>
        <w:tc>
          <w:tcPr>
            <w:tcW w:w="5720" w:type="dxa"/>
            <w:vAlign w:val="bottom"/>
            <w:gridSpan w:val="10"/>
          </w:tcPr>
          <w:p>
            <w:pPr>
              <w:spacing w:after="0"/>
              <w:rPr>
                <w:sz w:val="23"/>
                <w:szCs w:val="2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(Deficit)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4"/>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680" w:type="dxa"/>
            <w:vAlign w:val="bottom"/>
            <w:tcBorders>
              <w:left w:val="single" w:sz="8" w:color="0000FF"/>
            </w:tcBorders>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vMerge w:val="continue"/>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9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12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Pr>
          <w:p>
            <w:pPr>
              <w:spacing w:after="0"/>
              <w:rPr>
                <w:sz w:val="18"/>
                <w:szCs w:val="18"/>
                <w:color w:val="auto"/>
              </w:rPr>
            </w:pPr>
          </w:p>
        </w:tc>
      </w:tr>
      <w:tr>
        <w:trPr>
          <w:trHeight w:val="20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r>
      <w:tr>
        <w:trPr>
          <w:trHeight w:val="249"/>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109,764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FF0FC"/>
          </w:tcPr>
          <w:p>
            <w:pPr>
              <w:spacing w:after="0"/>
              <w:rPr>
                <w:sz w:val="21"/>
                <w:szCs w:val="21"/>
                <w:color w:val="auto"/>
              </w:rPr>
            </w:pPr>
          </w:p>
        </w:tc>
      </w:tr>
      <w:tr>
        <w:trPr>
          <w:trHeight w:val="197"/>
        </w:trPr>
        <w:tc>
          <w:tcPr>
            <w:tcW w:w="76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liability</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99,067</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September 30, 2025 and</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 no shares issued and outstanding as of September 30, 2025 and</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115,800,000 shares and 20,800,000 shares authorized as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2025 and December 31, 2024, respectively; 6,153,507 and 3,864,436 shares issued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16"/>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693,689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588,576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(622,320)</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(618,008)</w:t>
            </w:r>
          </w:p>
        </w:tc>
      </w:tr>
      <w:tr>
        <w:trPr>
          <w:trHeight w:val="216"/>
        </w:trPr>
        <w:tc>
          <w:tcPr>
            <w:tcW w:w="7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(28,973)</w:t>
            </w:r>
          </w:p>
        </w:tc>
      </w:tr>
      <w:tr>
        <w:trPr>
          <w:trHeight w:val="20"/>
        </w:trPr>
        <w:tc>
          <w:tcPr>
            <w:tcW w:w="7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100" w:type="dxa"/>
            <w:vAlign w:val="bottom"/>
            <w:shd w:val="clear" w:color="auto" w:fill="CFF0FC"/>
          </w:tcPr>
          <w:p>
            <w:pPr>
              <w:spacing w:after="0"/>
              <w:rPr>
                <w:sz w:val="19"/>
                <w:szCs w:val="19"/>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-3933825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-3916680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2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71,907</w:t>
            </w:r>
          </w:p>
        </w:tc>
        <w:tc>
          <w:tcPr>
            <w:tcW w:w="100" w:type="dxa"/>
            <w:vAlign w:val="bottom"/>
          </w:tcPr>
          <w:p>
            <w:pPr>
              <w:spacing w:after="0"/>
              <w:rPr>
                <w:sz w:val="18"/>
                <w:szCs w:val="18"/>
                <w:color w:val="auto"/>
              </w:rPr>
            </w:pPr>
          </w:p>
        </w:tc>
      </w:tr>
      <w:tr>
        <w:trPr>
          <w:trHeight w:val="209"/>
        </w:trPr>
        <w:tc>
          <w:tcPr>
            <w:tcW w:w="5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(28,361)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(20,131)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(66,171)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(68,591)</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FF0FC"/>
          </w:tcPr>
          <w:p>
            <w:pPr>
              <w:spacing w:after="0"/>
              <w:rPr>
                <w:sz w:val="18"/>
                <w:szCs w:val="18"/>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(19,168)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(48,757)</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52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(49,061)</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8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03"/>
        </w:trPr>
        <w:tc>
          <w:tcPr>
            <w:tcW w:w="522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gain</w:t>
            </w:r>
          </w:p>
        </w:tc>
        <w:tc>
          <w:tcPr>
            <w:tcW w:w="8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auto"/>
            </w:tcBorders>
            <w:shd w:val="clear" w:color="auto" w:fill="CFF0FC"/>
          </w:tcPr>
          <w:p>
            <w:pPr>
              <w:spacing w:after="0"/>
              <w:rPr>
                <w:sz w:val="17"/>
                <w:szCs w:val="17"/>
                <w:color w:val="auto"/>
              </w:rPr>
            </w:pPr>
          </w:p>
        </w:tc>
        <w:tc>
          <w:tcPr>
            <w:tcW w:w="90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auto"/>
            </w:tcBorders>
            <w:shd w:val="clear" w:color="auto" w:fill="CFF0FC"/>
          </w:tcPr>
          <w:p>
            <w:pPr>
              <w:spacing w:after="0"/>
              <w:rPr>
                <w:sz w:val="17"/>
                <w:szCs w:val="17"/>
                <w:color w:val="auto"/>
              </w:rPr>
            </w:pPr>
          </w:p>
        </w:tc>
        <w:tc>
          <w:tcPr>
            <w:tcW w:w="800" w:type="dxa"/>
            <w:vAlign w:val="bottom"/>
            <w:tcBorders>
              <w:top w:val="single" w:sz="8" w:color="CFF0FC"/>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(19,176)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(49,029)</w:t>
            </w:r>
          </w:p>
        </w:tc>
      </w:tr>
      <w:tr>
        <w:trPr>
          <w:trHeight w:val="20"/>
        </w:trPr>
        <w:tc>
          <w:tcPr>
            <w:tcW w:w="5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2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4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4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(7.84)</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10,369,535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6,272,291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9,716,895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6,258,706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-1888490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-1888490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-1888490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-1888490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-1322705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-1322705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-1322705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-1322705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-1039495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-1039495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-1039495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-1039495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-456565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-456565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-615315</wp:posOffset>
            </wp:positionV>
            <wp:extent cx="939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-615315</wp:posOffset>
            </wp:positionV>
            <wp:extent cx="939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tbl>
      <w:tblPr>
        <w:tblLayout w:type="fixed"/>
        <w:tblInd w:w="0" w:type="dxa"/>
        <w:tblCellMar>
          <w:top w:w="0" w:type="dxa"/>
          <w:left w:w="0" w:type="dxa"/>
          <w:bottom w:w="0" w:type="dxa"/>
          <w:right w:w="0" w:type="dxa"/>
        </w:tblCellMar>
      </w:tblPr>
      <w:tr>
        <w:trPr>
          <w:trHeight w:val="151"/>
        </w:trPr>
        <w:tc>
          <w:tcPr>
            <w:tcW w:w="3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36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9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3,864,436</w:t>
            </w:r>
          </w:p>
        </w:tc>
        <w:tc>
          <w:tcPr>
            <w:tcW w:w="116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588,576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(618,008)</w:t>
            </w:r>
          </w:p>
        </w:tc>
        <w:tc>
          <w:tcPr>
            <w:tcW w:w="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(28,973)</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RSU vesting</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146,468</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exercise of pre-funded warrants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pre-funded warrants</w:t>
            </w: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common warrants in connection with 2025</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2,103,307</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PIPE offering</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Costs related to 2025 PIPE offering</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30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March 31, 2025</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6,114,801</w:t>
            </w:r>
          </w:p>
        </w:tc>
        <w:tc>
          <w:tcPr>
            <w:tcW w:w="1160" w:type="dxa"/>
            <w:vAlign w:val="bottom"/>
            <w:gridSpan w:val="2"/>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3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690,909</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(574,920)</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447</w:t>
            </w:r>
          </w:p>
        </w:tc>
        <w:tc>
          <w:tcPr>
            <w:tcW w:w="140" w:type="dxa"/>
            <w:vAlign w:val="bottom"/>
          </w:tcPr>
          <w:p>
            <w:pPr>
              <w:spacing w:after="0"/>
              <w:rPr>
                <w:sz w:val="12"/>
                <w:szCs w:val="12"/>
                <w:color w:val="auto"/>
              </w:rPr>
            </w:pPr>
          </w:p>
        </w:tc>
        <w:tc>
          <w:tcPr>
            <w:tcW w:w="1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related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36,473</w:t>
            </w:r>
          </w:p>
        </w:tc>
        <w:tc>
          <w:tcPr>
            <w:tcW w:w="200" w:type="dxa"/>
            <w:vAlign w:val="bottom"/>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related to the PIPE offering</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(15,863)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June 30,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6,151,274</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692,220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(590,783)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8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related</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20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RSU vesting</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gain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(31,537)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(31,537)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September 30,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6,153,507</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693,689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(622,320)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71,833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-1953895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-1953895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-1953895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-1953895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-1953895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-1953895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-890905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-890905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-890905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-890905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36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9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3,003,855</w:t>
            </w:r>
          </w:p>
        </w:tc>
        <w:tc>
          <w:tcPr>
            <w:tcW w:w="116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578,325</w:t>
            </w:r>
          </w:p>
        </w:tc>
        <w:tc>
          <w:tcPr>
            <w:tcW w:w="3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(486,797)</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92,080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pre-</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22,771</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funded warrants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from</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RSU vesting and settlement</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(34,863)</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(34,863)</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March 31, 2024</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3,026,723</w:t>
            </w:r>
          </w:p>
        </w:tc>
        <w:tc>
          <w:tcPr>
            <w:tcW w:w="1160" w:type="dxa"/>
            <w:vAlign w:val="bottom"/>
            <w:gridSpan w:val="2"/>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580,973</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(521,660)</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476</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59,796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Issuance of common stock related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22,438</w:t>
            </w: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pre-</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142,264</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funded warrants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gain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5,061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June 30,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3,191,425</w:t>
            </w:r>
          </w:p>
        </w:tc>
        <w:tc>
          <w:tcPr>
            <w:tcW w:w="1160" w:type="dxa"/>
            <w:vAlign w:val="bottom"/>
            <w:gridSpan w:val="2"/>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583,326</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(516,599)</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67,229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upon exercise of pre-</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128,578</w:t>
            </w:r>
          </w:p>
        </w:tc>
        <w:tc>
          <w:tcPr>
            <w:tcW w:w="220" w:type="dxa"/>
            <w:vAlign w:val="bottom"/>
            <w:tcBorders>
              <w:top w:val="single" w:sz="8" w:color="CFF0FC"/>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funded warrants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awards</w:t>
            </w:r>
          </w:p>
        </w:tc>
        <w:tc>
          <w:tcPr>
            <w:tcW w:w="1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gain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(19,259)</w:t>
            </w: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(19,259)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as of September 30, 2024</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3,324,780</w:t>
            </w:r>
          </w:p>
        </w:tc>
        <w:tc>
          <w:tcPr>
            <w:tcW w:w="1160" w:type="dxa"/>
            <w:vAlign w:val="bottom"/>
            <w:gridSpan w:val="2"/>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585,369</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(535,858)</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-2065020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-2065020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-2065020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-2065020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-2065020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-908050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-890905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-908050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-890905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-908050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-890905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-908050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-890905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-908050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-890905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9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(49,061)</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 cash lease expense</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(58,971)</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(16,001)</w:t>
            </w: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(2,681)</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(2,295)</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(1,966)</w:t>
            </w: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r>
      <w:tr>
        <w:trPr>
          <w:trHeight w:val="20"/>
        </w:trPr>
        <w:tc>
          <w:tcPr>
            <w:tcW w:w="7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(60,758)</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(62,340)</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Activities in available-for-sale investments: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(125,460)</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(108,149)</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7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(35,805)</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(38,251)</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198"/>
        </w:trPr>
        <w:tc>
          <w:tcPr>
            <w:tcW w:w="79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common warrants and pre-funded warrants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connection with PIPE Offering, net of costs</w:t>
            </w: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the ESPP purchase</w:t>
            </w: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r>
      <w:tr>
        <w:trPr>
          <w:trHeight w:val="210"/>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(100,333)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37,107</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135,774</w:t>
            </w:r>
          </w:p>
        </w:tc>
        <w:tc>
          <w:tcPr>
            <w:tcW w:w="120" w:type="dxa"/>
            <w:vAlign w:val="bottom"/>
          </w:tcPr>
          <w:p>
            <w:pPr>
              <w:spacing w:after="0"/>
              <w:rPr>
                <w:sz w:val="18"/>
                <w:szCs w:val="18"/>
                <w:color w:val="auto"/>
              </w:rPr>
            </w:pPr>
          </w:p>
        </w:tc>
      </w:tr>
      <w:tr>
        <w:trPr>
          <w:trHeight w:val="210"/>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-2117090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-2117090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-1276350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-582295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520" w:right="7720" w:hanging="512"/>
        <w:spacing w:after="0" w:line="440" w:lineRule="auto"/>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83" w:lineRule="exact"/>
        <w:rPr>
          <w:sz w:val="20"/>
          <w:szCs w:val="20"/>
          <w:color w:val="auto"/>
        </w:rPr>
      </w:pPr>
    </w:p>
    <w:p>
      <w:pPr>
        <w:ind w:right="700" w:firstLine="509"/>
        <w:spacing w:after="0" w:line="312" w:lineRule="auto"/>
        <w:rPr>
          <w:sz w:val="20"/>
          <w:szCs w:val="20"/>
          <w:color w:val="auto"/>
        </w:rPr>
      </w:pPr>
      <w:r>
        <w:rPr>
          <w:rFonts w:ascii="Times New Roman" w:cs="Times New Roman" w:eastAsia="Times New Roman" w:hAnsi="Times New Roman"/>
          <w:sz w:val="17"/>
          <w:szCs w:val="17"/>
          <w:color w:val="auto"/>
        </w:rPr>
        <w:t>Aligos is a clinical-stage biotechnology company developing novel therapeutics to address unmet medical needs in liver and viral diseases, including for chronic hepatitis B virus (HBV) infection, obesity, metabolic dysfunction associated steatohepatitis (MASH), and coronaviruses.</w:t>
      </w:r>
    </w:p>
    <w:p>
      <w:pPr>
        <w:spacing w:after="0" w:line="3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and follow the requirements of the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a fair statement of the Company’s consolidated financial information. The condensed consolidated financial statements include the accounts of the Company and its wholly owned subsidiaries. All intercompany balances and transactions have been eliminated in consolidation. Interim-period results are not necessarily indicative of results of operations or cash flows for a full year or any subsequent interim period. The balance sheet as of December 31, 2024 is derived from the audited consolidated financial statements at that date but does not include all of the information required by U.S. GAAP for complete consolidated financial statements.</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1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the Company evaluated whether there are conditions and events, considered in the aggregate, that raise substantial doubt about its ability to continue as a going concern within one year of the date that the condensed financial statements are issued.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the Company had cash, cash equivalents and short-term investments of $99.1 million and an accumulated deficit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$622.3 million. The Company has incurred recurring losses from operations and negative cash flows from operating activities. The Company expects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cash, cash equivalents and short-term investments will be sufficient to fund current planned operations into the third quarter of 2026, which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year from the date of filing this Quarterly Report on Form 10-Q. The Company plans to raise substantial additional capital to continue as a 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 including through a combination of public or private equity offerings, third-party funding, collaborations, strategic alliances, and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In addition, the Company is evaluating future financing opportunities, and intends to secure additional funding.</w:t>
      </w:r>
    </w:p>
    <w:p>
      <w:pPr>
        <w:spacing w:after="0" w:line="12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However, there can be no assurance that any additional financing will be available to the Company on acceptable terms, if at all. If events or circumstances occur such that the Company does not obtain additional funding, it may be necessary to significantly reduce its scope of operations to reduce the current rate of spending, which could include reductions in staff and the need to delay, limit, reduce or terminate current or future product development, which could have a material adverse effect on the Company’s business, results of operations and financial condition. Moreover, even if financing efforts are successful and additional capital is obtained, available liquidity may still be insufficient to eliminate the aforementioned substantial doubt regarding the Company’s ability to continue as a going concern.</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the Company will continue to operate as 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ind w:right="40"/>
        <w:spacing w:after="0" w:line="266" w:lineRule="auto"/>
        <w:rPr>
          <w:sz w:val="20"/>
          <w:szCs w:val="20"/>
          <w:color w:val="auto"/>
        </w:rPr>
      </w:pPr>
      <w:r>
        <w:rPr>
          <w:rFonts w:ascii="Times New Roman" w:cs="Times New Roman" w:eastAsia="Times New Roman" w:hAnsi="Times New Roman"/>
          <w:sz w:val="18"/>
          <w:szCs w:val="18"/>
          <w:color w:val="auto"/>
        </w:rPr>
        <w:t>going concern, which contemplates the realization of assets and the settlement of liabilities in the normal course of business. The condensed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financial information should be read in conjunction with the audited consolidated financial statements and the related notes thereto included in the Company’s Annual Report on Form 10-K for the year ended December 31, 2024 filed with the SEC on March 10, 2025 (the 2024 Form 10-K).</w:t>
      </w:r>
    </w:p>
    <w:p>
      <w:pPr>
        <w:spacing w:after="0" w:line="68"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Certain amounts previously reported in Condensed Consolidated Statements of Operations and Comprehensive Loss for the three and nine months ended September 30, 2025 have been reclassified to conform to the current period presentation, with respect to the separate presentation of the change in fair value of 2023 Common Warrants in the amount of $0.1 million and $16.0 million, respectively, previously included in Interest and other income, net. The reclassification had no impact on our net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right="7380" w:hanging="512"/>
        <w:spacing w:after="0" w:line="378" w:lineRule="auto"/>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it believes to be reasonable under the circumstances. These estimates form the basis for making judgments about the carrying values of assets and liabilities when these values are not readily apparent from other sources. Accounting estimates and judgments are inherently uncertain, and actual results could differ from these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No material changes were made to the Company’s significant accounting policies disclosed in Note 2. Summary of significant accounting policies, in its 2024 Form 10-K.</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i.e. after December 31, 2025.</w:t>
      </w:r>
    </w:p>
    <w:p>
      <w:pPr>
        <w:spacing w:after="0" w:line="79" w:lineRule="exact"/>
        <w:rPr>
          <w:sz w:val="20"/>
          <w:szCs w:val="20"/>
          <w:color w:val="auto"/>
        </w:rPr>
      </w:pPr>
    </w:p>
    <w:p>
      <w:pPr>
        <w:ind w:right="140" w:firstLine="509"/>
        <w:spacing w:after="0" w:line="239" w:lineRule="exact"/>
        <w:rPr>
          <w:sz w:val="20"/>
          <w:szCs w:val="20"/>
          <w:color w:val="auto"/>
        </w:rPr>
      </w:pPr>
      <w:r>
        <w:rPr>
          <w:rFonts w:ascii="Times New Roman" w:cs="Times New Roman" w:eastAsia="Times New Roman" w:hAnsi="Times New Roman"/>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2024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2" w:name="page13"/>
    <w:bookmarkEnd w:id="12"/>
    <w:p>
      <w:pPr>
        <w:ind w:left="520" w:right="8600" w:hanging="512"/>
        <w:spacing w:after="0" w:line="400" w:lineRule="auto"/>
        <w:tabs>
          <w:tab w:leader="none" w:pos="5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Property and equipment</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property and equipment as of September 30, 2025 and December 31, 2024 were as follows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0"/>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at cost</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(11,782)</w:t>
            </w:r>
          </w:p>
        </w:tc>
      </w:tr>
      <w:tr>
        <w:trPr>
          <w:trHeight w:val="20"/>
        </w:trPr>
        <w:tc>
          <w:tcPr>
            <w:tcW w:w="4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net</w:t>
            </w: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$0.2 million and $0.7 million for the three and nine months ended September 30, 2025 and $0.3 million and $0.8 million for the three and nine months ended September 30, 2024. Finance leases are also included in property and equipment as vehicles and lab equipment on the Condensed Consolidated Balance Sheets.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expenses</w:t>
            </w: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amortized cost, gross unrealized gains and losses, and estimated fair values of total fixed-maturity securities were as follows (in thousands):</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110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5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bonds</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57,115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57,150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0"/>
                <w:szCs w:val="10"/>
                <w:color w:val="auto"/>
              </w:rPr>
            </w:pPr>
          </w:p>
        </w:tc>
        <w:tc>
          <w:tcPr>
            <w:tcW w:w="110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5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Treasury bonds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19,942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None of our short-term investments are in an unrealized loss position. Changes in fair value are related to changes in market interest rates. The Company expects to collect all contractual principal and interest payments and does not intend to sell the investments before recovery of their amortized cost bases. As of September 30, 2025, all investments had a remaining maturity of less than one year.</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interest income of $0.4 million and $1.6 million for the three and nine months ended September 30, 2025, and $0.5 million and $1.4 million for the three and nine months ended September 30, 2024. The Company recorded accrued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interest receivable of $143.0 thousand for the three months ended September 30, 2025. There was no accrued interest receivable as of December 31, 2024.</w:t>
      </w:r>
    </w:p>
    <w:p>
      <w:pPr>
        <w:spacing w:after="0" w:line="221"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5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9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(13,396)</w:t>
            </w:r>
          </w:p>
        </w:tc>
      </w:tr>
      <w:tr>
        <w:trPr>
          <w:trHeight w:val="20"/>
        </w:trPr>
        <w:tc>
          <w:tcPr>
            <w:tcW w:w="7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(13,396)</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20"/>
        </w:trPr>
        <w:tc>
          <w:tcPr>
            <w:tcW w:w="7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60" w:type="dxa"/>
            <w:vAlign w:val="bottom"/>
          </w:tcPr>
          <w:p>
            <w:pPr>
              <w:spacing w:after="0"/>
              <w:rPr>
                <w:sz w:val="12"/>
                <w:szCs w:val="12"/>
                <w:color w:val="auto"/>
              </w:rPr>
            </w:pPr>
          </w:p>
        </w:tc>
        <w:tc>
          <w:tcPr>
            <w:tcW w:w="9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 common warrants liability</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(72,367)</w:t>
            </w:r>
          </w:p>
        </w:tc>
      </w:tr>
      <w:tr>
        <w:trPr>
          <w:trHeight w:val="20"/>
        </w:trPr>
        <w:tc>
          <w:tcPr>
            <w:tcW w:w="7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(72,367)</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-1182370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-1165225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-1165225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June 25, 2025, the Company's stockholders approved an amendment to the Company's Amended and Restated Certificate of Incorporation to increase the number of authorized shares of voting common stock from 20,000,000 shares to 100,000,000 shares and to increase the number of authorized shares of non-voting common stock from 800,000 shares to 15,800,000 shares.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holders of shares of voting common stock are entitled to one vote for each share of common stock at all meetings of stockholders.</w:t>
      </w:r>
    </w:p>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Warrants and Pre-Funded Warrants</w:t>
      </w:r>
    </w:p>
    <w:p>
      <w:pPr>
        <w:spacing w:after="0" w:line="22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2025 PIPE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2025, the Company closed its private investment in public equity (PIPE) offering (the 2025 Private Placement)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ind w:right="60"/>
        <w:spacing w:after="0" w:line="219" w:lineRule="exact"/>
        <w:rPr>
          <w:sz w:val="20"/>
          <w:szCs w:val="20"/>
          <w:color w:val="auto"/>
        </w:rPr>
      </w:pPr>
      <w:r>
        <w:rPr>
          <w:rFonts w:ascii="Times New Roman" w:cs="Times New Roman" w:eastAsia="Times New Roman" w:hAnsi="Times New Roman"/>
          <w:sz w:val="18"/>
          <w:szCs w:val="18"/>
          <w:color w:val="auto"/>
        </w:rPr>
        <w:t>entered into a securities purchase agreement with certain investors (the 2025 Securities Purchase Agreement) that resulted in gross proceeds of $105.0 million. In the 2025 Private Placement, the Company issued (i) 2,103,307 shares of the Company’s common stock (the Common Stock), par value $0.0001 per share,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1,922,511 shares of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$101.4 million, after deducting the placement agent fees and expenses and offering costs.</w:t>
      </w:r>
    </w:p>
    <w:p>
      <w:pPr>
        <w:spacing w:after="0" w:line="90"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 xml:space="preserve">The Company accounts for the 2025 Common Warrants and 2025 Pre-Funded Warrants in Stockholders Equity (Deficit) on the Condensed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Accounting Standards Codification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based on the terms in the 2025 Securities Purchase Agreement.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2023 PIPE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$0.0001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Pre-Funded Warrants outstanding at December 31, 2024 and September 30, 2025:</w:t>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c>
          <w:tcPr>
            <w:tcW w:w="29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360" w:type="dxa"/>
            <w:vAlign w:val="bottom"/>
            <w:shd w:val="clear" w:color="auto" w:fill="CFF0FC"/>
          </w:tcPr>
          <w:p>
            <w:pPr>
              <w:spacing w:after="0"/>
              <w:rPr>
                <w:sz w:val="18"/>
                <w:szCs w:val="18"/>
                <w:color w:val="auto"/>
              </w:rPr>
            </w:pPr>
          </w:p>
        </w:tc>
        <w:tc>
          <w:tcPr>
            <w:tcW w:w="2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1,922,511</w:t>
            </w:r>
          </w:p>
        </w:tc>
        <w:tc>
          <w:tcPr>
            <w:tcW w:w="3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(146,484)</w:t>
            </w: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(800,613)</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4,217,432</w:t>
            </w:r>
          </w:p>
        </w:tc>
        <w:tc>
          <w:tcPr>
            <w:tcW w:w="360" w:type="dxa"/>
            <w:vAlign w:val="bottom"/>
            <w:shd w:val="clear" w:color="auto" w:fill="CFF0FC"/>
          </w:tcPr>
          <w:p>
            <w:pPr>
              <w:spacing w:after="0"/>
              <w:rPr>
                <w:sz w:val="18"/>
                <w:szCs w:val="18"/>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-290830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7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 issued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 exercised</w:t>
            </w: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(58,971)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6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520" w:type="dxa"/>
            <w:vAlign w:val="bottom"/>
          </w:tcPr>
          <w:p>
            <w:pPr>
              <w:spacing w:after="0"/>
              <w:rPr>
                <w:sz w:val="24"/>
                <w:szCs w:val="24"/>
                <w:color w:val="auto"/>
              </w:rPr>
            </w:pPr>
          </w:p>
        </w:tc>
        <w:tc>
          <w:tcPr>
            <w:tcW w:w="348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right"/>
              <w:ind w:right="1853"/>
              <w:spacing w:after="0"/>
              <w:rPr>
                <w:sz w:val="20"/>
                <w:szCs w:val="20"/>
                <w:color w:val="auto"/>
              </w:rPr>
            </w:pPr>
            <w:r>
              <w:rPr>
                <w:rFonts w:ascii="Times New Roman" w:cs="Times New Roman" w:eastAsia="Times New Roman" w:hAnsi="Times New Roman"/>
                <w:sz w:val="18"/>
                <w:szCs w:val="18"/>
                <w:color w:val="auto"/>
                <w:w w:val="99"/>
              </w:rPr>
              <w:t>10</w:t>
            </w:r>
          </w:p>
        </w:tc>
        <w:tc>
          <w:tcPr>
            <w:tcW w:w="62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-916940</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-916940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2023 Common Warrants was measured using the Black Scholes option pricing model and will be remeasured each reporting period, and the change in fair value will be recorded in earnings. The assumptions that the Company used to determine the fair value at the reporting date were as follows:</w:t>
      </w: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09"/>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44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FF0FC"/>
          </w:tcPr>
          <w:p>
            <w:pPr>
              <w:spacing w:after="0"/>
              <w:rPr>
                <w:sz w:val="18"/>
                <w:szCs w:val="18"/>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3.76%</w:t>
            </w:r>
          </w:p>
        </w:tc>
        <w:tc>
          <w:tcPr>
            <w:tcW w:w="2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91.20%</w:t>
            </w:r>
          </w:p>
        </w:tc>
        <w:tc>
          <w:tcPr>
            <w:tcW w:w="2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84.62%</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2023 and 2025 Common Warrants outstanding at September 30, 2025:</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c>
          <w:tcPr>
            <w:tcW w:w="25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the beginning of the year</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2,012,909</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(48,822)</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the end of the period</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360" w:type="dxa"/>
            <w:vAlign w:val="bottom"/>
            <w:tcBorders>
              <w:top w:val="single" w:sz="8" w:color="CFF0FC"/>
            </w:tcBorders>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tcBorders>
              <w:top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the end of the period</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4,213,767</w:t>
            </w:r>
          </w:p>
        </w:tc>
        <w:tc>
          <w:tcPr>
            <w:tcW w:w="2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-290830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-290830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520" w:right="6340" w:hanging="512"/>
        <w:spacing w:after="0" w:line="393"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Incentive Awards and Stock-based Compensation </w:t>
      </w:r>
      <w:r>
        <w:rPr>
          <w:rFonts w:ascii="Times New Roman" w:cs="Times New Roman" w:eastAsia="Times New Roman" w:hAnsi="Times New Roman"/>
          <w:sz w:val="18"/>
          <w:szCs w:val="18"/>
          <w:b w:val="1"/>
          <w:bCs w:val="1"/>
          <w:i w:val="1"/>
          <w:iCs w:val="1"/>
          <w:color w:val="auto"/>
        </w:rPr>
        <w:t>Stock options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 activity during the nine months ended September 30, 2025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1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6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627,685</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(43,798)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1,678,221</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September 30,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September 30,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398,541</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60" w:type="dxa"/>
            <w:vAlign w:val="bottom"/>
          </w:tcPr>
          <w:p>
            <w:pPr>
              <w:spacing w:after="0"/>
              <w:rPr>
                <w:sz w:val="24"/>
                <w:szCs w:val="24"/>
                <w:color w:val="auto"/>
              </w:rPr>
            </w:pPr>
          </w:p>
        </w:tc>
        <w:tc>
          <w:tcPr>
            <w:tcW w:w="46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75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Restricted stock unit activity during the nine months ended September 30, 2025 is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2024</w:t>
            </w:r>
          </w:p>
        </w:tc>
        <w:tc>
          <w:tcPr>
            <w:tcW w:w="1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2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Issued and unvested as of September 30, 2025</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-2922270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-2922270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-2630805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-2630805</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-1062355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-1062355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three and nine months ended September 30, 2025 and 2024 (in thousands):</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ind w:left="520" w:right="7660" w:hanging="512"/>
        <w:spacing w:after="0" w:line="377" w:lineRule="auto"/>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b w:val="1"/>
          <w:bCs w:val="1"/>
          <w:i w:val="1"/>
          <w:iCs w:val="1"/>
          <w:color w:val="auto"/>
        </w:rPr>
        <w:t>Agreement with Amoytop</w:t>
      </w:r>
    </w:p>
    <w:p>
      <w:pPr>
        <w:spacing w:after="0" w:line="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and Amoytop Biotech Co., Ltd (Amoytop) entered into a Research Collaboration and Development Agreement (the Amoytop Agreement) with a focus on nucleic acid technology for HBV treatment, with the Company granting to Amoytop an exclusive, time-limited option to enter into an exclusive, territory-limited license to develop and commercialize such compounds. Under the terms of the agreement, the Company received an upfront payment of $7.0 million, less withholding taxes of $1.1 million from Amoytop. With respect to the agreement, the Company is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and Amoytop entered into an extension to the Amoytop Agreement, covering work performed through January 2025. Under the terms of the agreement, the Company received an upfront payment of $1.5 million, which was recognized from the second quarter of 2024 through the first quarter of 2025.</w:t>
      </w:r>
    </w:p>
    <w:p>
      <w:pPr>
        <w:spacing w:after="0" w:line="6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May 2025, the Company and Amoytop entered into an additional extension to the Amoytop Agreement, covering work performed through approximately November 2025. Under the terms of the agreement, the Company received an upfront payment of $1.0 million, which is expected to be recognized from the second quarter of 2025 through the fourth quarter of 2025.</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September 2025, Amoytop exercised its option to obtain an exclusive, territory-limited license to one compound developed under the Amoytop Agreement, with the right to choose such compound among four identified candidates following the completion of the work outlined in the May 2025 extension.</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Amoytop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$0.7 million and $2.0 million, respectively, in revenue from customers related to upfront payments. During the three and nine months ended September 30, 2024, the Company recognized $1.3 million and $3.0 million, respectively, in revenue from customers related to upfront payments. During the three months ended September 30, 2025 and 2024, the Company recognized no revenue from customers related to milestone payments. The unrecognized portion of the upfront payments received is recorded on the Condensed Consolidated Balance Sheets as “Deferred revenue, current”.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customers during the periods below (in thousands):</w:t>
      </w: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from customers as of January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customers recognized in the period</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revenue from customers as of September 30</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ADCT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200" w:lineRule="exact"/>
        <w:rPr>
          <w:sz w:val="20"/>
          <w:szCs w:val="20"/>
          <w:color w:val="auto"/>
        </w:rPr>
      </w:pPr>
    </w:p>
    <w:p>
      <w:pPr>
        <w:spacing w:after="0" w:line="20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In-licensing agreements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with Emory University (Emory)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w:t>
      </w:r>
    </w:p>
    <w:p>
      <w:pPr>
        <w:spacing w:after="0" w:line="7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During the three and nine months ended September 30, 2025 and 2024, the Company paid $9.0 million related to milestone payments due to the first subject dosed in a Phase 2 clinical trial. The Company also agreed to pay Emory tiered single-digit royalties on worldwide annual net sales of licensed products, on a quarterly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made no payments associated with royalties and recognized no expense or accruals.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Luxna Biotech Co., Ltd. (Luxna)</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w:t>
      </w:r>
    </w:p>
    <w:p>
      <w:pPr>
        <w:spacing w:after="0" w:line="72"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payments to Luxna, in aggregate, totaling up to but no more than $55.5 million upon the achievement of specified development, regulatory, and commercial milestones. During the three and nine months ended September 30, 2025 and 2024, the Company recognized no expenses related to milestone payments. The Company is also required to pay Luxna a low-single digit royalty percentage on net sale of applicable products, if any. During the three and nine months ended September 30, 2025 and 2024, the Company made no payments associated with royalties.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terminated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of the last valid patent claim covering the manufacture, use, sale or importation of the licensed product in a particular country or 10 years after the first commercial sale of a licensed product. During the three and nine months ended September 30, 2025, the Company made no payments of royalties or milestones.</w:t>
      </w:r>
    </w:p>
    <w:p>
      <w:pPr>
        <w:spacing w:after="0" w:line="200" w:lineRule="exact"/>
        <w:rPr>
          <w:sz w:val="20"/>
          <w:szCs w:val="20"/>
          <w:color w:val="auto"/>
        </w:rPr>
      </w:pPr>
    </w:p>
    <w:p>
      <w:pPr>
        <w:spacing w:after="0" w:line="30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9" w:name="page20"/>
    <w:bookmarkEnd w:id="19"/>
    <w:p>
      <w:pPr>
        <w:ind w:right="120"/>
        <w:spacing w:after="0" w:line="261" w:lineRule="auto"/>
        <w:rPr>
          <w:sz w:val="20"/>
          <w:szCs w:val="20"/>
          <w:color w:val="auto"/>
        </w:rPr>
      </w:pPr>
      <w:r>
        <w:rPr>
          <w:rFonts w:ascii="Times New Roman" w:cs="Times New Roman" w:eastAsia="Times New Roman" w:hAnsi="Times New Roman"/>
          <w:sz w:val="18"/>
          <w:szCs w:val="18"/>
          <w:color w:val="auto"/>
        </w:rPr>
        <w:t>and such expenditures can be reasonably estimated. Contingent liabilities requiring accrual were appropriately accrued as of September 30, 2025 and December 31, 2024. The Company enters into contracts in the normal course of business that includes arrangements with clinical research organizations, vendors for preclinical research and vendors for manufacturing. These agreements generally allow for cancellation with notice. As of September 30, 2025, the Company had no material non-cancellable purchase commitments.</w:t>
      </w:r>
    </w:p>
    <w:p>
      <w:pPr>
        <w:spacing w:after="0" w:line="17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income tax provision of $0.3 million for the nine months ended September 30, 2025, primarily related to the Company's international operations.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July 3, 2025, the President signed into law the One Big Beautiful Bill Act ("OBBBA"). ASC 740 requires the effects of changes in tax rates and laws on deferred tax balances to be recognized in the period in which the legislation is enacted. Consequently, the Company has concluded the OBBBA has an immaterial impact and it will be reflected in the Company's 2025 tax provision.</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has a history of losses in prior fiscal years and projects losses for the full year 2025. The Company continues to maintain a full valuation allowance on its net deferred tax assets.</w:t>
      </w:r>
    </w:p>
    <w:p>
      <w:pPr>
        <w:spacing w:after="0" w:line="15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The net loss per share is included in the Condensed Consolidated Statements of Operations and Comprehensive Loss. The Company excluded the following potential shares of Common Stock, presented based on amounts outstanding at each period end, from the computation of diluted net loss per share for the periods indicated because including them would have had an anti-dilutive effect:</w:t>
      </w:r>
    </w:p>
    <w:tbl>
      <w:tblPr>
        <w:tblLayout w:type="fixed"/>
        <w:tblInd w:w="300" w:type="dxa"/>
        <w:tblCellMar>
          <w:top w:w="0" w:type="dxa"/>
          <w:left w:w="0" w:type="dxa"/>
          <w:bottom w:w="0" w:type="dxa"/>
          <w:right w:w="0" w:type="dxa"/>
        </w:tblCellMar>
      </w:tblPr>
      <w:tr>
        <w:trPr>
          <w:trHeight w:val="133"/>
        </w:trPr>
        <w:tc>
          <w:tcPr>
            <w:tcW w:w="4420" w:type="dxa"/>
            <w:vAlign w:val="bottom"/>
          </w:tcPr>
          <w:p>
            <w:pPr>
              <w:spacing w:after="0"/>
              <w:rPr>
                <w:sz w:val="11"/>
                <w:szCs w:val="11"/>
                <w:color w:val="auto"/>
              </w:rPr>
            </w:pPr>
          </w:p>
        </w:tc>
        <w:tc>
          <w:tcPr>
            <w:tcW w:w="27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1"/>
                <w:szCs w:val="11"/>
                <w:color w:val="auto"/>
              </w:rPr>
            </w:pPr>
          </w:p>
        </w:tc>
        <w:tc>
          <w:tcPr>
            <w:tcW w:w="2060" w:type="dxa"/>
            <w:vAlign w:val="bottom"/>
            <w:gridSpan w:val="3"/>
          </w:tcPr>
          <w:p>
            <w:pPr>
              <w:jc w:val="center"/>
              <w:ind w:left="726"/>
              <w:spacing w:after="0" w:line="133"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4420" w:type="dxa"/>
            <w:vAlign w:val="bottom"/>
          </w:tcPr>
          <w:p>
            <w:pPr>
              <w:spacing w:after="0"/>
              <w:rPr>
                <w:sz w:val="15"/>
                <w:szCs w:val="15"/>
                <w:color w:val="auto"/>
              </w:rPr>
            </w:pPr>
          </w:p>
        </w:tc>
        <w:tc>
          <w:tcPr>
            <w:tcW w:w="1880" w:type="dxa"/>
            <w:vAlign w:val="bottom"/>
            <w:tcBorders>
              <w:bottom w:val="single" w:sz="8" w:color="auto"/>
            </w:tcBorders>
            <w:gridSpan w:val="3"/>
          </w:tcPr>
          <w:p>
            <w:pPr>
              <w:jc w:val="center"/>
              <w:ind w:left="7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060" w:type="dxa"/>
            <w:vAlign w:val="bottom"/>
            <w:tcBorders>
              <w:bottom w:val="single" w:sz="8" w:color="auto"/>
            </w:tcBorders>
            <w:gridSpan w:val="3"/>
          </w:tcPr>
          <w:p>
            <w:pPr>
              <w:jc w:val="center"/>
              <w:ind w:left="74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20" w:type="dxa"/>
            <w:vAlign w:val="bottom"/>
          </w:tcPr>
          <w:p>
            <w:pPr>
              <w:spacing w:after="0"/>
              <w:rPr>
                <w:sz w:val="12"/>
                <w:szCs w:val="12"/>
                <w:color w:val="auto"/>
              </w:rPr>
            </w:pPr>
          </w:p>
        </w:tc>
        <w:tc>
          <w:tcPr>
            <w:tcW w:w="1260" w:type="dxa"/>
            <w:vAlign w:val="bottom"/>
            <w:tcBorders>
              <w:bottom w:val="single" w:sz="8" w:color="auto"/>
            </w:tcBorders>
          </w:tcPr>
          <w:p>
            <w:pPr>
              <w:jc w:val="right"/>
              <w:ind w:right="42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340" w:type="dxa"/>
            <w:vAlign w:val="bottom"/>
            <w:tcBorders>
              <w:bottom w:val="single" w:sz="8" w:color="auto"/>
            </w:tcBorders>
          </w:tcPr>
          <w:p>
            <w:pPr>
              <w:jc w:val="right"/>
              <w:ind w:right="46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2"/>
                <w:szCs w:val="12"/>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1,678,221</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523,457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1,678,221</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523,457</w:t>
            </w:r>
          </w:p>
        </w:tc>
        <w:tc>
          <w:tcPr>
            <w:tcW w:w="10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76,861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00" w:type="dxa"/>
            <w:vAlign w:val="bottom"/>
          </w:tcPr>
          <w:p>
            <w:pPr>
              <w:spacing w:after="0"/>
              <w:rPr>
                <w:sz w:val="17"/>
                <w:szCs w:val="17"/>
                <w:color w:val="auto"/>
              </w:rPr>
            </w:pPr>
          </w:p>
        </w:tc>
      </w:tr>
      <w:tr>
        <w:trPr>
          <w:trHeight w:val="20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2,249,680</w:t>
            </w:r>
          </w:p>
        </w:tc>
        <w:tc>
          <w:tcPr>
            <w:tcW w:w="5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4,213,767</w:t>
            </w:r>
          </w:p>
        </w:tc>
        <w:tc>
          <w:tcPr>
            <w:tcW w:w="2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5,968,849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2,777,566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5,968,849</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2,777,566</w:t>
            </w:r>
          </w:p>
        </w:tc>
        <w:tc>
          <w:tcPr>
            <w:tcW w:w="1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-161925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-161925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-161925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-161925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chief operating decision maker (CODM), who is defined as the Company's Chairman, President and Chief Executive Officer, assesses performance for the Company’s single reportable segment and decides how to allocate resources based on the Company’s total operating expenses as reported on the Condensed Consolidated Statements of Operations and Comprehensive Loss.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loss as reported on the Condensed Consolidated Statements of Operations and Comprehensive Loss, shown in the table below. The significant expense categories are consistent with those presented on the face of the condensed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 Asset information is not regularly provided to the CODM for assessing performance and allocating resources other than consolidated cash, cash equivalents and short-term investments, which can be found on our Condensed Consolidated Balance Sheets.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7"/>
          <w:szCs w:val="17"/>
          <w:color w:val="auto"/>
        </w:rPr>
        <w:t>The following table provides segment revenues, significant segment expenses and reported segment net loss for the three and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(in thousands):</w:t>
      </w:r>
    </w:p>
    <w:p>
      <w:pPr>
        <w:spacing w:after="0" w:line="146"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customers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8"/>
                <w:szCs w:val="18"/>
                <w:color w:val="auto"/>
              </w:rPr>
            </w:pPr>
          </w:p>
        </w:tc>
      </w:tr>
      <w:tr>
        <w:trPr>
          <w:trHeight w:val="216"/>
        </w:trPr>
        <w:tc>
          <w:tcPr>
            <w:tcW w:w="4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Early-stage research and development</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(2,328)</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(2,747)</w:t>
            </w:r>
          </w:p>
        </w:tc>
      </w:tr>
      <w:tr>
        <w:trPr>
          <w:trHeight w:val="216"/>
        </w:trPr>
        <w:tc>
          <w:tcPr>
            <w:tcW w:w="4100" w:type="dxa"/>
            <w:vAlign w:val="bottom"/>
            <w:tcBorders>
              <w:right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Late-stage research and development</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(23,139)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(16,035)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(50,087)</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(51,491)</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(15,773)</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(17,669)</w:t>
            </w:r>
          </w:p>
        </w:tc>
      </w:tr>
      <w:tr>
        <w:trPr>
          <w:trHeight w:val="216"/>
        </w:trPr>
        <w:tc>
          <w:tcPr>
            <w:tcW w:w="410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(29,102)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(68,188)</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(71,907)</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8"/>
                <w:szCs w:val="18"/>
                <w:color w:val="auto"/>
              </w:rPr>
            </w:pPr>
          </w:p>
        </w:tc>
      </w:tr>
      <w:tr>
        <w:trPr>
          <w:trHeight w:val="216"/>
        </w:trPr>
        <w:tc>
          <w:tcPr>
            <w:tcW w:w="4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2023 common warrants</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(4,028)</w:t>
            </w: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(48,757)</w:t>
            </w:r>
          </w:p>
        </w:tc>
      </w:tr>
      <w:tr>
        <w:trPr>
          <w:trHeight w:val="216"/>
        </w:trPr>
        <w:tc>
          <w:tcPr>
            <w:tcW w:w="41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4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(31,537)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(4,312)</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(49,061)</w:t>
            </w:r>
          </w:p>
        </w:tc>
      </w:tr>
      <w:tr>
        <w:trPr>
          <w:trHeight w:val="20"/>
        </w:trPr>
        <w:tc>
          <w:tcPr>
            <w:tcW w:w="4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-170815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-170815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960" w:hanging="20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Early-stage research and development includes costs incurred from Discovery programs.</w:t>
      </w:r>
    </w:p>
    <w:p>
      <w:pPr>
        <w:spacing w:after="0" w:line="136" w:lineRule="exact"/>
        <w:rPr>
          <w:rFonts w:ascii="Times New Roman" w:cs="Times New Roman" w:eastAsia="Times New Roman" w:hAnsi="Times New Roman"/>
          <w:sz w:val="14"/>
          <w:szCs w:val="14"/>
          <w:color w:val="auto"/>
        </w:rPr>
      </w:pPr>
    </w:p>
    <w:p>
      <w:pPr>
        <w:ind w:left="960" w:hanging="20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Late-stage research and development includes costs incurred from Phase 1 and Phase 2 clinical trial programs.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 primarily generates revenue through its license and collaboration agreements (see Notes 9 and 10).</w:t>
      </w: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20" w:right="639" w:bottom="1440" w:gutter="0" w:footer="0" w:header="0"/>
        </w:sectPr>
      </w:pPr>
    </w:p>
    <w:bookmarkStart w:id="21" w:name="page22"/>
    <w:bookmarkEnd w:id="2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coronavirus infections (e.g.,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MERS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and other related infections) as well as obesity. The Aligos team has a demonstrated track record of success in early drug development and medicinal chemistry in liver and viral diseases, resulting in three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 currently in clinical development.</w:t>
      </w:r>
    </w:p>
    <w:p>
      <w:pPr>
        <w:spacing w:after="0" w:line="52" w:lineRule="exact"/>
        <w:rPr>
          <w:sz w:val="20"/>
          <w:szCs w:val="20"/>
          <w:color w:val="auto"/>
        </w:rPr>
      </w:pPr>
    </w:p>
    <w:p>
      <w:pPr>
        <w:ind w:right="60" w:firstLine="509"/>
        <w:spacing w:after="0" w:line="223" w:lineRule="exact"/>
        <w:rPr>
          <w:sz w:val="20"/>
          <w:szCs w:val="20"/>
          <w:color w:val="auto"/>
        </w:rPr>
      </w:pPr>
      <w:r>
        <w:rPr>
          <w:rFonts w:ascii="Times New Roman" w:cs="Times New Roman" w:eastAsia="Times New Roman" w:hAnsi="Times New Roman"/>
          <w:sz w:val="18"/>
          <w:szCs w:val="18"/>
          <w:color w:val="auto"/>
        </w:rPr>
        <w:t>Our pipeline of drug candidates includes pevifoscorvir sodium (previously known as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obesity and MASH,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a portfolio of preclinical programs. Pevifoscorvir sodium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which has shown in pre-clinical testing to have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greater HBV DNA suppression compared to the standard of care, nucleos(t)ide analogs (NAs), and has shown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Phase 1 clinical studies conducted to 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thyroid hormone receptor beta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obesity and MASH with pharmacologic properties that appear to be enhanced based on data to date vs. competitor THR-β agonists. Phase 2a topline data in MASH demonstrated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met the primary endpoint with statistically significant reductions in liver fat at Week 12 as measured by MRI-PDFF.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small molecule pan-coronavirus 3CL protease inhibitor (PI), which has been at least 3-fold more potent in cell-based assays of coronavirus infection than other approved CoV PIs and we believe can be dosed twice daily without the requirement for ritonavir co-dosing based on Phase 1 clinical studies conducted to date.</w:t>
      </w:r>
    </w:p>
    <w:p>
      <w:pPr>
        <w:spacing w:after="0" w:line="5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Pevifoscorvir sodium: Potential best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class small molecule CAM</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 for chronic hepatitis B virus infection</w:t>
      </w:r>
    </w:p>
    <w:p>
      <w:pPr>
        <w:spacing w:after="0" w:line="15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primary area of focus seeks to enhance the viral suppression and rate of functional cure for chronic HBV infection, which often results in life-threatening conditions such as cirrhosis, end-stage liver disease, and the most common form of liver cancer, hepatocellular carcinoma (HCC). To achieve this, we are developing a portfolio of differentiated chronic HBV infection drug candidates, including a small molecule CAM that results in the production of empty viral capsids.</w:t>
      </w:r>
    </w:p>
    <w:p>
      <w:pPr>
        <w:spacing w:after="0" w:line="31" w:lineRule="exact"/>
        <w:rPr>
          <w:sz w:val="20"/>
          <w:szCs w:val="20"/>
          <w:color w:val="auto"/>
        </w:rPr>
      </w:pPr>
    </w:p>
    <w:p>
      <w:pPr>
        <w:ind w:right="20" w:firstLine="509"/>
        <w:spacing w:after="0" w:line="223" w:lineRule="exact"/>
        <w:rPr>
          <w:sz w:val="20"/>
          <w:szCs w:val="20"/>
          <w:color w:val="auto"/>
        </w:rPr>
      </w:pPr>
      <w:r>
        <w:rPr>
          <w:rFonts w:ascii="Times New Roman" w:cs="Times New Roman" w:eastAsia="Times New Roman" w:hAnsi="Times New Roman"/>
          <w:sz w:val="18"/>
          <w:szCs w:val="18"/>
          <w:color w:val="auto"/>
        </w:rPr>
        <w:t>In 2018,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a lead drug candidate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 and the associated IP for a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from the laboratory of Professor Raymond Schinazi at Emory University. Our scientists optimized this lead drug candidate to discover the highly potent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was further optimized to the prodrug pevifoscorvir sodium. Based on pre-clinical data to date, pevifoscorvir sodium has superior DMPK properties with enhanced absorption and high liver uptake, with a ~2-300-fold improvement in in vitro potency compared to other known CAMs.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 class of small molecule antiviral agents that accelerate HBV capsid assembly and inhibit pgRNA encapsidation (1st MOA), resulting in empty viral capsids and lower circulating HBV DNA and RNA levels.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also believed to prevent the establishment of cccDNA (2nd MOA), a major factor for the persistence of HBV infection which can be assessed by circulating HBV antigen levels (HBsAg, HBcrAg, and HBeAg). In clinical trials,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have shown reductions in HBV DNA and RNA (1st MOA), but have rarely or inconsistently shown reductions in HBV antigens (2nd MOA). There have also been observations of the emergence of viral CAM-E drug resistance with competitor compounds.</w:t>
      </w:r>
    </w:p>
    <w:p>
      <w:pPr>
        <w:spacing w:after="0" w:line="90" w:lineRule="exact"/>
        <w:rPr>
          <w:sz w:val="20"/>
          <w:szCs w:val="20"/>
          <w:color w:val="auto"/>
        </w:rPr>
      </w:pPr>
    </w:p>
    <w:p>
      <w:pPr>
        <w:ind w:firstLine="509"/>
        <w:spacing w:after="0" w:line="223" w:lineRule="exact"/>
        <w:rPr>
          <w:sz w:val="20"/>
          <w:szCs w:val="20"/>
          <w:color w:val="auto"/>
        </w:rPr>
      </w:pPr>
      <w:r>
        <w:rPr>
          <w:rFonts w:ascii="Times New Roman" w:cs="Times New Roman" w:eastAsia="Times New Roman" w:hAnsi="Times New Roman"/>
          <w:sz w:val="18"/>
          <w:szCs w:val="18"/>
          <w:color w:val="auto"/>
        </w:rPr>
        <w:t>A multi-part Phase 1 study is complete, with evaluation of the safety, tolerability, and pharmacokinetic profile of pevifoscorvir sodium in HVs. Additionally, a dose-ranging phase assessing the safety, pharmacokinetics (PK), and antiviral activity of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300 mg doses of pevifoscorvir sodium administered over 28 days in untreated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with chronic HBV infection has also been completed. In these study phases, pevifoscorvir sodium was found to be well tolerated with a favorable PK profile and demonstrated potentially best-in-class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HBV DNA and RNA reductions at all doses tested, as well as HBV surface antigen (HBsAg) reductions in a subset of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receiving 100 mg or 300 mg of pevifoscorvir sodium (Hou et al, AASLD 2022). Based on the favorable profile observed with dosing up to 300 mg of pevifoscorvir sodium for 28 days, additional Phase 1 studies evaluated the risk-benefit profile of pevifoscorvir sodium at doses of 300 mg, with or without entecavir (ETV) therapy, for up to 96 weeks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with chronic HBV infection. Preliminary data from several of these cohorts (Hou et al., EASL 2025; Yuen et al., AASLD 2024, APASL 2025, EASL 2025) have been presented, showing that pevifoscorvir sodium, administered for up to 96 weeks, was well tolerated, exhibited a favorable PK profile, and suggested potentially best-in-class potent and durable antiviral activity.</w:t>
      </w:r>
    </w:p>
    <w:p>
      <w:pPr>
        <w:spacing w:after="0" w:line="100" w:lineRule="exact"/>
        <w:rPr>
          <w:sz w:val="20"/>
          <w:szCs w:val="20"/>
          <w:color w:val="auto"/>
        </w:rPr>
      </w:pPr>
    </w:p>
    <w:p>
      <w:pPr>
        <w:ind w:right="180" w:firstLine="509"/>
        <w:spacing w:after="0" w:line="227" w:lineRule="auto"/>
        <w:rPr>
          <w:sz w:val="20"/>
          <w:szCs w:val="20"/>
          <w:color w:val="auto"/>
        </w:rPr>
      </w:pPr>
      <w:r>
        <w:rPr>
          <w:rFonts w:ascii="Times New Roman" w:cs="Times New Roman" w:eastAsia="Times New Roman" w:hAnsi="Times New Roman"/>
          <w:sz w:val="18"/>
          <w:szCs w:val="18"/>
          <w:color w:val="auto"/>
        </w:rPr>
        <w:t>Data from this study following an oral daily dose of 300 mg pevifoscorvir sodium monotherapy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demonstrated sustained HBV DNA suppression (&lt;LLOQ (10 IU/mL, target detected (TD) or target not detected (TND)) in 6/10 (60%)</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2" w:name="page23"/>
    <w:bookmarkEnd w:id="22"/>
    <w:p>
      <w:pPr>
        <w:ind w:right="20"/>
        <w:spacing w:after="0" w:line="242" w:lineRule="auto"/>
        <w:rPr>
          <w:sz w:val="20"/>
          <w:szCs w:val="20"/>
          <w:color w:val="auto"/>
        </w:rPr>
      </w:pPr>
      <w:r>
        <w:rPr>
          <w:rFonts w:ascii="Times New Roman" w:cs="Times New Roman" w:eastAsia="Times New Roman" w:hAnsi="Times New Roman"/>
          <w:sz w:val="18"/>
          <w:szCs w:val="18"/>
          <w:color w:val="auto"/>
        </w:rPr>
        <w:t>subjects with chronic HBV infection at Week 48 and 9/9 (100%) at Week 96. Additionally, HBV DNA level continuously declined to &lt; LLOQ (10 IU/mL, TND) in 5 of 9 subjects at Week 96. Data from the 300 mg pevifoscorvir sodium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monotherapy cohort demonstrated HBV DNA suppression in all 11/11 (100%) subjects by Week 24 with the HBV DNA suppression level maintained for up to 96 weeks, with further decline in HBV DNA to &lt; LLOQ (10 IU/mL, TND) observed in all subjects (8/8) at Week 96. Importantly, no viral breakthrough was observed in any subject, and no known CAM resistant mutations were identified.</w:t>
      </w:r>
    </w:p>
    <w:p>
      <w:pPr>
        <w:spacing w:after="0" w:line="95" w:lineRule="exact"/>
        <w:rPr>
          <w:sz w:val="20"/>
          <w:szCs w:val="20"/>
          <w:color w:val="auto"/>
        </w:rPr>
      </w:pPr>
    </w:p>
    <w:p>
      <w:pPr>
        <w:ind w:right="380" w:firstLine="509"/>
        <w:spacing w:after="0" w:line="211" w:lineRule="auto"/>
        <w:rPr>
          <w:sz w:val="20"/>
          <w:szCs w:val="20"/>
          <w:color w:val="auto"/>
        </w:rPr>
      </w:pPr>
      <w:r>
        <w:rPr>
          <w:rFonts w:ascii="Times New Roman" w:cs="Times New Roman" w:eastAsia="Times New Roman" w:hAnsi="Times New Roman"/>
          <w:sz w:val="17"/>
          <w:szCs w:val="17"/>
          <w:color w:val="auto"/>
        </w:rPr>
        <w:t>Additionally, HBV RNA level achieved &lt; LLOQ (10 copies/mL) in all HBeAg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HBeAg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subjects by Week 52 and Week 6, respectively. Furthermore, concurrent multi-log</w:t>
      </w:r>
      <w:r>
        <w:rPr>
          <w:rFonts w:ascii="Times New Roman" w:cs="Times New Roman" w:eastAsia="Times New Roman" w:hAnsi="Times New Roman"/>
          <w:sz w:val="23"/>
          <w:szCs w:val="23"/>
          <w:color w:val="auto"/>
          <w:vertAlign w:val="subscript"/>
        </w:rPr>
        <w:t>10</w:t>
      </w:r>
      <w:r>
        <w:rPr>
          <w:rFonts w:ascii="Times New Roman" w:cs="Times New Roman" w:eastAsia="Times New Roman" w:hAnsi="Times New Roman"/>
          <w:sz w:val="17"/>
          <w:szCs w:val="17"/>
          <w:color w:val="auto"/>
        </w:rPr>
        <w:t xml:space="preserve"> reductions in HBV antigens (HBsAg, HBeAg, and HBcrAg) in HBeAg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subjects and HBcrAg decline in HBeAg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subjects were observed, suggesting the potential inhibition of cccDNA establishment by CAM-E 2nd mechanism of action of pevifoscorvir sodium.</w:t>
      </w:r>
    </w:p>
    <w:p>
      <w:pPr>
        <w:spacing w:after="0" w:line="92"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Compared to Phase 3 studies with the current standard of care nucleos(t)ide analogs (NAs), tenofovir disoproxil fumarate (TDF) and tenofovir alafenamide (TAF) (Buti et al., Lancet Gastro, 2016; Chen et al., Lancet Gastro 2016), these Phase 1 data to date suggest, subject to confirmation via further study, that pevifoscorvir sodium treatment may be superior to NAs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in achieving HBV DNA levels &lt; LLOQ (10 IU/mL) after 48 weeks on treatment, which is the approvable endpoint for chronic suppressive therapy in chronic HBV infection (Food and Drug Administration (FDA) Guidance, Chronic Hepatitis B Virus Infection: Developing Drugs for Treatment Guidance for Industry, April 2022 – Section III.B.1.a). We have received affirmative feedback from the FDA, the Committee for Medicinal Products for Human Use (CHMP: EU) and the National Medical Products Administration (NMPA: China) supporting subsequent studies utilizing the chronic suppressive therapy pathway for pevifoscorvir sodium. Our ongoing Phase 2 B-SUPREME study is being conducted to test superiority to standard of care NA treatment (HBV DNA levels &lt;LLOQ (10 IU/ml, TD or TND)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and HBV DNA levels &lt; LLOQ (10 IU/ml, TND) in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after 48 weeks of monotherapy treatment. Furthermore, when combined with other mechanisms of action, including other candidates in our chronic HBV infection portfolio, pevifoscorvir sodium dosing regimens have the potential to contribute to achieving higher rates of functional cure, subject to testing such endpoint, as compared with currently approved agents.</w:t>
      </w:r>
    </w:p>
    <w:p>
      <w:pPr>
        <w:spacing w:after="0" w:line="103" w:lineRule="exact"/>
        <w:rPr>
          <w:sz w:val="20"/>
          <w:szCs w:val="20"/>
          <w:color w:val="auto"/>
        </w:rPr>
      </w:pPr>
    </w:p>
    <w:p>
      <w:pPr>
        <w:jc w:val="both"/>
        <w:ind w:right="140" w:firstLine="509"/>
        <w:spacing w:after="0" w:line="234" w:lineRule="auto"/>
        <w:rPr>
          <w:sz w:val="20"/>
          <w:szCs w:val="20"/>
          <w:color w:val="auto"/>
        </w:rPr>
      </w:pPr>
      <w:r>
        <w:rPr>
          <w:rFonts w:ascii="Times New Roman" w:cs="Times New Roman" w:eastAsia="Times New Roman" w:hAnsi="Times New Roman"/>
          <w:sz w:val="18"/>
          <w:szCs w:val="18"/>
          <w:color w:val="auto"/>
        </w:rPr>
        <w:t>Dosing of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subjects with pevifoscorvir sodium in Phase 1 has been completed and the 96-week safety, PK, antiviral activity, and post-treatment data are expected to be presented at upcoming scientific conferences. In 2024, Aligos announced that the FDA cleared the Company’s investigational new drug application (IND) for a Phase 1 drug-drug interaction study, which has been completed.</w:t>
      </w:r>
    </w:p>
    <w:p>
      <w:pPr>
        <w:spacing w:after="0" w:line="90" w:lineRule="exact"/>
        <w:rPr>
          <w:sz w:val="20"/>
          <w:szCs w:val="20"/>
          <w:color w:val="auto"/>
        </w:rPr>
      </w:pPr>
    </w:p>
    <w:p>
      <w:pPr>
        <w:ind w:right="60" w:firstLine="509"/>
        <w:spacing w:after="0" w:line="235" w:lineRule="auto"/>
        <w:rPr>
          <w:sz w:val="20"/>
          <w:szCs w:val="20"/>
          <w:color w:val="auto"/>
        </w:rPr>
      </w:pPr>
      <w:r>
        <w:rPr>
          <w:rFonts w:ascii="Times New Roman" w:cs="Times New Roman" w:eastAsia="Times New Roman" w:hAnsi="Times New Roman"/>
          <w:sz w:val="18"/>
          <w:szCs w:val="18"/>
          <w:color w:val="auto"/>
        </w:rPr>
        <w:t>The Phase 2 B-SUPREME study (NCT06963710) is designed as a randomized, double-blind, active-controlled multicenter study evaluating the safety and efficacy of pevifoscorvir sodium monotherapy compared with tenofovir disoproxil fumarate for 48 weeks in approximately 200 currently untreated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adult subjects with chronic HBV infection. The primary endpoint in the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arm is HBV DNA &lt;LLOQ (10 IU/mL, TD or TND) and the primary endpoint in the HBeAg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arm is HBV DNA &lt;LLOQ (10 IU/mL, TND). The study is also evaluating safety, PK, and other secondary and exploratory HBV biomarkers, including reductions in HBV antigens and other markers of HBV infection. The Phase 2 study has obtained worldwide regulatory approvals, and is currently activating global sites, and enrolling subjects. The first subject was dosed in August 2025. Interim data is projected in both the first and second half of 2026 and topline data is anticipated in 2027.</w:t>
      </w:r>
    </w:p>
    <w:p>
      <w:pPr>
        <w:spacing w:after="0" w:line="9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are also exploring additional ways to potentially treat patients with chronic HBV infection, including our antisense oligonucleotide (ASO) platform which utilizes novel monomers that could potentially reduce ASO toxicity and improve ASO liver to kidney ratios.</w:t>
      </w:r>
    </w:p>
    <w:p>
      <w:pPr>
        <w:spacing w:after="0" w:line="5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Additionally, we are pursuing a novel strategy for a potential cure for hepatitis delta virus (HDV) coinfection by utilizing a proprietary ASO approach targeting the destruction of the viral genome. Ongoing work is aimed at the selection of a clinical development candidate.</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055009: Potential best-in-class small molecule THR-β agonist for obesity and metabolic dysfunction-associated steatohepatitis</w:t>
      </w:r>
    </w:p>
    <w:p>
      <w:pPr>
        <w:spacing w:after="0" w:line="158" w:lineRule="exact"/>
        <w:rPr>
          <w:sz w:val="20"/>
          <w:szCs w:val="20"/>
          <w:color w:val="auto"/>
        </w:rPr>
      </w:pPr>
    </w:p>
    <w:p>
      <w:pPr>
        <w:ind w:firstLine="674"/>
        <w:spacing w:after="0" w:line="257" w:lineRule="auto"/>
        <w:rPr>
          <w:sz w:val="20"/>
          <w:szCs w:val="20"/>
          <w:color w:val="auto"/>
        </w:rPr>
      </w:pPr>
      <w:r>
        <w:rPr>
          <w:rFonts w:ascii="Times New Roman" w:cs="Times New Roman" w:eastAsia="Times New Roman" w:hAnsi="Times New Roman"/>
          <w:sz w:val="18"/>
          <w:szCs w:val="18"/>
          <w:color w:val="auto"/>
        </w:rPr>
        <w:t>Obesity is a complex disease caused by an overabundance of body fat that increases the risk of other comorbidities, such as MASH. MASH is a complex, chronic liver disease which is a leading cause of liver-related morbidity including cirrhosis, hepatocellular carcinoma, liver transplant, and end-stage liver disease. In 2014, the first GLP-1 receptor agonist, liraglutide, was approved for weight loss and in 2024, the FDA approved resmetirom, a THR-</w:t>
      </w:r>
    </w:p>
    <w:p>
      <w:pPr>
        <w:spacing w:after="0" w:line="1" w:lineRule="exact"/>
        <w:rPr>
          <w:sz w:val="20"/>
          <w:szCs w:val="20"/>
          <w:color w:val="auto"/>
        </w:rPr>
      </w:pPr>
    </w:p>
    <w:p>
      <w:pPr>
        <w:ind w:right="20" w:firstLine="8"/>
        <w:spacing w:after="0" w:line="221" w:lineRule="exact"/>
        <w:tabs>
          <w:tab w:leader="none" w:pos="1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agonist, as the first drug for the treatment of MASH. However, additional agents in these classes are needed to address remaining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 potentially improved PK profile compared to other THR-β agonists. We believe these advantages position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as a strong candidate to become a best-in-class THR-β agonist.</w:t>
      </w:r>
    </w:p>
    <w:p>
      <w:pPr>
        <w:spacing w:after="0" w:line="25" w:lineRule="exact"/>
        <w:rPr>
          <w:sz w:val="20"/>
          <w:szCs w:val="20"/>
          <w:color w:val="auto"/>
        </w:rPr>
      </w:pPr>
    </w:p>
    <w:p>
      <w:pPr>
        <w:ind w:right="200" w:firstLine="674"/>
        <w:spacing w:after="0" w:line="245" w:lineRule="exact"/>
        <w:rPr>
          <w:sz w:val="20"/>
          <w:szCs w:val="20"/>
          <w:color w:val="auto"/>
        </w:rPr>
      </w:pPr>
      <w:r>
        <w:rPr>
          <w:rFonts w:ascii="Times New Roman" w:cs="Times New Roman" w:eastAsia="Times New Roman" w:hAnsi="Times New Roman"/>
          <w:sz w:val="18"/>
          <w:szCs w:val="18"/>
          <w:color w:val="auto"/>
        </w:rPr>
        <w:t>A first-in-human Phase 1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MASH in HVs (oral single ascending doses (SAD)) and in subjects with hyperlipidemia (14 oral daily multiple ascending doses (MAD)) has been completed. Clinical data after single doses up to 4 mg and multiple doses up to 1 mg showed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with low intersubject variability,</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and demonstrated expected thyromimetic effects (i.e., generally dose proportional increases in sex hormone binding globulin and decreases in various atherogenic lipids and thyroid hormones without any clinical evidence of thyroid dysfunction).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w:t>
      </w:r>
    </w:p>
    <w:p>
      <w:pPr>
        <w:spacing w:after="0" w:line="72" w:lineRule="exact"/>
        <w:rPr>
          <w:sz w:val="20"/>
          <w:szCs w:val="20"/>
          <w:color w:val="auto"/>
        </w:rPr>
      </w:pPr>
    </w:p>
    <w:p>
      <w:pPr>
        <w:ind w:right="120" w:firstLine="674"/>
        <w:spacing w:after="0" w:line="219" w:lineRule="exact"/>
        <w:rPr>
          <w:sz w:val="20"/>
          <w:szCs w:val="20"/>
          <w:color w:val="auto"/>
        </w:rPr>
      </w:pPr>
      <w:r>
        <w:rPr>
          <w:rFonts w:ascii="Times New Roman" w:cs="Times New Roman" w:eastAsia="Times New Roman" w:hAnsi="Times New Roman"/>
          <w:sz w:val="18"/>
          <w:szCs w:val="18"/>
          <w:color w:val="auto"/>
        </w:rPr>
        <w:t>Based on these promising Phase 1 data, we conducted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We announced positive topline data from this study in 2024, demonstrating that ALG-055009 dose groups were well-tolerated and met the primary endpoint. Specifically, doses of 0.5 mg to</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0.9 mg ALG-055009 demonstrated statistically significant reductions in liver fat at Week 12, with placebo-adjusted median relative reductions up to 46.2% as measured by MRI-PDFF. Up to 70% of subjects achieved ≥30% relative reduction in liver fat compared to baseline. Eighteen subjects who were on stable GLP-1 agonist therapy qualified for enrollment in the study, with liver fat content meeting the inclusion criteria of ≥10% at baseline as measured by MRI-PDFF. Notably, 11 of 14 subjects on stable GLP-1 agonists treated with ALG-055009 had liver fat decreases, whereas 4 of 4 subjects on stable GLP-1 agonists treated with placebo had increases in liver fat over the 12-week dosing period (Loomba et al, AASLD 2024).</w:t>
      </w:r>
    </w:p>
    <w:p>
      <w:pPr>
        <w:spacing w:after="0" w:line="38" w:lineRule="exact"/>
        <w:rPr>
          <w:sz w:val="20"/>
          <w:szCs w:val="20"/>
          <w:color w:val="auto"/>
        </w:rPr>
      </w:pPr>
    </w:p>
    <w:p>
      <w:pPr>
        <w:ind w:right="240" w:firstLine="674"/>
        <w:spacing w:after="0" w:line="231" w:lineRule="exact"/>
        <w:rPr>
          <w:sz w:val="20"/>
          <w:szCs w:val="20"/>
          <w:color w:val="auto"/>
        </w:rPr>
      </w:pPr>
      <w:r>
        <w:rPr>
          <w:rFonts w:ascii="Times New Roman" w:cs="Times New Roman" w:eastAsia="Times New Roman" w:hAnsi="Times New Roman"/>
          <w:sz w:val="18"/>
          <w:szCs w:val="18"/>
          <w:color w:val="auto"/>
        </w:rPr>
        <w:t>In the Phase 2a HERALD study,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a favorable tolerability profile with no evidence of clinical hyper/hypothyroidism. Incidence of gastrointestinal-related treatment emergent adverse events were similar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Specifically, similar rates of diarrhea were observed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with no dose-response. Significant reductions in atherogenic lipids, including LDL-C, lipoprotein (a), and apolipoprotein B, were also observed (Loomba et al, AASLD 2024).</w:t>
      </w:r>
    </w:p>
    <w:p>
      <w:pPr>
        <w:spacing w:after="0" w:line="92" w:lineRule="exact"/>
        <w:rPr>
          <w:sz w:val="20"/>
          <w:szCs w:val="20"/>
          <w:color w:val="auto"/>
        </w:rPr>
      </w:pPr>
    </w:p>
    <w:p>
      <w:pPr>
        <w:ind w:right="420" w:firstLine="674"/>
        <w:spacing w:after="0" w:line="282" w:lineRule="auto"/>
        <w:rPr>
          <w:sz w:val="20"/>
          <w:szCs w:val="20"/>
          <w:color w:val="auto"/>
        </w:rPr>
      </w:pPr>
      <w:r>
        <w:rPr>
          <w:rFonts w:ascii="Times New Roman" w:cs="Times New Roman" w:eastAsia="Times New Roman" w:hAnsi="Times New Roman"/>
          <w:sz w:val="18"/>
          <w:szCs w:val="18"/>
          <w:color w:val="auto"/>
        </w:rPr>
        <w:t>New preclinical and clinical findings reported by other companies have suggested that THR-β agonists can significantly enhance weight loss when administered in combination with incretin receptor agonists (RAs) for the treatment of obesity.</w:t>
      </w:r>
    </w:p>
    <w:p>
      <w:pPr>
        <w:spacing w:after="0" w:line="54" w:lineRule="exact"/>
        <w:rPr>
          <w:sz w:val="20"/>
          <w:szCs w:val="20"/>
          <w:color w:val="auto"/>
        </w:rPr>
      </w:pPr>
    </w:p>
    <w:p>
      <w:pPr>
        <w:ind w:right="100" w:firstLine="674"/>
        <w:spacing w:after="0" w:line="266" w:lineRule="auto"/>
        <w:rPr>
          <w:sz w:val="20"/>
          <w:szCs w:val="20"/>
          <w:color w:val="auto"/>
        </w:rPr>
      </w:pPr>
      <w:r>
        <w:rPr>
          <w:rFonts w:ascii="Times New Roman" w:cs="Times New Roman" w:eastAsia="Times New Roman" w:hAnsi="Times New Roman"/>
          <w:sz w:val="18"/>
          <w:szCs w:val="18"/>
          <w:color w:val="auto"/>
        </w:rPr>
        <w:t>We recently generated preclinical data combining our proprietary THR-β agonist, ALG-055009, with incretin RAs in a diet-induced obese (DIO) mouse model. ALG-055009 exhibited profound synergistic effects when used in combination with semaglutide or tirzepatide. The combination therapy also demonstrated enhanced antihyperlipidemic effects as compared to monotherapy. We plan to present these data at a future scientific conference.</w:t>
      </w:r>
    </w:p>
    <w:p>
      <w:pPr>
        <w:spacing w:after="0" w:line="68" w:lineRule="exact"/>
        <w:rPr>
          <w:sz w:val="20"/>
          <w:szCs w:val="20"/>
          <w:color w:val="auto"/>
        </w:rPr>
      </w:pPr>
    </w:p>
    <w:p>
      <w:pPr>
        <w:ind w:right="420" w:firstLine="674"/>
        <w:spacing w:after="0" w:line="282" w:lineRule="auto"/>
        <w:rPr>
          <w:sz w:val="20"/>
          <w:szCs w:val="20"/>
          <w:color w:val="auto"/>
        </w:rPr>
      </w:pPr>
      <w:r>
        <w:rPr>
          <w:rFonts w:ascii="Times New Roman" w:cs="Times New Roman" w:eastAsia="Times New Roman" w:hAnsi="Times New Roman"/>
          <w:sz w:val="18"/>
          <w:szCs w:val="18"/>
          <w:color w:val="auto"/>
        </w:rPr>
        <w:t>We believe ALG-055009 warrants further development as a potential treatment for both obesity and MASH. We are continuing to evaluate a variety of options to fund continued development, including potential out-licensing.</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097558: Potential best-in-class small molecule ritonavir-free protease inhibitor for pan-coronavirus</w:t>
      </w:r>
    </w:p>
    <w:p>
      <w:pPr>
        <w:spacing w:after="0" w:line="158" w:lineRule="exact"/>
        <w:rPr>
          <w:sz w:val="20"/>
          <w:szCs w:val="20"/>
          <w:color w:val="auto"/>
        </w:rPr>
      </w:pPr>
    </w:p>
    <w:p>
      <w:pPr>
        <w:ind w:right="40" w:firstLine="674"/>
        <w:spacing w:after="0" w:line="220" w:lineRule="exact"/>
        <w:rPr>
          <w:sz w:val="20"/>
          <w:szCs w:val="20"/>
          <w:color w:val="auto"/>
        </w:rPr>
      </w:pPr>
      <w:r>
        <w:rPr>
          <w:rFonts w:ascii="Times New Roman" w:cs="Times New Roman" w:eastAsia="Times New Roman" w:hAnsi="Times New Roman"/>
          <w:sz w:val="18"/>
          <w:szCs w:val="18"/>
          <w:color w:val="auto"/>
        </w:rPr>
        <w:t>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which has completed a Phase 1 first-in-human evaluation in healthy volunteers and advanced into a clinical trial evaluating the compound in high-risk COVID-19 patients.</w:t>
      </w:r>
    </w:p>
    <w:p>
      <w:pPr>
        <w:spacing w:after="0" w:line="52" w:lineRule="exact"/>
        <w:rPr>
          <w:sz w:val="20"/>
          <w:szCs w:val="20"/>
          <w:color w:val="auto"/>
        </w:rPr>
      </w:pPr>
    </w:p>
    <w:p>
      <w:pPr>
        <w:ind w:right="20" w:firstLine="674"/>
        <w:spacing w:after="0" w:line="225"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been shown in preclinical studies to be at least 3-fold more potent than nirmatrelvir and other PIs in clinical development against a panel of SARS-CoV-2 variants (including Omicron). It also has demonstrated broad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activity, including against SARS-CoV-1 and MERS-CoV. In the first-in-human Phase 1 clinical study, single doses up to 2000 mg and multiple doses up to 800 mg Q12H for 7 days were well tolerated with an acceptable PK profile that suggests ritonavir boosting may not be required. Furthermore, the absence of a clinically relevant DDI with midazolam suggests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may be able to be co-administered with CYP3A4 substrates (NCT05840952). Based on these Phase 1 data (Wilkes et al., RespiDart, 2024), the projected efficacious dose range to treat SARS-CoV-2 is 200-600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Q12 x 5 days, without the need for ritonavir coadministration.</w:t>
      </w:r>
    </w:p>
    <w:p>
      <w:pPr>
        <w:spacing w:after="0" w:line="50" w:lineRule="exact"/>
        <w:rPr>
          <w:sz w:val="20"/>
          <w:szCs w:val="20"/>
          <w:color w:val="auto"/>
        </w:rPr>
      </w:pPr>
    </w:p>
    <w:p>
      <w:pPr>
        <w:ind w:right="120" w:firstLine="674"/>
        <w:spacing w:after="0" w:line="231" w:lineRule="exact"/>
        <w:rPr>
          <w:sz w:val="20"/>
          <w:szCs w:val="20"/>
          <w:color w:val="auto"/>
        </w:rPr>
      </w:pPr>
      <w:r>
        <w:rPr>
          <w:rFonts w:ascii="Times New Roman" w:cs="Times New Roman" w:eastAsia="Times New Roman" w:hAnsi="Times New Roman"/>
          <w:sz w:val="18"/>
          <w:szCs w:val="18"/>
          <w:color w:val="auto"/>
        </w:rPr>
        <w:t>A Phase 2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began in 2024. The AGILE trial, a United Kingdom government-supported platform trial (MRC and Wellcome Trust funding), is sponsoring and performing a study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 evaluating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as monotherapy or in combination with remdesivir (NCT04746183). We expect that future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will be funded by external sources, including public funding sources as described below.</w:t>
      </w:r>
    </w:p>
    <w:p>
      <w:pPr>
        <w:spacing w:after="0" w:line="92" w:lineRule="exact"/>
        <w:rPr>
          <w:sz w:val="20"/>
          <w:szCs w:val="20"/>
          <w:color w:val="auto"/>
        </w:rPr>
      </w:pPr>
    </w:p>
    <w:p>
      <w:pPr>
        <w:ind w:right="240" w:firstLine="674"/>
        <w:spacing w:after="0" w:line="261" w:lineRule="auto"/>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right="260"/>
        <w:spacing w:after="0" w:line="220" w:lineRule="exact"/>
        <w:rPr>
          <w:sz w:val="20"/>
          <w:szCs w:val="20"/>
          <w:color w:val="auto"/>
        </w:rPr>
      </w:pPr>
      <w:r>
        <w:rPr>
          <w:rFonts w:ascii="Times New Roman" w:cs="Times New Roman" w:eastAsia="Times New Roman" w:hAnsi="Times New Roman"/>
          <w:sz w:val="18"/>
          <w:szCs w:val="18"/>
          <w:color w:val="auto"/>
        </w:rPr>
        <w:t>funds from the NIAID, NIH, Department of Health and Human Services, under Contract No. 75N93023C00052. We filed an IND in the third quarter of 2024. We expect to receive approximately $15.3 million in funds across these two NIH awards and contracts to support these activities. To date, these funds have not been impacted by any changes at the NIH or NIAID. We are also seeking additional external funding (e.g., from governmental agencies) and/or collaborations (e.g., platform trials) to support future studies as we advance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and future coronavirus pandemics.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included recognition of our upfront payments pursuant to an agreement and amendment with Merck Sharp &amp; Dohme Corp,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were terminated in prior years. In order to record collaboration revenue, we utilized an input method to recognize revenue over time as costs were incurred.</w:t>
      </w:r>
    </w:p>
    <w:p>
      <w:pPr>
        <w:spacing w:after="0" w:line="65"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Customer revenue </w:t>
      </w:r>
      <w:r>
        <w:rPr>
          <w:rFonts w:ascii="Times New Roman" w:cs="Times New Roman" w:eastAsia="Times New Roman" w:hAnsi="Times New Roman"/>
          <w:sz w:val="18"/>
          <w:szCs w:val="18"/>
          <w:color w:val="auto"/>
        </w:rPr>
        <w:t>includes recognition of revenue generated from research and development services under third-party contracts with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record customer revenue, we utilize an input method to recognize revenue over time as costs are incurred.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clinical development activities related to our chronic HBV infection drug candidate pevifoscorvir sodium.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9" w:lineRule="exact"/>
        <w:rPr>
          <w:sz w:val="20"/>
          <w:szCs w:val="20"/>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280"/>
        <w:spacing w:after="0" w:line="266" w:lineRule="auto"/>
        <w:rPr>
          <w:sz w:val="20"/>
          <w:szCs w:val="20"/>
          <w:color w:val="auto"/>
        </w:rPr>
      </w:pPr>
      <w:r>
        <w:rPr>
          <w:rFonts w:ascii="Times New Roman" w:cs="Times New Roman" w:eastAsia="Times New Roman" w:hAnsi="Times New Roman"/>
          <w:sz w:val="18"/>
          <w:szCs w:val="18"/>
          <w:color w:val="auto"/>
        </w:rPr>
        <w:t>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and other income, net comprises interest income, net and other income, net. Interest income, net primarily consists of interest earned on our cash, cash equivalents, and investments. Other income, net includes investments and foreign currency gains/losses.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2023 common warrants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2023 common warrants includes the remeasurement of the 2023 common warrants using the Black Scholes option pricing model at each reporting period.</w:t>
      </w:r>
    </w:p>
    <w:p>
      <w:pPr>
        <w:spacing w:after="0" w:line="378" w:lineRule="exact"/>
        <w:rPr>
          <w:sz w:val="20"/>
          <w:szCs w:val="20"/>
          <w:color w:val="auto"/>
        </w:rPr>
      </w:pPr>
    </w:p>
    <w:p>
      <w:pPr>
        <w:jc w:val="both"/>
        <w:ind w:right="260" w:firstLine="666"/>
        <w:spacing w:after="0" w:line="266"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in each year since our formation in February 2018. Our net loss was $4.3 million for the nine months ended September 30, 2025 and net loss was $49.1 million for the nine months ended September 30, 2024, and our net losses were $131.2 million for the year ended December 31, 2024. As of September 30, 2025, we had an accumulated deficit of $622.3 million.</w:t>
      </w:r>
    </w:p>
    <w:p>
      <w:pPr>
        <w:spacing w:after="0" w:line="68" w:lineRule="exact"/>
        <w:rPr>
          <w:sz w:val="20"/>
          <w:szCs w:val="20"/>
          <w:color w:val="auto"/>
        </w:rPr>
      </w:pPr>
    </w:p>
    <w:p>
      <w:pPr>
        <w:ind w:firstLine="666"/>
        <w:spacing w:after="0" w:line="256" w:lineRule="auto"/>
        <w:rPr>
          <w:sz w:val="20"/>
          <w:szCs w:val="20"/>
          <w:color w:val="auto"/>
        </w:rPr>
      </w:pPr>
      <w:r>
        <w:rPr>
          <w:rFonts w:ascii="Times New Roman" w:cs="Times New Roman" w:eastAsia="Times New Roman" w:hAnsi="Times New Roman"/>
          <w:sz w:val="18"/>
          <w:szCs w:val="18"/>
          <w:color w:val="auto"/>
        </w:rPr>
        <w:t>We have had no revenue from product sales, and it is uncertain when in the future we may generate product sales. We have no internal manufacturing capabilities or sales force, and we outsource a substantial portion of our clinical trial work to third parties.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and nine months ended September 30, 2025 and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center"/>
              <w:ind w:left="43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center"/>
              <w:ind w:left="39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(1,896)</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(3,719)</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(28,361)</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(20,131)</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(8,230)</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(66,171)</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(68,591)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2023 common</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(4,205)</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(4,100)</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3905%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(31,481)</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(19,168)</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(12,313)</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(4,028)</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(31,537)</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(19,259)</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(12,278)</w:t>
            </w: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(4,312)</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(49,061)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collaborations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was no revenue recognized from collaborations for the three and nine months ended September 30, 2025, due to the termination of the Merck collaboration agreement in the first quarter of 2024. We recognized $0.3 million as revenue from collaborations for the nine months ended September 30, 2024. We do not expect significant future revenue from collaborations at this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decreased by $0.5 million and $1.0 million for the three and nine months ended September 30, 2025, when compared to the same period in 2024. The decrease was due to the near completion of the original agreement with Amoytop, a higher value contract, and the start of the extension agreement, which had a lower value. We do not expect significant future revenue from customers at this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(chronic HBV infection, MASH, coronaviruses and early-stage programs). The following table summarizes these research and development costs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tbl>
      <w:tblPr>
        <w:tblLayout w:type="fixed"/>
        <w:tblInd w:w="5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160" w:type="dxa"/>
            <w:vAlign w:val="bottom"/>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80" w:type="dxa"/>
            <w:vAlign w:val="bottom"/>
          </w:tcPr>
          <w:p>
            <w:pPr>
              <w:spacing w:after="0"/>
              <w:rPr>
                <w:sz w:val="13"/>
                <w:szCs w:val="13"/>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73"/>
        </w:trPr>
        <w:tc>
          <w:tcPr>
            <w:tcW w:w="5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 research and development expenses by development program:</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Chronic Hepatitis B virus infection program</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Coronaviruses program</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-453390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-453390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-453390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-453390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$7.2 million during the three months ended September 30, 2025, compared to the same period in 2024. The increase in the three-month period was primarily due to a $6.7 million increase in third-party expenses due to increased clinical study costs as a result of the beginning of enrollment and dosing in the pevifoscorvir sodium Phase 2a clinical trial. This included a payment of $9.0 million to Emory related to milestone payments due to the first subject dosed in a Phase 2 clinical trial. Partially offsetting this was a decrease in MASH spend due to the completion of the Phase 2a clinical trial with topline data announced in Q3 2024. Further, there was a $0.4 million increase in employee-related costs, and a $0.1 million increase in facility and other expenses.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$1.8 million during the nine months ended September 30, 2025, compared to the same period in 2024. The decrease in the nine-month period was primarily due to a $2.0 million decrease in third-party expenses due to reduced clinical study costs in our Coronavirus program and as a result of the completion of the MASH Phase 2a clinical trial during this period, partially offset by increased spend in our pevifoscorvir sodium Phase 2a clinical trial which began in 2025. Further there was a $0.2 million increase in facility, travel and other expenses.</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will increase in future periods as we continue to focus on advancing clinical trials for pevifoscorvir sodium and MASH.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during the three months ended September 30, 2025, compared to the same period in 2024. This was primarily due to a $0.4 million increase in third party expenses due to increased legal and intellectual property spend, and a $0.2 million increase in employee-related costs, partially offset by a $0.1 million increase in facility, travel and entertainment costs.</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$1.9 million during the nine months ended September 30, 2025, compared to the same period in 2024. This was primarily due to a $1.5 million decrease in third party expenses due to reduced legal and intellectual property spend. There was also a $0.4 million decrease in employee-related costs.</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will increase in future periods due to increased activity in our research and development group, which will require more resources and additional activities in our general and administration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22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Interest and other income, net remained relatively flat during the three months ended September 30, 2025 as compared to the same period in the prior year. Interest and other income decreased by $0.7 million during the nine months ended September 30, 2025 as compared to the same period in the prior year due primarily to a decrease in the accretion of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2023 common warrants</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change in fair value of 2023 common warrants was a decrease of $4.1 million and an increase of $43.0 million for the three and nine months ended September 30, 2025 compared to the same period ended September 30, 2024. The change was due to a change in the fair value of the 2023 common warrants measured using the Black Scholes option pricing model remeasured at each reporting period, principally due to a change in the stock price between reporting periods.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incurred net losses in each year since inception. Our net losses were $4.3 million for the nine months ended September 30, 2025 and $131.2 million for the year ended December 31, 2024.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proceeds from public offerings, revenue from customer and collaboration agreements, and proceeds from private placements of our common stock, warrants and pre-funded warrants, and the issuance of convertible debt.</w:t>
      </w:r>
    </w:p>
    <w:p>
      <w:pPr>
        <w:spacing w:after="0" w:line="68" w:lineRule="exact"/>
        <w:rPr>
          <w:sz w:val="20"/>
          <w:szCs w:val="20"/>
          <w:color w:val="auto"/>
        </w:rPr>
      </w:pPr>
    </w:p>
    <w:p>
      <w:pPr>
        <w:ind w:right="40" w:firstLine="509"/>
        <w:spacing w:after="0" w:line="218" w:lineRule="exact"/>
        <w:rPr>
          <w:sz w:val="20"/>
          <w:szCs w:val="20"/>
          <w:color w:val="auto"/>
        </w:rPr>
      </w:pPr>
      <w:r>
        <w:rPr>
          <w:rFonts w:ascii="Times New Roman" w:cs="Times New Roman" w:eastAsia="Times New Roman" w:hAnsi="Times New Roman"/>
          <w:sz w:val="18"/>
          <w:szCs w:val="18"/>
          <w:color w:val="auto"/>
        </w:rPr>
        <w:t>In February 2025, we entered into a securities purchase agreement (the 2025 Securities Purchase Agreement) with certain investors named therein (the Purchasers) pursuant to which we issued (i) 2,103,307 shares of our common stock (the Common Stock),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Common Stock. Each Warrant is exercisable for one share of Common Stock (the 2025 Private Placement). We received gross proceeds of $105.0 million. In connection with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following demand by the Lead Investor to register the resale of shares of Common Stock and any Common Stock issued or issuable upon the exercise or conversion of non-voting Common Stock and any of our other securities held by the Lead Investor.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and December 31, 2024, we had an accumulated deficit of $622.3 million and $618.0 million, respectively, and cash, cash equivalents and short-term investments of $99.1 million and $56.9 million, respectively. Our current operating plan and projected cash outflows for the upcoming periods raise doubt about our ability to continue as a going concern for at least 12 months from the issuance of the financial statements included elsewhere in this Quarterly Report. We plan to raise additional capital to fund continued operations beyond the third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Moreover, even if financing efforts are successful and additional capital is obtained, available liquidity may still be insufficient to eliminate the aforementioned substantial doubt regarding our ability to continue as a going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Our current operating plan and projected cash outflows for the upcoming periods raise doubt about our ability to continue as a going concern for at least 12 months from the issuance of the financial statements. If we are successful with our ability to access additional funding, we expect our expenses to increase substantially in connection with our ongoing clinical development activities related to our chronic HBV infection drug candidate pevifoscorvir sodium, which we have initiated clinical trials, as well as our research and development of our other drug candidates.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to the extent we:</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9" w:name="page30"/>
    <w:bookmarkEnd w:id="29"/>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7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spacing w:after="0" w:line="266" w:lineRule="auto"/>
        <w:rPr>
          <w:sz w:val="20"/>
          <w:szCs w:val="20"/>
          <w:color w:val="auto"/>
        </w:rPr>
      </w:pPr>
      <w:r>
        <w:rPr>
          <w:rFonts w:ascii="Times New Roman" w:cs="Times New Roman" w:eastAsia="Times New Roman" w:hAnsi="Times New Roman"/>
          <w:sz w:val="18"/>
          <w:szCs w:val="18"/>
          <w:color w:val="auto"/>
        </w:rPr>
        <w:t>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6"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-12065</wp:posOffset>
            </wp:positionV>
            <wp:extent cx="85725"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-12065</wp:posOffset>
            </wp:positionV>
            <wp:extent cx="85725"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(60,758)</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(62,340)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(38,251)</w:t>
            </w: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(100,333)</w:t>
            </w:r>
          </w:p>
        </w:tc>
      </w:tr>
      <w:tr>
        <w:trPr>
          <w:trHeight w:val="20"/>
        </w:trPr>
        <w:tc>
          <w:tcPr>
            <w:tcW w:w="7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operating activities utilized $60.8 million of cash, primarily resulting from our net loss of $4.3 million, offset by net changes in operating assets and liabilities of $1.4 million, and non-cash charges of $55.1 million, driven by the $59.0 million gain as a result of remeasuring the 2023 Common Warrants. Net cash used in operating activities resulted in changes in our operating assets and liabilities of $1.4 million, consisting of a decrease of $2.0 million in accrued liabilities, a decrease of $2.3 million in operating lease liabilities, partially offset by a decrease in other assets of $0.8 million, and an increase of $2.1 million in accounts payable. The decrease in accrued liabilities was largely due to the bonus payments that occurred in the first quarter of 2025, recorded on the balance sheet as of December 31, 2024. The increase in accounts payable is due to the timing of payments to vendors, with overall increased spend due in our pevifoscorvir sodium Phase 2a clinical trial.</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utilized $62.3 million of cash, primarily resulting from our net loss of $49.1 million, net changes in operating assets and liabilities of $4.6 million, and non-cash charges of $8.6 million. Net cash used in operating activities resulted in changes in our operating assets and liabilities of $4.6 million, consisting of a decrease of $2.7 million in accrued liabilities, a decrease of $2.0 million in operating lease liabilities, an decrease of $0.7 million in deferred revenue, partially offset by an increase of $0.2 million in accounts payable and a decrease in other assets of $0.5 million. The decrease in deferred revenue from collaborations was due to the recognition of revenue from collaborations due to progress towards the completion of the projects. The decrease in accrued liabilities was largely due to the bonus payments that occurred in the first quarter of 2024. The decrease in accounts payable is due to the timing of payments to vendors.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investing activities used $35.8 million of cash, primarily due to $125.5 million of purchase of short-term investments, partially offset by $90.0 million related to maturities of short-term investments.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investing activities used $38.3 million of cash, primarily due to $108.1 million of purchase of short-term investments partially offset by $70.0 million related to maturities of short-term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$101.5 million, primarily due to proceeds from the 2025 PIPE financing.</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$0.3 million, consisting primarily due to proceeds from the ESPP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contractual obligations and commitments as of September 30, 2025 as disclosed in the contractual obligations and commitment section in our Annual Report on Form 10-K filed with the SEC on March 10,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related to third party claims against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titled “Management’s Discussion and Analysis of Financial Condition and Results of Operations” and the notes to our audited financial statements in our Annual Report on Form 10-K, filed with the SEC on March 10, 2025 for the year ended December 31, 2024, and the notes to the financial statements appearing elsewhere in this Quarterly Report on Form 10-Q. There have been no material changes to these critical accounting policies and estimates through September 30, 2025 from those discussed in our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 and nine months ended September 30, 2025, compared to the disclosures in Part II, Item 7A of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2025, our disclosure controls and procedures were effective at the reasonable assurance level.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fiscal quarter ended September 30, 2025 that has materially affected, or is reasonably likely to materially affect, our internal control over financial reporting.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including our condensed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not yet demonstrated an ability to successfully overcome many of the risks and uncertainties frequently encountered by companies in new and rapidly evolving fields, particularly in the biopharmaceutical industry.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$4.3 million for the nine months ended September 30, 2025 and $131.2 million for the year ended December 31, 2024. As of September 30, 2025, we had total stockholders’ equity of $71.8 million.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registrational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 for a full fiscal year.</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4" w:name="page35"/>
    <w:bookmarkEnd w:id="34"/>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$92.1 million and $105.0 million in gross proceeds, respectively, before deducting placement agent fees and other offering expenses. As of September 30, 2025, we had cash, cash equivalents and short-term investments of $99.1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each of October 2023 and February 2025, we completed a private placement of common stock, warrants and pre-funded warrants.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plan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short-term investments will enable us to fund our operations into the third quarter of 2026, which is less than 12 months following the date of this report. Accordingly, our ability to continue as a going concern will require us to obtain additional funding for our operations or significantly curtail our operations to conserve our capital resources. Moreover, it is particularly difficult to estimate with certainty our future expenses given the dynamic nature of our business, and the macro-economic environment generally.</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2" w:lineRule="exact"/>
        <w:rPr>
          <w:sz w:val="20"/>
          <w:szCs w:val="20"/>
          <w:color w:val="auto"/>
        </w:rPr>
      </w:pPr>
    </w:p>
    <w:p>
      <w:pPr>
        <w:ind w:left="1020" w:right="2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have raised substantial doubt regarding our ability to continue as a going concern.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 We have devoted our resources to our research and development activities and have experienced significant operating losses since our inception. Furthermore, we expect to continue devoting substantial capital to the research and development of our drug candidates. Accordingly, our ability to continue as a going concern will require us to obtain additional funding for our operations or significantly curtail our operations to conserve our capital resources. Further, the perception of our ability to continue as a going concern may make it more difficult for us to obtain funding for the continuation of our operations, or necessitate that we obtain funding on less favorable terms, and could result in the loss of confidence by investors, our partners and employees.</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5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left="1020" w:right="5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particularly in regions where we or third parties on which we rely have significant manufacturing facilities, concentrations of clinical trial sites or other business operations, including the San Francisco Bay Area where our headquarters are located.</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sz w:val="20"/>
          <w:szCs w:val="20"/>
          <w:color w:val="auto"/>
        </w:rPr>
      </w:pPr>
    </w:p>
    <w:p>
      <w:pPr>
        <w:ind w:right="40" w:firstLine="509"/>
        <w:spacing w:after="0" w:line="217" w:lineRule="exact"/>
        <w:rPr>
          <w:sz w:val="20"/>
          <w:szCs w:val="20"/>
          <w:color w:val="auto"/>
        </w:rPr>
      </w:pPr>
      <w:r>
        <w:rPr>
          <w:rFonts w:ascii="Times New Roman" w:cs="Times New Roman" w:eastAsia="Times New Roman" w:hAnsi="Times New Roman"/>
          <w:sz w:val="18"/>
          <w:szCs w:val="18"/>
          <w:color w:val="auto"/>
        </w:rPr>
        <w:t>Our clinical development efforts across our drug candidates are in early or mid-stages. We have ongoing clinical trials for our most advanced drug candidates in many countries (e.g., United States, Canada, and throughout Asia and Europe).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chronic HBV infection portfolio previously included our STOPS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drug candidate, ALG-010133, one of our proprietary s-antigen transport-inhibiting oligonucleotide polymers that was in a Phase 1b dose range finding trial (NCT04485663) evaluating subjects with chronic HBV infection as well as our proprietary antisense oligonucleotide, ALG-020572, that was in a Phase 1a/1b umbrella study (NCT05001022) and for which dosing in chronic HBV infection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subject and several additional subjects experiencing ALT flares.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10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United States, Canada, and throughout Asia and Europe).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t>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depends on many factors, which may include the following:</w:t>
      </w:r>
    </w:p>
    <w:p>
      <w:pPr>
        <w:spacing w:after="0" w:line="117" w:lineRule="exact"/>
        <w:rPr>
          <w:sz w:val="20"/>
          <w:szCs w:val="20"/>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United States, Canada, and throughout Asia and Europe). The rest of our programs are in nonclinical research or earlier stages of development, including our other chronic hepatitis B virus infection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8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global-scale potentially catastrophic events, including public health pandemics or epidemics, terrorism, war, and climate changes.</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49"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 As another example, in March 2022, we discontinued further development of our ASO drug candidate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chronic HBV infection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1" w:name="page42"/>
    <w:bookmarkEnd w:id="41"/>
    <w:p>
      <w:pPr>
        <w:ind w:right="140"/>
        <w:spacing w:after="0" w:line="282" w:lineRule="auto"/>
        <w:rPr>
          <w:sz w:val="20"/>
          <w:szCs w:val="20"/>
          <w:color w:val="auto"/>
        </w:rPr>
      </w:pPr>
      <w:r>
        <w:rPr>
          <w:rFonts w:ascii="Times New Roman" w:cs="Times New Roman" w:eastAsia="Times New Roman" w:hAnsi="Times New Roman"/>
          <w:sz w:val="18"/>
          <w:szCs w:val="18"/>
          <w:color w:val="auto"/>
        </w:rPr>
        <w:t>is inconclusive. Because further clinical evaluation of ALG-125755 is not prioritized with current funding, any further advancement of ALG-125755 will require additional external funding which we may not be able to obtain.</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8" w:lineRule="exact"/>
        <w:rPr>
          <w:sz w:val="20"/>
          <w:szCs w:val="20"/>
          <w:color w:val="auto"/>
        </w:rPr>
      </w:pPr>
    </w:p>
    <w:p>
      <w:pPr>
        <w:ind w:left="1020" w:right="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United States, Canada, and throughout Asia and Europe).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right="120"/>
        <w:spacing w:after="0" w:line="256" w:lineRule="auto"/>
        <w:rPr>
          <w:sz w:val="20"/>
          <w:szCs w:val="20"/>
          <w:color w:val="auto"/>
        </w:rPr>
      </w:pPr>
      <w:r>
        <w:rPr>
          <w:rFonts w:ascii="Times New Roman" w:cs="Times New Roman" w:eastAsia="Times New Roman" w:hAnsi="Times New Roman"/>
          <w:sz w:val="18"/>
          <w:szCs w:val="18"/>
          <w:color w:val="auto"/>
        </w:rPr>
        <w:t>candidates. For example, if such laws or restrictions are passed, they could have the potential to severely restrict the ability of U.S. biotechnology companies like us to purchase services or products from, collaborate with, or otherwise work with certain Chinese biotechnology companies. It is possible that some of our contractual counterparties could be impacted by the legislation described above. Such counterparties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Such disruption could have adverse effects on the development of our product candidates.</w:t>
      </w:r>
    </w:p>
    <w:p>
      <w:pPr>
        <w:spacing w:after="0" w:line="7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There is also uncertainty as to how measures being implemented by the new administration will impact the operations of various agencies. For example, budget cuts, layoffs, and government shut downs have and may continue to impact the work of the FDA, which may lead to delays in regulatory approvals.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chronic HBV infection is ongoing, but we may be unable to produce a therapy that successfully treats chronic HBV infection. Even if successful, we may be unable to obtain regulatory approval for and successfully commercialize our drug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chronic HBV infection, including pevifoscorvir sodium, a CAM-E that is currently in a multipart Phase 1 trial, and a Phase 2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and obesity is ongoing, but we may be unable to produce a therapy that successfully treats MASH and/or obesity. Even if successful, we may be unable to obtain regulatory approval for and successfully commercialize our drug candidates.</w:t>
      </w:r>
    </w:p>
    <w:p>
      <w:pPr>
        <w:spacing w:after="0" w:line="51" w:lineRule="exact"/>
        <w:rPr>
          <w:sz w:val="20"/>
          <w:szCs w:val="20"/>
          <w:color w:val="auto"/>
        </w:rPr>
      </w:pPr>
    </w:p>
    <w:p>
      <w:pPr>
        <w:ind w:right="8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 which has completed a Phase 2a trial. In addition, we have conducted preclinical research in obesity using our THR-ß agonist. If we cannot successfully develop, obtain regulatory approval for and commercialize our drug candidates for the treatment of MASH and/or obesity, our business may be harmed. The mechanism of action of our THR-ß agonist candidates is complex, and we do not know the degree to which it will translate into a therapeutic benefit, if any, in MASH, obesity or any other indication, and we do not know the degree to which the complex mechanism of action may contribute to long-term safety issues or adverse events when our drug candidates are taken for prolonged periods.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obesity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and/or obesity, our drug candidates will likely compete with products that have already been approved or may in the future be approved for the treatment of MASH and/or obesity, prior to our drug candidates and/or that have greater efficacy than our drug candidates, either alone or in combination. Behavioral modifications, such as diet and exercise, can also decrease or eliminate the demand for our THR-ß agonist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is currently in a clinical trial in COVID-19 subjects. Our development of this potential therapy is at an early stage, and we may be unable to produce in a timely manner a therapy that successfully treats the virus or that has broad clinical applicability, if at all.</w:t>
      </w:r>
    </w:p>
    <w:p>
      <w:pPr>
        <w:spacing w:after="0" w:line="72"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committed significant personnel to the development of ALG-097558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have been widely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May 25, 2023, Pfizer, Inc. received an approval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tissue samples for future exploratory research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reduction of government funding for health care, or public health pandemics or epidemics or other business interruptions.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5" w:name="page46"/>
    <w:bookmarkEnd w:id="45"/>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121"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6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ongoing and planned clinical trials could reveal unacceptably severe and prevalent side effects or unexpected characteristics.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our clinical trials result in undesirable side effects, or if any of our drug candidates receives marketing approval and we or others later identify undesirable side effects caused by such products, a number of potentially significant negative consequences could occur, including, as applicable:</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withhold approval or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ind w:left="1020" w:right="4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new administration will impact the operations of various agencies including the FDA. For example, the potential loss of personnel at various agencies, reduction in funding for agencies, or government shut downs could lead to disruptions and delays in review of our drug candidates.</w:t>
      </w:r>
    </w:p>
    <w:p>
      <w:pPr>
        <w:spacing w:after="0" w:line="8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5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in the case of pevifoscorvir sodium,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420"/>
        <w:spacing w:after="0" w:line="266" w:lineRule="auto"/>
        <w:rPr>
          <w:sz w:val="20"/>
          <w:szCs w:val="20"/>
          <w:color w:val="auto"/>
        </w:rPr>
      </w:pPr>
      <w:r>
        <w:rPr>
          <w:rFonts w:ascii="Times New Roman" w:cs="Times New Roman" w:eastAsia="Times New Roman" w:hAnsi="Times New Roman"/>
          <w:sz w:val="18"/>
          <w:szCs w:val="18"/>
          <w:color w:val="auto"/>
        </w:rPr>
        <w:t>nucleos(t)ide analogs including tenofovir and entecavir for treatment of chronic HBV infection.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right="220"/>
        <w:spacing w:after="0" w:line="254" w:lineRule="auto"/>
        <w:rPr>
          <w:sz w:val="20"/>
          <w:szCs w:val="20"/>
          <w:color w:val="auto"/>
        </w:rPr>
      </w:pPr>
      <w:r>
        <w:rPr>
          <w:rFonts w:ascii="Times New Roman" w:cs="Times New Roman" w:eastAsia="Times New Roman" w:hAnsi="Times New Roman"/>
          <w:sz w:val="18"/>
          <w:szCs w:val="18"/>
          <w:color w:val="auto"/>
        </w:rPr>
        <w:t>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of eligibility from government contracts or refusals of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have or are currently conducting initial clinical trials for pevifoscorvir sodium, ALG-055009 and ALG-097558 in many countries (e.g., United States, Canada, and throughout Asia and Europe), and plan to expand into additional countries and territories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trade policies (including with respect to tariffs) or our international operations, including seeking and obtaining approval to commercialize our drug candidates in foreign jurisdictions, could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as well as third-party suppliers spanning multiple countries outside the United States, and we intend to seek approval to market our drug candidates within and outside of the United States. We may also do so for future drug candidates. Due to the complex relationship among the United States and the countries in which we conduct our business, there is an inherent risk that political, diplomatic, and national security factors may lead to global trade restrictions and changes to trade policies or export and import regulations which could harm our business. The United States government has implemented tariffs affecting a wide range of products and jurisdictions and has indicated an intention to continue developing new trade policies, including a recent announcement of new tariffs on imported pharmaceutical products. In response, certain foreign governments have announced or implemented reciprocal or retaliatory tariffs and other protectionist measures. The United States government’s tariff policy has recently undergone rapid shifts, creating uncertainly that may harm our business by, among other things, leading to higher import prices and negatively impacting market conditions.</w:t>
      </w:r>
    </w:p>
    <w:p>
      <w:pPr>
        <w:spacing w:after="0" w:line="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located outside of the United States for the manufacture of certain drug candidates for clinical testing, as well as for manufacture of products that we may commercialize, if approved.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are or will be subject to additional risks related to these international business markets and relationships,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proposed tariffs, implementation of new tariffs, reciprocal or retaliatory trade measures, sanctions, trade barriers and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global trade policies as a result of trade disputes or more restrictive trade policies;</w:t>
      </w:r>
    </w:p>
    <w:p>
      <w:pPr>
        <w:spacing w:after="0" w:line="117"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layoffs, government shutdowns,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government shutdowns, statutory, regulatory, and policy changes, layoffs at the FDA and other government agencies, the FDA’s hiring and retention of key personnel and receipt of user fees, changes in senior leadership at FDA and HHS, and other events that may otherwise affect the FDA’s performance of routine functions. Average review times at the agency have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0" w:name="page51"/>
    <w:bookmarkEnd w:id="50"/>
    <w:p>
      <w:pPr>
        <w:ind w:right="40"/>
        <w:spacing w:after="0" w:line="261" w:lineRule="auto"/>
        <w:rPr>
          <w:sz w:val="20"/>
          <w:szCs w:val="20"/>
          <w:color w:val="auto"/>
        </w:rPr>
      </w:pPr>
      <w:r>
        <w:rPr>
          <w:rFonts w:ascii="Times New Roman" w:cs="Times New Roman" w:eastAsia="Times New Roman" w:hAnsi="Times New Roman"/>
          <w:sz w:val="18"/>
          <w:szCs w:val="18"/>
          <w:color w:val="auto"/>
        </w:rPr>
        <w:t>fluctuated in recent years as a result. Disruptions at the FDA and other agencies may also slow the time necessary for new products to be reviewed and/or approved by necessary government agencies, which would adversely affect our business. For example, on October 1, 2025, the U.S. government initiated a shutdown and certain regulatory agencies, such as the FDA, have had to furlough some FDA employees and stop certain activities. Such shutdowns have occurred several times in the past, with the longest prior shutdown beginning December 22, 2018 and lasting 35 days.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w:t>
      </w:r>
    </w:p>
    <w:p>
      <w:pPr>
        <w:spacing w:after="0" w:line="68" w:lineRule="exact"/>
        <w:rPr>
          <w:sz w:val="20"/>
          <w:szCs w:val="20"/>
          <w:color w:val="auto"/>
        </w:rPr>
      </w:pPr>
    </w:p>
    <w:p>
      <w:pPr>
        <w:jc w:val="both"/>
        <w:ind w:right="7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estimate, it could have an adverse effect on our business, financial condition, results of operations and prospects.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Our potential development of a THR-ß agonist for obesity may also rely on combination therapy, for example combinations with GLP-1 receptor agonists. Issues with other products could result in our own products, if approved, being removed from the market or suffering commercially. In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1" w:name="page52"/>
    <w:bookmarkEnd w:id="5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and Arrowhead Pharmaceuticals, Inc. (together with Janssen Pharmaceuticals, Inc. (Janssen)), and two companies have CAM-E candidates in Phase 3 development in China. Several companies are developing CAM-Es, including Assembly Biosciences Inc. and Enanta Pharmaceuticals. Several companies, including GSK and Janssen, are developing therapeutic vaccines for HBV, and several others have approved HBV vaccines, including Dynavax Technologies, Inc., GSK, Johnson &amp; Johnson, and Merck. Replicor, Inc. is developing nucleic acid polymers (NAPs) for use in chronic HBV infection patients.</w:t>
      </w:r>
    </w:p>
    <w:p>
      <w:pPr>
        <w:spacing w:after="0" w:line="86" w:lineRule="exact"/>
        <w:rPr>
          <w:sz w:val="20"/>
          <w:szCs w:val="20"/>
          <w:color w:val="auto"/>
        </w:rPr>
      </w:pPr>
    </w:p>
    <w:p>
      <w:pPr>
        <w:ind w:right="340" w:firstLine="509"/>
        <w:spacing w:after="0" w:line="220" w:lineRule="exact"/>
        <w:rPr>
          <w:sz w:val="20"/>
          <w:szCs w:val="20"/>
          <w:color w:val="auto"/>
        </w:rPr>
      </w:pPr>
      <w:r>
        <w:rPr>
          <w:rFonts w:ascii="Times New Roman" w:cs="Times New Roman" w:eastAsia="Times New Roman" w:hAnsi="Times New Roman"/>
          <w:sz w:val="18"/>
          <w:szCs w:val="18"/>
          <w:color w:val="auto"/>
        </w:rPr>
        <w:t>There is one currently FDA-approved THR-ß agonist treatment for MASH by Madrigal Pharmaceuticals, Inc.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as well as large and small biotechnology companies such as 89bio, Inc., Akero Therapeutics, Inc., Gilead, Inventiva Pharma SA, MediciNova, Inc., and Viking Therapeutics, Inc. are pursuing the development or marketing of pharmaceuticals that target MASH.</w:t>
      </w:r>
    </w:p>
    <w:p>
      <w:pPr>
        <w:spacing w:after="0" w:line="92"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In addition to remdesivir, which is FDA-approved, on May 25, 2023, Pfizer, Inc. received approval from the FDA for Paxlovid, an orally administered SARS-CoV-2 protease inhibitor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and Jakafi by Incyte Corporation. There are significant efforts globally to develop both therapeutic and prophylactic drug candidates including by Enanta Pharmaceuticals and Shionogi. Several companies are focused on antibody treatments, including Regeneron Pharmaceuticals, Inc. and Vir Biotechnology, Inc. (together with GSK, Biogen Inc. and WuXi Biologics Ltd.). The availability of such COVID-19 vaccines and each of Pfizer’s and Merck’s oral COVID-19 drug may reduce or eliminate the need for our potential COVID-19 therapies to treat the disease and therefore negatively impact the commercial opportunity.</w:t>
      </w:r>
    </w:p>
    <w:p>
      <w:pPr>
        <w:spacing w:after="0" w:line="9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or apply tariffs to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72" w:lineRule="exact"/>
        <w:rPr>
          <w:sz w:val="20"/>
          <w:szCs w:val="20"/>
          <w:color w:val="auto"/>
        </w:rPr>
      </w:pPr>
    </w:p>
    <w:p>
      <w:pPr>
        <w:ind w:right="40" w:firstLine="509"/>
        <w:spacing w:after="0" w:line="217" w:lineRule="exact"/>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viral indications and, most recently, obesity.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pevifoscorvir sodium,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0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4" w:name="page55"/>
    <w:bookmarkEnd w:id="54"/>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with Emory University, KU Leuven, and Luxna Biotech Co., Ltd.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entered into a License Agreement with Emory in June 2018,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example, in August 2025, we made a $9.0 million payment to Emory University following the first subject dosed in our Phase 2 pevifoscorvir sodium trial. For more information regarding our license agreements, please see the section titled “Business—License agreements and collaborations” of our Annual Report on Form 10-K for the year ended December 31, 2024, previously filed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5" w:name="page56"/>
    <w:bookmarkEnd w:id="55"/>
    <w:p>
      <w:pPr>
        <w:ind w:right="20"/>
        <w:spacing w:after="0" w:line="261" w:lineRule="auto"/>
        <w:rPr>
          <w:sz w:val="20"/>
          <w:szCs w:val="20"/>
          <w:color w:val="auto"/>
        </w:rPr>
      </w:pPr>
      <w:r>
        <w:rPr>
          <w:rFonts w:ascii="Times New Roman" w:cs="Times New Roman" w:eastAsia="Times New Roman" w:hAnsi="Times New Roman"/>
          <w:sz w:val="18"/>
          <w:szCs w:val="18"/>
          <w:color w:val="auto"/>
        </w:rPr>
        <w:t>with the SEC. As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initiatives and proposed initiatives to contain healthcare costs that could, among other things, affect our ability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drug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140"/>
        <w:spacing w:after="0" w:line="266" w:lineRule="auto"/>
        <w:rPr>
          <w:sz w:val="20"/>
          <w:szCs w:val="20"/>
          <w:color w:val="auto"/>
        </w:rPr>
      </w:pPr>
      <w:r>
        <w:rPr>
          <w:rFonts w:ascii="Times New Roman" w:cs="Times New Roman" w:eastAsia="Times New Roman" w:hAnsi="Times New Roman"/>
          <w:sz w:val="18"/>
          <w:szCs w:val="18"/>
          <w:color w:val="auto"/>
        </w:rPr>
        <w:t>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example, the Affordable Care Act (the ACA) was enacted in 2010, which substantially changed the way healthcare is financed by both governmental and private insurers, and significantly impacted the U.S. pharmaceutical industry. Among the provisions of the ACA of importance to our business, are provisions related to our ability to commercialize and the prices we may obtain for any drug candidates that are approved for sale,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Supreme Court dismissed a judicial challenge to the ACA brought by several states without specifically ruling on the constitutionality of the ACA.</w:t>
      </w:r>
    </w:p>
    <w:p>
      <w:pPr>
        <w:spacing w:after="0" w:line="9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included aggregate reductions of Medicare payments to providers. These reductions went into effect on April 1, 2013 and, due to subsequent legislative amendments to the statute, will remain in effect through 2032, unless additional Congressional action is taken. The American Taxpayer Relief Act of 2012, enacted in 2013, among other things, further reduced Medicare payments to several types of providers. The American Rescue Plan Act of 2021 eliminated the statutory Medicaid drug rebate cap, beginning January 1, 2024. The rebate was previously capped at 100% of a drug’s average manufacturer price.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(the IRA)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The impact of the IRA on us and the pharmaceutical industry cannot yet be fully determined, but is likely to be significant.</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spacing w:after="0" w:line="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United States. While it is unclear whether and how the Trump proposals will be implemented, the Trump policies are likely to have a negative impact on the pharmaceutical industry and on our ability to receive adequate revenues for any drug candidate that we commercialize. On the one hand, President Trump has threatened to impose significant tariffs on pharmaceutical manufacturers that do not adopt pricing policies such as most favored nation pricing, which would tie the price for drugs in the United States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w:t>
      </w:r>
    </w:p>
    <w:p>
      <w:pPr>
        <w:spacing w:after="0" w:line="84"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has been and continues to be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Some U.S. states have enacted legislation creating so-called prescription drug affordability boards, and to date one state has used its prescription drug affordability board to impose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or the frequency with which any drug candidate that we commercialize is prescribed or used.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prices we are able to charge for any drug candidate we develop, or could reduce the amounts that federal and state governments will pay for healthcare products and services, which could result in additional pricing pressure or reduced demand for any drug candidate we develop.</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6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Europe and elsewhere.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7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and other parts of Europe,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5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that may include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9" w:name="page60"/>
    <w:bookmarkEnd w:id="59"/>
    <w:p>
      <w:pPr>
        <w:ind w:right="160"/>
        <w:spacing w:after="0" w:line="282" w:lineRule="auto"/>
        <w:rPr>
          <w:sz w:val="20"/>
          <w:szCs w:val="20"/>
          <w:color w:val="auto"/>
        </w:rPr>
      </w:pPr>
      <w:r>
        <w:rPr>
          <w:rFonts w:ascii="Times New Roman" w:cs="Times New Roman" w:eastAsia="Times New Roman" w:hAnsi="Times New Roman"/>
          <w:sz w:val="18"/>
          <w:szCs w:val="18"/>
          <w:color w:val="auto"/>
        </w:rPr>
        <w:t>enforcement actions (which could include civil or criminal penalties), fines and penalties, private litigation, and/or adverse publicity and could negatively affect our financial condition, operating results and business.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clinical trial subjects,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The risk is increased by recent advancements in artificial intelligence, which can be used by bad actors for harmful purposes.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right="3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in some cases, may have the right to terminate the collaboration without cause;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0" w:name="page61"/>
    <w:bookmarkEnd w:id="60"/>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our drug candidates because they may be deemed to be at too early of a stage of development for collaborative efforts and third parties may not view them as having the requisite potential to demonstrate safety and efficacy.</w:t>
      </w:r>
    </w:p>
    <w:p>
      <w:pPr>
        <w:spacing w:after="0" w:line="84"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6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Such collaborators could breach their agreements with us, or claim that we are in breach of our obligations.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8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67"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pevifoscorvir sodium,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9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8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our ability to terminate such contracts quickly and without excessive expense, if no longer needed.</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Certain Chinese biotechnology companies, CROs and contract development and manufacturing organizations may become subject to trade restrictions, sanctions, other regulatory requirements, or proposed legislation by the U.S. government, which could potentially impact services available for our research and development or our ability to secure the materials we need for our drug candidates. For example, if such laws or restrictions are passed, they could have the potential to severely restrict the ability of U.S. biotechnology companies like us to purchase services or products from, collaborate with, or otherwise work with certain Chinese biotechnology companies. It is possible that some of our contractual counterparties could be impacted by the legislation described above. Such counterparties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Such disruption could have adverse effects on the development of our drug candidates.</w:t>
      </w:r>
    </w:p>
    <w:p>
      <w:pPr>
        <w:spacing w:after="0" w:line="8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and current arrangements and interactions with healthcare practitioners and institutions, may expose us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ind w:right="120"/>
        <w:spacing w:after="0" w:line="258" w:lineRule="auto"/>
        <w:rPr>
          <w:sz w:val="20"/>
          <w:szCs w:val="20"/>
          <w:color w:val="auto"/>
        </w:rPr>
      </w:pPr>
      <w:r>
        <w:rPr>
          <w:rFonts w:ascii="Times New Roman" w:cs="Times New Roman" w:eastAsia="Times New Roman" w:hAnsi="Times New Roman"/>
          <w:sz w:val="18"/>
          <w:szCs w:val="18"/>
          <w:color w:val="auto"/>
        </w:rPr>
        <w:t>broadly applicable fraud and abuse and other healthcare laws and regulations, including, without limitation, the federal Anti-Kickback Statute and the federal False Claims Act (the FCA), which may constrain the business or financial arrangements and relationships through which we develop, sell, market and distribute any products for which we seek and/or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75" w:lineRule="exact"/>
        <w:rPr>
          <w:sz w:val="20"/>
          <w:szCs w:val="20"/>
          <w:color w:val="auto"/>
        </w:rPr>
      </w:pPr>
    </w:p>
    <w:p>
      <w:pPr>
        <w:ind w:left="1020" w:right="100" w:hanging="503"/>
        <w:spacing w:after="0" w:line="254"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clinical investigators (particularly if elements of the applicable clinical protocol are federally reimbursed), purchasers, and formulary managers on the other;</w:t>
      </w:r>
    </w:p>
    <w:p>
      <w:pPr>
        <w:spacing w:after="0" w:line="83"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or may assert that alleged pre-approval or off-label promotion of a drug can lead to a false claim;</w:t>
      </w:r>
    </w:p>
    <w:p>
      <w:pPr>
        <w:spacing w:after="0" w:line="79"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0" w:lineRule="exact"/>
        <w:rPr>
          <w:rFonts w:ascii="Times New Roman" w:cs="Times New Roman" w:eastAsia="Times New Roman" w:hAnsi="Times New Roman"/>
          <w:sz w:val="18"/>
          <w:szCs w:val="18"/>
          <w:color w:val="auto"/>
        </w:rPr>
      </w:pPr>
    </w:p>
    <w:p>
      <w:pPr>
        <w:ind w:left="1020" w:right="160" w:hanging="503"/>
        <w:spacing w:after="0" w:line="274"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6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PhRMA Code on interactions with healthcare practitioners, and state laws that codify the PhRMA Code;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rules, regulations and guidance regarding pre-approval and off-label promotion of pharmaceutical products;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and interactions 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right="640"/>
        <w:spacing w:after="0" w:line="282" w:lineRule="auto"/>
        <w:rPr>
          <w:sz w:val="20"/>
          <w:szCs w:val="20"/>
          <w:color w:val="auto"/>
        </w:rPr>
      </w:pPr>
      <w:r>
        <w:rPr>
          <w:rFonts w:ascii="Times New Roman" w:cs="Times New Roman" w:eastAsia="Times New Roman" w:hAnsi="Times New Roman"/>
          <w:sz w:val="18"/>
          <w:szCs w:val="18"/>
          <w:color w:val="auto"/>
        </w:rPr>
        <w:t>third parties comply with applicable healthcare laws, as well as responding to investigations by government authorities, can be time- and resource-consuming and can divert management’s attention from the business.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which could lead to delays in product approvals, any of which could harm our ability to operate our business and our financial results. Further, if the physicians or other providers or entities with whom we interact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Additionally, the patenting rules and processes vary throughout the world, and may in some countries require a lengthy process of filings and appeals, and may never be successful.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steps we take to protect our sensitive intellectual property, including trade secrets, may be inadequate to prevent such information from being compromised through inadvertent disclosure, theft, or other means. Loss of valuable trade secrets could harm our competitive position, business, financial condition, results of operations and prospects.</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7" w:name="page68"/>
    <w:bookmarkEnd w:id="67"/>
    <w:p>
      <w:pPr>
        <w:ind w:right="20"/>
        <w:spacing w:after="0" w:line="253" w:lineRule="auto"/>
        <w:rPr>
          <w:sz w:val="20"/>
          <w:szCs w:val="20"/>
          <w:color w:val="auto"/>
        </w:rPr>
      </w:pPr>
      <w:r>
        <w:rPr>
          <w:rFonts w:ascii="Times New Roman" w:cs="Times New Roman" w:eastAsia="Times New Roman" w:hAnsi="Times New Roman"/>
          <w:sz w:val="18"/>
          <w:szCs w:val="18"/>
          <w:color w:val="auto"/>
        </w:rPr>
        <w:t>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8" w:name="page69"/>
    <w:bookmarkEnd w:id="68"/>
    <w:p>
      <w:pPr>
        <w:ind w:left="1020" w:right="3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2024, previously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2024, previously filed with the SEC. Any of the foregoing could harm our competitive position, business, financial condition, results of operations and prospects.</w:t>
      </w:r>
    </w:p>
    <w:p>
      <w:pPr>
        <w:spacing w:after="0" w:line="1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8"/>
          <w:szCs w:val="18"/>
          <w:color w:val="auto"/>
        </w:rPr>
        <w:t>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84"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9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drug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For example, some companies in our industry have experienced theft or breach of their intellectual property rights, including trade secrets, in China, a country where we have operations and do business.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71" w:name="page72"/>
    <w:bookmarkEnd w:id="71"/>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4" w:name="page75"/>
    <w:bookmarkEnd w:id="74"/>
    <w:p>
      <w:pPr>
        <w:ind w:right="160"/>
        <w:spacing w:after="0" w:line="282" w:lineRule="auto"/>
        <w:rPr>
          <w:sz w:val="20"/>
          <w:szCs w:val="20"/>
          <w:color w:val="auto"/>
        </w:rPr>
      </w:pPr>
      <w:r>
        <w:rPr>
          <w:rFonts w:ascii="Times New Roman" w:cs="Times New Roman" w:eastAsia="Times New Roman" w:hAnsi="Times New Roman"/>
          <w:sz w:val="18"/>
          <w:szCs w:val="18"/>
          <w:color w:val="auto"/>
        </w:rPr>
        <w:t>progress of our research, development and commercialization objectives and have a material adverse effect on our business, financial condition, results of operations and prospects.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are not able to successfully manage any dispute with an employee or contractor, a resulting settlement or judgment could be expensive, time-consuming and distracting, and could affect our ability to focus on and fund our core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5" w:name="page76"/>
    <w:bookmarkEnd w:id="75"/>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wildfires, or other natural disasters and our business continuity and disaster recovery plans may not adequately protect us from a serious disaster.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many other countries and regions, which may be subject to natural disaster risks.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 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In the absence of an active trading market common stock, investors may not be able to sell their common stock at a price or at the time that they would like to sell.</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77" w:name="page78"/>
    <w:bookmarkEnd w:id="7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and are therefore entitled to take advantage of many of the same exemptions from disclosure requirements as an emerging growth company, including reduced disclosure obligations regarding executive compensation in our periodic reports and proxy statements. In addition, as a smaller reporting company with less than $100 million in annual revenue, we are exempt from the requirement to obtain an auditor attestation on the effectiveness of our internal control over financial reporting provided in Section 404(b) of the Sarbanes-Oxley Act of 2002, or the Sarbanes-Oxley Act. These exemptions and reduced disclosures in our SEC filings due to our status as a smaller reporting company may make it harder for investors to analyze our results of operations and financial prospects.</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our executive officers, directors and their affiliates beneficially own, in the aggregate, approximately 65% of our outstanding common stock (assuming all shares of non-voting common stock are converted into voting common stock in accordance with the terms of our amended and restated certificate of incorporation), and 33%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9"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September 30, 2025,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approximately 2.6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addition, the holders of approximately 6.8 million of our total common stock and non-voting common stock are entitled to rights with respect to the registration of their shares under the Securities Act described above. Registration of these shares under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Securities Act would result in the shares becoming freely tradable without restriction under the Securities Act, except for shares purchased by affiliates.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sales of securities by these stockholders could have a material adverse effect on the market price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also performed a Code Section 382 analysis in February 2025 but determined there was no ownership change at that time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for our fiscal year ended December 31, 2024. If we become an accelerated or large accelerated filer, we will be subject to the independent auditor attestation requirement under Section 404(b) of the Sarbanes-Oxley Act. The rules governing the standards that must be met for management to assess our internal control over financial reporting are complex and require significant documentation, testing and possible remediation.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9" w:name="page80"/>
    <w:bookmarkEnd w:id="79"/>
    <w:p>
      <w:pPr>
        <w:ind w:left="1020" w:right="5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0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312" w:lineRule="auto"/>
        <w:tabs>
          <w:tab w:leader="none" w:pos="10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3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0" w:name="page81"/>
    <w:bookmarkEnd w:id="80"/>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revenue from license/collaboration agreements, and warrants.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applicability of, and lack of clarity around, trade tariffs imposed by the U.S. government and retaliatory tariffs imposed by other governments may have a significant impact on the financial condition of companies.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While the situation involving the conflict between Russia and Ukraine and the conflicts in the Middle East remain highly fluid, the ongoing conflict and any associated sanctions may have a severe impact on the global economy. A severe or prolonged economic downturn, such as the 2008 global financial crisis, and one that could be caused by the war in Ukraine or conflicts in the Middle East, or by U.S. government shutdowns or other domestic issues, could result in a variety of risks to our business, including, weakened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1" w:name="page82"/>
    <w:bookmarkEnd w:id="81"/>
    <w:p>
      <w:pPr>
        <w:ind w:right="20"/>
        <w:spacing w:after="0" w:line="254" w:lineRule="auto"/>
        <w:rPr>
          <w:sz w:val="20"/>
          <w:szCs w:val="20"/>
          <w:color w:val="auto"/>
        </w:rPr>
      </w:pPr>
      <w:r>
        <w:rPr>
          <w:rFonts w:ascii="Times New Roman" w:cs="Times New Roman" w:eastAsia="Times New Roman" w:hAnsi="Times New Roman"/>
          <w:sz w:val="18"/>
          <w:szCs w:val="18"/>
          <w:color w:val="auto"/>
        </w:rPr>
        <w:t>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9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8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3" w:name="page84"/>
    <w:bookmarkEnd w:id="83"/>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administrative proceedings could have a material adverse effect on our business, our financial condition and our results of operations.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For example, the OBBBA was signed into law in July 2025. The OBBBA contains numerous tax provisions that we are currently in the process of evaluating, and which may affect our business or financial condition. Regulatory guidance under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 There are many transactions that occur during the ordinary course of business for which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0" w:right="479" w:bottom="1440" w:gutter="0" w:footer="0" w:header="0"/>
        </w:sectPr>
      </w:pPr>
    </w:p>
    <w:bookmarkStart w:id="85" w:name="page86"/>
    <w:bookmarkEnd w:id="85"/>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purchasers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2025,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2"/>
        </w:trPr>
        <w:tc>
          <w:tcPr>
            <w:tcW w:w="92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18"/>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center"/>
              <w:ind w:left="12"/>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Amended and Restated Certificate of Incorporation.</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10/20/2020</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Certificate of Amendment to Amended and Restated Certificate of Incorporation.</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6/28/2024</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Certificate of Amendment to Amended and Restated Certificate of Incorporation.</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8/19/2024</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Certificate of Amendment to Amended and Restated Certificate of Incorporation.</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6/26/2025</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Amended and Restated Bylaws.</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10/20/2020</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254">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(a), </w:t>
            </w:r>
            <w:hyperlink r:id="rId255">
              <w:r>
                <w:rPr>
                  <w:rFonts w:ascii="Times New Roman" w:cs="Times New Roman" w:eastAsia="Times New Roman" w:hAnsi="Times New Roman"/>
                  <w:sz w:val="18"/>
                  <w:szCs w:val="18"/>
                  <w:color w:val="0000FF"/>
                </w:rPr>
                <w:t>3.1(b)</w:t>
              </w:r>
            </w:hyperlink>
            <w:r>
              <w:rPr>
                <w:rFonts w:ascii="Times New Roman" w:cs="Times New Roman" w:eastAsia="Times New Roman" w:hAnsi="Times New Roman"/>
                <w:sz w:val="18"/>
                <w:szCs w:val="18"/>
                <w:color w:val="auto"/>
              </w:rPr>
              <w:t xml:space="preserve">, </w:t>
            </w:r>
            <w:hyperlink r:id="rId256">
              <w:r>
                <w:rPr>
                  <w:rFonts w:ascii="Times New Roman" w:cs="Times New Roman" w:eastAsia="Times New Roman" w:hAnsi="Times New Roman"/>
                  <w:sz w:val="18"/>
                  <w:szCs w:val="18"/>
                  <w:color w:val="0000FF"/>
                </w:rPr>
                <w:t>3.1(c)</w:t>
              </w:r>
            </w:hyperlink>
            <w:r>
              <w:rPr>
                <w:rFonts w:ascii="Times New Roman" w:cs="Times New Roman" w:eastAsia="Times New Roman" w:hAnsi="Times New Roman"/>
                <w:sz w:val="18"/>
                <w:szCs w:val="18"/>
                <w:color w:val="auto"/>
              </w:rPr>
              <w:t xml:space="preserve">, </w:t>
            </w:r>
            <w:hyperlink r:id="rId257">
              <w:r>
                <w:rPr>
                  <w:rFonts w:ascii="Times New Roman" w:cs="Times New Roman" w:eastAsia="Times New Roman" w:hAnsi="Times New Roman"/>
                  <w:sz w:val="18"/>
                  <w:szCs w:val="18"/>
                  <w:color w:val="0000FF"/>
                </w:rPr>
                <w:t>3.1(d)</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58">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Form of Common Stock Certificate.</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11/6/2024</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of 2023 Common Warrant Agreement</w:t>
              </w:r>
            </w:hyperlink>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10/25/2023</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Form of 2023 Pre-Funded Warrant Agreement</w:t>
              </w:r>
            </w:hyperlink>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10/25/2023</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2025 Common Warrant Agreement</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2/12/2025</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5920" w:type="dxa"/>
            <w:vAlign w:val="bottom"/>
            <w:gridSpan w:val="20"/>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2025 Pre-Funded Warrant Agreement</w:t>
              </w:r>
            </w:hyperlink>
          </w:p>
        </w:tc>
        <w:tc>
          <w:tcPr>
            <w:tcW w:w="120" w:type="dxa"/>
            <w:vAlign w:val="bottom"/>
          </w:tcPr>
          <w:p>
            <w:pPr>
              <w:spacing w:after="0"/>
              <w:rPr>
                <w:sz w:val="24"/>
                <w:szCs w:val="24"/>
                <w:color w:val="auto"/>
              </w:rPr>
            </w:pPr>
          </w:p>
        </w:tc>
        <w:tc>
          <w:tcPr>
            <w:tcW w:w="5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2/12/2025</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88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20" w:type="dxa"/>
            <w:vAlign w:val="bottom"/>
            <w:tcBorders>
              <w:left w:val="single" w:sz="8" w:color="0000EE"/>
            </w:tcBorders>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5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6"/>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Borders>
              <w:right w:val="single" w:sz="8" w:color="0000FF"/>
            </w:tcBorders>
            <w:gridSpan w:val="6"/>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6"/>
            <w:shd w:val="clear" w:color="auto" w:fill="0000FF"/>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60" w:type="dxa"/>
            <w:vAlign w:val="bottom"/>
            <w:gridSpan w:val="1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14(a) under the Securities Exchange Act of 1934, as Adopted Pursuant to Section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1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6"/>
            <w:shd w:val="clear" w:color="auto" w:fill="0000FF"/>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5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1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760" w:type="dxa"/>
            <w:vAlign w:val="bottom"/>
            <w:gridSpan w:val="1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5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1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760" w:type="dxa"/>
            <w:vAlign w:val="bottom"/>
            <w:gridSpan w:val="1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76" w:lineRule="exact"/>
        <w:rPr>
          <w:sz w:val="20"/>
          <w:szCs w:val="20"/>
          <w:color w:val="auto"/>
        </w:rPr>
      </w:pPr>
    </w:p>
    <w:p>
      <w:pPr>
        <w:ind w:left="1040" w:right="3480" w:hanging="1032"/>
        <w:spacing w:after="0" w:line="184" w:lineRule="auto"/>
        <w:tabs>
          <w:tab w:leader="none" w:pos="1040" w:val="left"/>
        </w:tabs>
        <w:numPr>
          <w:ilvl w:val="0"/>
          <w:numId w:val="5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cover page from the Company’s Quarterly Report on Form 10-Q for the quarter ended September 30, 2025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9512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-3175</wp:posOffset>
            </wp:positionV>
            <wp:extent cx="6858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334" w:lineRule="exact"/>
        <w:rPr>
          <w:sz w:val="20"/>
          <w:szCs w:val="20"/>
          <w:color w:val="auto"/>
        </w:rPr>
      </w:pPr>
    </w:p>
    <w:p>
      <w:pPr>
        <w:sectPr>
          <w:pgSz w:w="11900" w:h="16838" w:orient="portrait"/>
          <w:cols w:equalWidth="0" w:num="2">
            <w:col w:w="10040" w:space="380"/>
            <w:col w:w="820"/>
          </w:cols>
          <w:pgMar w:left="320" w:top="1008" w:right="339" w:bottom="1440" w:gutter="0" w:footer="0" w:header="0"/>
        </w:sectPr>
      </w:pPr>
    </w:p>
    <w:p>
      <w:pPr>
        <w:spacing w:after="0" w:line="390" w:lineRule="exact"/>
        <w:rPr>
          <w:sz w:val="20"/>
          <w:szCs w:val="20"/>
          <w:color w:val="auto"/>
        </w:rPr>
      </w:pPr>
    </w:p>
    <w:p>
      <w:pPr>
        <w:jc w:val="both"/>
        <w:ind w:firstLine="517"/>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ALIGOS THERAPEUTICS, INC.</w:t>
      </w:r>
    </w:p>
    <w:p>
      <w:pPr>
        <w:spacing w:after="0" w:line="225" w:lineRule="exact"/>
        <w:rPr>
          <w:sz w:val="20"/>
          <w:szCs w:val="20"/>
          <w:color w:val="auto"/>
        </w:rPr>
      </w:pPr>
    </w:p>
    <w:p>
      <w:pPr>
        <w:spacing w:after="0"/>
        <w:tabs>
          <w:tab w:leader="none" w:pos="5600" w:val="left"/>
          <w:tab w:leader="none" w:pos="794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Lawrence Blatt, Ph.D.</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07" w:lineRule="exact"/>
        <w:rPr>
          <w:sz w:val="20"/>
          <w:szCs w:val="20"/>
          <w:color w:val="auto"/>
        </w:rPr>
      </w:pPr>
    </w:p>
    <w:p>
      <w:pPr>
        <w:spacing w:after="0"/>
        <w:tabs>
          <w:tab w:leader="none" w:pos="5600" w:val="left"/>
          <w:tab w:leader="none" w:pos="774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Operating Officer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Blatt,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117"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Aligos Therapeutics, Inc.;</w:t>
      </w:r>
    </w:p>
    <w:p>
      <w:pPr>
        <w:spacing w:after="0" w:line="117"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0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40" w:hanging="504"/>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160" w:hanging="504"/>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20" w:hanging="504"/>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580" w:hanging="504"/>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260" w:hanging="504"/>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772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Chief Operational Officer &amp; Chief</w:t>
      </w:r>
    </w:p>
    <w:p>
      <w:pPr>
        <w:spacing w:after="0" w:line="9"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ended September 30,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6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920" w:val="left"/>
          <w:tab w:leader="none" w:pos="808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President,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Aligos Therapeutics, Inc. (the “Company”) on Form 10-Q for the period ended September 30,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60" w:hanging="504"/>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920" w:val="left"/>
          <w:tab w:leader="none" w:pos="790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Executive Vice President, Chief Operating Officer &amp; Chief</w:t>
      </w:r>
    </w:p>
    <w:p>
      <w:pPr>
        <w:spacing w:after="0" w:line="9"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4"/>
    </w:lvl>
  </w:abstractNum>
  <w:abstractNum w:abstractNumId="6">
    <w:nsid w:val="614FD4A1"/>
    <w:multiLevelType w:val="hybridMultilevel"/>
    <w:lvl w:ilvl="0">
      <w:lvlJc w:val="left"/>
      <w:lvlText w:val="%1."/>
      <w:numFmt w:val="decimal"/>
      <w:start w:val="5"/>
    </w:lvl>
  </w:abstractNum>
  <w:abstractNum w:abstractNumId="7">
    <w:nsid w:val="419AC241"/>
    <w:multiLevelType w:val="hybridMultilevel"/>
    <w:lvl w:ilvl="0">
      <w:lvlJc w:val="left"/>
      <w:lvlText w:val="%1."/>
      <w:numFmt w:val="decimal"/>
      <w:start w:val="6"/>
    </w:lvl>
  </w:abstractNum>
  <w:abstractNum w:abstractNumId="8">
    <w:nsid w:val="5577F8E1"/>
    <w:multiLevelType w:val="hybridMultilevel"/>
    <w:lvl w:ilvl="0">
      <w:lvlJc w:val="left"/>
      <w:lvlText w:val="%1."/>
      <w:numFmt w:val="decimal"/>
      <w:start w:val="7"/>
    </w:lvl>
  </w:abstractNum>
  <w:abstractNum w:abstractNumId="9">
    <w:nsid w:val="440BADFC"/>
    <w:multiLevelType w:val="hybridMultilevel"/>
    <w:lvl w:ilvl="0">
      <w:lvlJc w:val="left"/>
      <w:lvlText w:val="%1."/>
      <w:numFmt w:val="decimal"/>
      <w:start w:val="8"/>
    </w:lvl>
  </w:abstractNum>
  <w:abstractNum w:abstractNumId="10">
    <w:nsid w:val="5072367"/>
    <w:multiLevelType w:val="hybridMultilevel"/>
    <w:lvl w:ilvl="0">
      <w:lvlJc w:val="left"/>
      <w:lvlText w:val="%1."/>
      <w:numFmt w:val="decimal"/>
      <w:start w:val="9"/>
    </w:lvl>
  </w:abstractNum>
  <w:abstractNum w:abstractNumId="11">
    <w:nsid w:val="3804823E"/>
    <w:multiLevelType w:val="hybridMultilevel"/>
    <w:lvl w:ilvl="0">
      <w:lvlJc w:val="left"/>
      <w:lvlText w:val="%1."/>
      <w:numFmt w:val="decimal"/>
      <w:start w:val="10"/>
    </w:lvl>
  </w:abstractNum>
  <w:abstractNum w:abstractNumId="12">
    <w:nsid w:val="77465F01"/>
    <w:multiLevelType w:val="hybridMultilevel"/>
    <w:lvl w:ilvl="0">
      <w:lvlJc w:val="left"/>
      <w:lvlText w:val="%1."/>
      <w:numFmt w:val="decimal"/>
      <w:start w:val="11"/>
    </w:lvl>
  </w:abstractNum>
  <w:abstractNum w:abstractNumId="13">
    <w:nsid w:val="7724C67E"/>
    <w:multiLevelType w:val="hybridMultilevel"/>
    <w:lvl w:ilvl="0">
      <w:lvlJc w:val="left"/>
      <w:lvlText w:val="%1."/>
      <w:numFmt w:val="decimal"/>
      <w:start w:val="12"/>
    </w:lvl>
  </w:abstractNum>
  <w:abstractNum w:abstractNumId="14">
    <w:nsid w:val="5C482A97"/>
    <w:multiLevelType w:val="hybridMultilevel"/>
    <w:lvl w:ilvl="0">
      <w:lvlJc w:val="left"/>
      <w:lvlText w:val="%1."/>
      <w:numFmt w:val="decimal"/>
      <w:start w:val="13"/>
    </w:lvl>
  </w:abstractNum>
  <w:abstractNum w:abstractNumId="15">
    <w:nsid w:val="2463B9EA"/>
    <w:multiLevelType w:val="hybridMultilevel"/>
    <w:lvl w:ilvl="0">
      <w:lvlJc w:val="left"/>
      <w:lvlText w:val="%1."/>
      <w:numFmt w:val="decimal"/>
      <w:start w:val="14"/>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β"/>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04"/>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54" Type="http://schemas.openxmlformats.org/officeDocument/2006/relationships/hyperlink" Target="https://www.sec.gov/Archives/edgar/data/1799448/000119312520272852/d46540dex31.htm" TargetMode="External"/><Relationship Id="rId255" Type="http://schemas.openxmlformats.org/officeDocument/2006/relationships/hyperlink" Target="https://www.sec.gov/Archives/edgar/data/1799448/000119312524172218/d129014dex31.htm" TargetMode="External"/><Relationship Id="rId256" Type="http://schemas.openxmlformats.org/officeDocument/2006/relationships/hyperlink" Target="https://www.sec.gov/Archives/edgar/data/1799448/000119312524202813/d882619dex31.htm" TargetMode="External"/><Relationship Id="rId257" Type="http://schemas.openxmlformats.org/officeDocument/2006/relationships/hyperlink" Target="https://www.sec.gov/Archives/edgar/data/1799448/000119312525148905/d98914dex31.htm" TargetMode="External"/><Relationship Id="rId258" Type="http://schemas.openxmlformats.org/officeDocument/2006/relationships/hyperlink" Target="https://www.sec.gov/Archives/edgar/data/1799448/000119312520272852/d46540dex32.htm" TargetMode="External"/><Relationship Id="rId259" Type="http://schemas.openxmlformats.org/officeDocument/2006/relationships/hyperlink" Target="https://www.sec.gov/Archives/edgar/data/1799448/000095017024122371/algs-ex4_2.htm" TargetMode="External"/><Relationship Id="rId260" Type="http://schemas.openxmlformats.org/officeDocument/2006/relationships/hyperlink" Target="https://www.sec.gov/Archives/edgar/data/1799448/000119312523263158/d533607dex42.htm" TargetMode="External"/><Relationship Id="rId261" Type="http://schemas.openxmlformats.org/officeDocument/2006/relationships/hyperlink" Target="https://www.sec.gov/Archives/edgar/data/1799448/000119312523263158/d533607dex41.htm" TargetMode="External"/><Relationship Id="rId262" Type="http://schemas.openxmlformats.org/officeDocument/2006/relationships/hyperlink" Target="https://www.sec.gov/Archives/edgar/data/1799448/000119312525024838/d901857dex42.htm" TargetMode="External"/><Relationship Id="rId263" Type="http://schemas.openxmlformats.org/officeDocument/2006/relationships/hyperlink" Target="https://www.sec.gov/Archives/edgar/data/1799448/000119312525024838/d90185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2025-11-06T07:52:02Z</dcterms:created>
  <dcterms:modified xsi:type="dcterms:W3CDTF">2025-11-06T07:52:02Z</dcterms:modified>
</cp:coreProperties>
</file>