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78105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ind w:left="480" w:hanging="459"/>
        <w:spacing w:after="0" w:line="236" w:lineRule="auto"/>
        <w:tabs>
          <w:tab w:leader="none" w:pos="480" w:val="left"/>
        </w:tabs>
        <w:numPr>
          <w:ilvl w:val="0"/>
          <w:numId w:val="1"/>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5" w:lineRule="exact"/>
        <w:rPr>
          <w:sz w:val="24"/>
          <w:szCs w:val="24"/>
          <w:color w:val="auto"/>
        </w:rPr>
      </w:pPr>
    </w:p>
    <w:p>
      <w:pPr>
        <w:ind w:left="480" w:right="740" w:hanging="459"/>
        <w:spacing w:after="0"/>
        <w:tabs>
          <w:tab w:leader="none" w:pos="480" w:val="left"/>
        </w:tabs>
        <w:numPr>
          <w:ilvl w:val="0"/>
          <w:numId w:val="2"/>
        </w:numPr>
        <w:rPr>
          <w:rFonts w:ascii="MS PGothic" w:cs="MS PGothic" w:eastAsia="MS PGothic" w:hAnsi="MS PGothic"/>
          <w:sz w:val="29"/>
          <w:szCs w:val="29"/>
          <w:color w:val="auto"/>
          <w:highlight w:val="black"/>
          <w:vertAlign w:val="superscript"/>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6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Commission File Number: 001-39617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Aligos Therapeutics, Inc.</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0"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4120" w:type="dxa"/>
            <w:vAlign w:val="bottom"/>
          </w:tcPr>
          <w:p>
            <w:pPr>
              <w:jc w:val="center"/>
              <w:ind w:right="1974"/>
              <w:spacing w:after="0"/>
              <w:rPr>
                <w:sz w:val="20"/>
                <w:szCs w:val="20"/>
                <w:color w:val="auto"/>
              </w:rPr>
            </w:pPr>
            <w:r>
              <w:rPr>
                <w:rFonts w:ascii="Times New Roman" w:cs="Times New Roman" w:eastAsia="Times New Roman" w:hAnsi="Times New Roman"/>
                <w:sz w:val="14"/>
                <w:szCs w:val="14"/>
                <w:color w:val="auto"/>
              </w:rPr>
              <w:t>Delaware</w:t>
            </w:r>
          </w:p>
        </w:tc>
        <w:tc>
          <w:tcPr>
            <w:tcW w:w="30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rPr>
              <w:t>82-4724808</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020" w:type="dxa"/>
            <w:vAlign w:val="bottom"/>
          </w:tcPr>
          <w:p>
            <w:pPr>
              <w:jc w:val="center"/>
              <w:ind w:left="197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28"/>
        </w:trPr>
        <w:tc>
          <w:tcPr>
            <w:tcW w:w="4120" w:type="dxa"/>
            <w:vAlign w:val="bottom"/>
          </w:tcPr>
          <w:p>
            <w:pPr>
              <w:jc w:val="center"/>
              <w:ind w:right="1974"/>
              <w:spacing w:after="0" w:line="128" w:lineRule="exact"/>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73"/>
              <w:spacing w:after="0" w:line="128"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53"/>
        </w:trPr>
        <w:tc>
          <w:tcPr>
            <w:tcW w:w="4120" w:type="dxa"/>
            <w:vAlign w:val="bottom"/>
          </w:tcPr>
          <w:p>
            <w:pPr>
              <w:jc w:val="center"/>
              <w:ind w:right="1974"/>
              <w:spacing w:after="0" w:line="153" w:lineRule="exact"/>
              <w:rPr>
                <w:sz w:val="20"/>
                <w:szCs w:val="20"/>
                <w:color w:val="auto"/>
              </w:rPr>
            </w:pPr>
            <w:r>
              <w:rPr>
                <w:rFonts w:ascii="Times New Roman" w:cs="Times New Roman" w:eastAsia="Times New Roman" w:hAnsi="Times New Roman"/>
                <w:sz w:val="13"/>
                <w:szCs w:val="13"/>
                <w:color w:val="auto"/>
              </w:rPr>
              <w:t>One Corporate Drive, 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3"/>
                <w:szCs w:val="13"/>
                <w:color w:val="auto"/>
              </w:rPr>
              <w:t xml:space="preserve"> Floor</w:t>
            </w:r>
          </w:p>
        </w:tc>
        <w:tc>
          <w:tcPr>
            <w:tcW w:w="30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color w:val="auto"/>
              </w:rPr>
              <w:t>94080</w:t>
            </w:r>
          </w:p>
        </w:tc>
        <w:tc>
          <w:tcPr>
            <w:tcW w:w="0" w:type="dxa"/>
            <w:vAlign w:val="bottom"/>
          </w:tcPr>
          <w:p>
            <w:pPr>
              <w:spacing w:after="0"/>
              <w:rPr>
                <w:sz w:val="1"/>
                <w:szCs w:val="1"/>
                <w:color w:val="auto"/>
              </w:rPr>
            </w:pPr>
          </w:p>
        </w:tc>
      </w:tr>
      <w:tr>
        <w:trPr>
          <w:trHeight w:val="151"/>
        </w:trPr>
        <w:tc>
          <w:tcPr>
            <w:tcW w:w="4120" w:type="dxa"/>
            <w:vAlign w:val="bottom"/>
          </w:tcPr>
          <w:p>
            <w:pPr>
              <w:jc w:val="center"/>
              <w:ind w:right="1974"/>
              <w:spacing w:after="0" w:line="151" w:lineRule="exact"/>
              <w:rPr>
                <w:sz w:val="20"/>
                <w:szCs w:val="20"/>
                <w:color w:val="auto"/>
              </w:rPr>
            </w:pPr>
            <w:r>
              <w:rPr>
                <w:rFonts w:ascii="Times New Roman" w:cs="Times New Roman" w:eastAsia="Times New Roman" w:hAnsi="Times New Roman"/>
                <w:sz w:val="14"/>
                <w:szCs w:val="14"/>
                <w:color w:val="auto"/>
              </w:rPr>
              <w:t>South San Francisco, California</w:t>
            </w:r>
          </w:p>
        </w:tc>
        <w:tc>
          <w:tcPr>
            <w:tcW w:w="3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20" w:type="dxa"/>
            <w:vAlign w:val="bottom"/>
          </w:tcPr>
          <w:p>
            <w:pPr>
              <w:jc w:val="center"/>
              <w:ind w:right="197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7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466-6059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20" w:type="dxa"/>
            <w:vAlign w:val="bottom"/>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00" w:type="dxa"/>
            <w:vAlign w:val="bottom"/>
          </w:tcPr>
          <w:p>
            <w:pPr>
              <w:spacing w:after="0"/>
              <w:rPr>
                <w:sz w:val="13"/>
                <w:szCs w:val="13"/>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19"/>
        </w:trPr>
        <w:tc>
          <w:tcPr>
            <w:tcW w:w="440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120" w:type="dxa"/>
            <w:vAlign w:val="bottom"/>
          </w:tcPr>
          <w:p>
            <w:pPr>
              <w:spacing w:after="0"/>
              <w:rPr>
                <w:sz w:val="10"/>
                <w:szCs w:val="10"/>
                <w:color w:val="auto"/>
              </w:rPr>
            </w:pPr>
          </w:p>
        </w:tc>
        <w:tc>
          <w:tcPr>
            <w:tcW w:w="22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ALGS</w:t>
            </w:r>
          </w:p>
        </w:tc>
        <w:tc>
          <w:tcPr>
            <w:tcW w:w="100" w:type="dxa"/>
            <w:vAlign w:val="bottom"/>
          </w:tcPr>
          <w:p>
            <w:pPr>
              <w:spacing w:after="0"/>
              <w:rPr>
                <w:sz w:val="10"/>
                <w:szCs w:val="10"/>
                <w:color w:val="auto"/>
              </w:rPr>
            </w:pPr>
          </w:p>
        </w:tc>
        <w:tc>
          <w:tcPr>
            <w:tcW w:w="438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The Nasdaq Stock Market LLC</w:t>
            </w:r>
          </w:p>
        </w:tc>
      </w:tr>
      <w:tr>
        <w:trPr>
          <w:trHeight w:val="188"/>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Capital Market)</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bl>
    <w:p>
      <w:pPr>
        <w:ind w:right="3540"/>
        <w:spacing w:after="0" w:line="234"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340"/>
        <w:spacing w:after="0" w:line="25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5"/>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020" w:type="dxa"/>
            <w:vAlign w:val="bottom"/>
          </w:tcPr>
          <w:p>
            <w:pPr>
              <w:ind w:left="580"/>
              <w:spacing w:after="0" w:line="151" w:lineRule="exact"/>
              <w:rPr>
                <w:sz w:val="20"/>
                <w:szCs w:val="20"/>
                <w:color w:val="auto"/>
              </w:rPr>
            </w:pPr>
            <w:r>
              <w:rPr>
                <w:rFonts w:ascii="MS PGothic" w:cs="MS PGothic" w:eastAsia="MS PGothic" w:hAnsi="MS PGothic"/>
                <w:sz w:val="15"/>
                <w:szCs w:val="15"/>
                <w:color w:val="auto"/>
              </w:rPr>
              <w:t>☐</w:t>
            </w:r>
          </w:p>
        </w:tc>
        <w:tc>
          <w:tcPr>
            <w:tcW w:w="4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Accelerated filer</w:t>
            </w:r>
          </w:p>
        </w:tc>
        <w:tc>
          <w:tcPr>
            <w:tcW w:w="2960" w:type="dxa"/>
            <w:vAlign w:val="bottom"/>
          </w:tcPr>
          <w:p>
            <w:pPr>
              <w:ind w:left="2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0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2960" w:type="dxa"/>
            <w:vAlign w:val="bottom"/>
          </w:tcPr>
          <w:p>
            <w:pPr>
              <w:ind w:left="28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2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Emerging growth company</w:t>
            </w:r>
          </w:p>
        </w:tc>
        <w:tc>
          <w:tcPr>
            <w:tcW w:w="2960" w:type="dxa"/>
            <w:vAlign w:val="bottom"/>
          </w:tcPr>
          <w:p>
            <w:pPr>
              <w:ind w:left="28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right="50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460"/>
        <w:spacing w:after="0" w:line="233" w:lineRule="auto"/>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audit report. </w:t>
      </w:r>
      <w:r>
        <w:rPr>
          <w:rFonts w:ascii="MS PGothic" w:cs="MS PGothic" w:eastAsia="MS PGothic" w:hAnsi="MS PGothic"/>
          <w:sz w:val="14"/>
          <w:szCs w:val="14"/>
          <w:color w:val="auto"/>
        </w:rPr>
        <w:t>☐</w:t>
      </w:r>
    </w:p>
    <w:p>
      <w:pPr>
        <w:spacing w:after="0" w:line="139" w:lineRule="exact"/>
        <w:rPr>
          <w:sz w:val="24"/>
          <w:szCs w:val="24"/>
          <w:color w:val="auto"/>
        </w:rPr>
      </w:pPr>
    </w:p>
    <w:p>
      <w:pPr>
        <w:ind w:right="12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checkmark whether any of those error corrections are restatements that required a recovery analysis of incentive-based compensation received by any of the registrant's executive</w:t>
      </w:r>
    </w:p>
    <w:p>
      <w:pPr>
        <w:spacing w:after="0" w:line="12" w:lineRule="exact"/>
        <w:rPr>
          <w:sz w:val="24"/>
          <w:szCs w:val="24"/>
          <w:color w:val="auto"/>
        </w:rPr>
      </w:pPr>
    </w:p>
    <w:p>
      <w:pPr>
        <w:spacing w:after="0" w:line="161" w:lineRule="exact"/>
        <w:tabs>
          <w:tab w:leader="none" w:pos="5460" w:val="left"/>
        </w:tabs>
        <w:rPr>
          <w:sz w:val="20"/>
          <w:szCs w:val="20"/>
          <w:color w:val="auto"/>
        </w:rPr>
      </w:pPr>
      <w:r>
        <w:rPr>
          <w:rFonts w:ascii="Times New Roman" w:cs="Times New Roman" w:eastAsia="Times New Roman" w:hAnsi="Times New Roman"/>
          <w:sz w:val="14"/>
          <w:szCs w:val="14"/>
          <w:color w:val="auto"/>
        </w:rPr>
        <w:t>officers during the relevant recover period pursuant to Section 240.10D-1(b).</w:t>
      </w:r>
      <w:r>
        <w:rPr>
          <w:sz w:val="20"/>
          <w:szCs w:val="20"/>
          <w:color w:val="auto"/>
        </w:rPr>
        <w:tab/>
      </w:r>
      <w:r>
        <w:rPr>
          <w:rFonts w:ascii="MS PGothic" w:cs="MS PGothic" w:eastAsia="MS PGothic" w:hAnsi="MS PGothic"/>
          <w:sz w:val="14"/>
          <w:szCs w:val="14"/>
          <w:color w:val="auto"/>
        </w:rPr>
        <w:t>☐</w:t>
      </w:r>
    </w:p>
    <w:p>
      <w:pPr>
        <w:spacing w:after="0" w:line="14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line="236" w:lineRule="auto"/>
        <w:rPr>
          <w:sz w:val="20"/>
          <w:szCs w:val="20"/>
          <w:color w:val="auto"/>
        </w:rPr>
      </w:pPr>
      <w:r>
        <w:rPr>
          <w:rFonts w:ascii="Times New Roman" w:cs="Times New Roman" w:eastAsia="Times New Roman" w:hAnsi="Times New Roman"/>
          <w:sz w:val="14"/>
          <w:szCs w:val="14"/>
          <w:color w:val="auto"/>
        </w:rPr>
        <w:t>The aggregate market value of voting and non-voting common stock held by non-affiliates of the Registrant was approximately $38.7 million as of June 28, 2024, the last business day of the Registrant's most recently completed second fiscal quarter, based on (i) 3,191,425 shares of common stock, $0.0001 par value per share, outstanding, comprised of 3,067,732 shares of voting common stock, $0.0001 par value per share and 123,693 shares of non-voting common stock, $0.0001 par value per share, and (ii) the closing sales price for the Registrant’s common stock on the Nasdaq Capital Market on such date.</w:t>
      </w:r>
    </w:p>
    <w:p>
      <w:pPr>
        <w:spacing w:after="0" w:line="150"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As of March 6, 2025, the Registrant had 6,114,311 shares of common stock, $0.0001 par value per share, outstanding, comprised of 5,314,311 shares of voting common stock, $0.0001 par value per share and 800,000 shares of non-voting common stock, $0.0001 par value per share. This number does not include 4,363,916 shares of common stock issuable upon the exercise of pre-funded warrants outstanding as of March 6, 2025 (which are immediately exercisable at an exercise price of $0.0025 and $0.0001 per share of common stock, respectively, subject to beneficial</w:t>
      </w:r>
    </w:p>
    <w:p>
      <w:pPr>
        <w:spacing w:after="0" w:line="1" w:lineRule="exact"/>
        <w:rPr>
          <w:sz w:val="24"/>
          <w:szCs w:val="24"/>
          <w:color w:val="auto"/>
        </w:rPr>
      </w:pPr>
    </w:p>
    <w:p>
      <w:pPr>
        <w:ind w:right="320"/>
        <w:spacing w:after="0" w:line="302" w:lineRule="auto"/>
        <w:rPr>
          <w:sz w:val="20"/>
          <w:szCs w:val="20"/>
          <w:color w:val="auto"/>
        </w:rPr>
      </w:pPr>
      <w:r>
        <w:rPr>
          <w:rFonts w:ascii="Times New Roman" w:cs="Times New Roman" w:eastAsia="Times New Roman" w:hAnsi="Times New Roman"/>
          <w:sz w:val="14"/>
          <w:szCs w:val="14"/>
          <w:color w:val="auto"/>
        </w:rPr>
        <w:t>ownership limitations) sold in the Registrant’s private placement on October 23, 2023 and February 13, 2025. See Note 8— Common Warrants and Pre- Funded Warrants to the Registrant’s audited financial statements.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438785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the 2025 Annual Meeting of Stockholders, which will be filed with the Securities and Exchange Commission within 120 days after the end of the Registrant’s fiscal year ended December 31, 2024,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30"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16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563C1"/>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 w:type="dxa"/>
            <w:vAlign w:val="bottom"/>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9"/>
              </w:rPr>
              <w:t>Risk Factors</w:t>
            </w:r>
          </w:p>
        </w:tc>
        <w:tc>
          <w:tcPr>
            <w:tcW w:w="8380" w:type="dxa"/>
            <w:vAlign w:val="bottom"/>
            <w:gridSpan w:val="1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563C1"/>
            </w:tcBorders>
            <w:gridSpan w:val="10"/>
          </w:tcPr>
          <w:p>
            <w:pPr>
              <w:spacing w:after="0" w:line="196" w:lineRule="exact"/>
              <w:rPr>
                <w:sz w:val="20"/>
                <w:szCs w:val="20"/>
                <w:color w:val="auto"/>
              </w:rPr>
            </w:pPr>
            <w:r>
              <w:rPr>
                <w:rFonts w:ascii="Times New Roman" w:cs="Times New Roman" w:eastAsia="Times New Roman" w:hAnsi="Times New Roman"/>
                <w:sz w:val="18"/>
                <w:szCs w:val="18"/>
                <w:color w:val="0563C1"/>
                <w:w w:val="99"/>
              </w:rPr>
              <w:t>Unresolved Staff Comments</w:t>
            </w:r>
          </w:p>
        </w:tc>
        <w:tc>
          <w:tcPr>
            <w:tcW w:w="724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563C1"/>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w w:val="98"/>
              </w:rPr>
              <w:t>Cybersecurity</w:t>
            </w:r>
          </w:p>
        </w:tc>
        <w:tc>
          <w:tcPr>
            <w:tcW w:w="828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8"/>
              </w:rPr>
              <w:t>Properties</w:t>
            </w:r>
          </w:p>
        </w:tc>
        <w:tc>
          <w:tcPr>
            <w:tcW w:w="8560" w:type="dxa"/>
            <w:vAlign w:val="bottom"/>
            <w:gridSpan w:val="1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0" w:type="dxa"/>
            <w:vAlign w:val="bottom"/>
            <w:gridSpan w:val="3"/>
            <w:shd w:val="clear" w:color="auto" w:fill="0563C1"/>
          </w:tcPr>
          <w:p>
            <w:pPr>
              <w:spacing w:after="0" w:line="20" w:lineRule="exact"/>
              <w:rPr>
                <w:sz w:val="1"/>
                <w:szCs w:val="1"/>
                <w:color w:val="auto"/>
              </w:rPr>
            </w:pPr>
          </w:p>
        </w:tc>
        <w:tc>
          <w:tcPr>
            <w:tcW w:w="520" w:type="dxa"/>
            <w:vAlign w:val="bottom"/>
            <w:gridSpan w:val="3"/>
            <w:shd w:val="clear" w:color="auto" w:fill="0563C1"/>
          </w:tcPr>
          <w:p>
            <w:pPr>
              <w:spacing w:after="0" w:line="20" w:lineRule="exact"/>
              <w:rPr>
                <w:sz w:val="1"/>
                <w:szCs w:val="1"/>
                <w:color w:val="auto"/>
              </w:rPr>
            </w:pPr>
          </w:p>
        </w:tc>
        <w:tc>
          <w:tcPr>
            <w:tcW w:w="24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4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563C1"/>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563C1"/>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8"/>
              </w:rPr>
              <w:t>[Reserved]</w:t>
            </w:r>
          </w:p>
        </w:tc>
        <w:tc>
          <w:tcPr>
            <w:tcW w:w="7300" w:type="dxa"/>
            <w:vAlign w:val="bottom"/>
            <w:tcBorders>
              <w:top w:val="single" w:sz="8" w:color="0563C1"/>
            </w:tcBorders>
            <w:gridSpan w:val="17"/>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563C1"/>
            </w:tcBorders>
            <w:gridSpan w:val="18"/>
          </w:tcPr>
          <w:p>
            <w:pPr>
              <w:spacing w:after="0" w:line="196" w:lineRule="exact"/>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563C1"/>
              <w:bottom w:val="single" w:sz="8" w:color="0563C1"/>
            </w:tcBorders>
            <w:gridSpan w:val="13"/>
          </w:tcPr>
          <w:p>
            <w:pPr>
              <w:spacing w:after="0" w:line="196" w:lineRule="exact"/>
              <w:rPr>
                <w:sz w:val="20"/>
                <w:szCs w:val="20"/>
                <w:color w:val="auto"/>
              </w:rPr>
            </w:pPr>
            <w:r>
              <w:rPr>
                <w:rFonts w:ascii="Times New Roman" w:cs="Times New Roman" w:eastAsia="Times New Roman" w:hAnsi="Times New Roman"/>
                <w:sz w:val="18"/>
                <w:szCs w:val="18"/>
                <w:color w:val="0563C1"/>
                <w:w w:val="99"/>
              </w:rPr>
              <w:t>Financial Statements and Supplementary Data</w:t>
            </w:r>
          </w:p>
        </w:tc>
        <w:tc>
          <w:tcPr>
            <w:tcW w:w="1020" w:type="dxa"/>
            <w:vAlign w:val="bottom"/>
            <w:tcBorders>
              <w:top w:val="single" w:sz="8" w:color="0563C1"/>
            </w:tcBorders>
            <w:gridSpan w:val="2"/>
          </w:tcPr>
          <w:p>
            <w:pPr>
              <w:spacing w:after="0"/>
              <w:rPr>
                <w:sz w:val="17"/>
                <w:szCs w:val="17"/>
                <w:color w:val="auto"/>
              </w:rPr>
            </w:pPr>
          </w:p>
        </w:tc>
        <w:tc>
          <w:tcPr>
            <w:tcW w:w="494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563C1"/>
              <w:bottom w:val="single" w:sz="8" w:color="0563C1"/>
            </w:tcBorders>
            <w:gridSpan w:val="8"/>
          </w:tcPr>
          <w:p>
            <w:pPr>
              <w:spacing w:after="0" w:line="196" w:lineRule="exact"/>
              <w:rPr>
                <w:sz w:val="20"/>
                <w:szCs w:val="20"/>
                <w:color w:val="auto"/>
              </w:rPr>
            </w:pPr>
            <w:r>
              <w:rPr>
                <w:rFonts w:ascii="Times New Roman" w:cs="Times New Roman" w:eastAsia="Times New Roman" w:hAnsi="Times New Roman"/>
                <w:sz w:val="18"/>
                <w:szCs w:val="18"/>
                <w:color w:val="0563C1"/>
                <w:w w:val="99"/>
              </w:rPr>
              <w:t>Controls and Procedures</w:t>
            </w:r>
          </w:p>
        </w:tc>
        <w:tc>
          <w:tcPr>
            <w:tcW w:w="4700" w:type="dxa"/>
            <w:vAlign w:val="bottom"/>
            <w:tcBorders>
              <w:top w:val="single" w:sz="8" w:color="0563C1"/>
            </w:tcBorders>
            <w:gridSpan w:val="10"/>
          </w:tcPr>
          <w:p>
            <w:pPr>
              <w:spacing w:after="0"/>
              <w:rPr>
                <w:sz w:val="17"/>
                <w:szCs w:val="17"/>
                <w:color w:val="auto"/>
              </w:rPr>
            </w:pPr>
          </w:p>
        </w:tc>
        <w:tc>
          <w:tcPr>
            <w:tcW w:w="282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6"/>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4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76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540" w:type="dxa"/>
            <w:vAlign w:val="bottom"/>
            <w:tcBorders>
              <w:top w:val="single" w:sz="8" w:color="0563C1"/>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563C1"/>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563C1"/>
              <w:bottom w:val="single" w:sz="8" w:color="0563C1"/>
            </w:tcBorders>
            <w:gridSpan w:val="9"/>
          </w:tcPr>
          <w:p>
            <w:pPr>
              <w:spacing w:after="0" w:line="196" w:lineRule="exact"/>
              <w:rPr>
                <w:sz w:val="20"/>
                <w:szCs w:val="20"/>
                <w:color w:val="auto"/>
              </w:rPr>
            </w:pPr>
            <w:r>
              <w:rPr>
                <w:rFonts w:ascii="Times New Roman" w:cs="Times New Roman" w:eastAsia="Times New Roman" w:hAnsi="Times New Roman"/>
                <w:sz w:val="18"/>
                <w:szCs w:val="18"/>
                <w:color w:val="0563C1"/>
                <w:w w:val="99"/>
              </w:rPr>
              <w:t>Executive Compensation</w:t>
            </w:r>
          </w:p>
        </w:tc>
        <w:tc>
          <w:tcPr>
            <w:tcW w:w="2280" w:type="dxa"/>
            <w:vAlign w:val="bottom"/>
            <w:tcBorders>
              <w:top w:val="single" w:sz="8" w:color="0563C1"/>
            </w:tcBorders>
            <w:gridSpan w:val="5"/>
          </w:tcPr>
          <w:p>
            <w:pPr>
              <w:spacing w:after="0"/>
              <w:rPr>
                <w:sz w:val="17"/>
                <w:szCs w:val="17"/>
                <w:color w:val="auto"/>
              </w:rPr>
            </w:pPr>
          </w:p>
        </w:tc>
        <w:tc>
          <w:tcPr>
            <w:tcW w:w="52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563C1"/>
            </w:tcBorders>
            <w:gridSpan w:val="19"/>
          </w:tcPr>
          <w:p>
            <w:pPr>
              <w:spacing w:after="0" w:line="196" w:lineRule="exact"/>
              <w:rPr>
                <w:sz w:val="20"/>
                <w:szCs w:val="20"/>
                <w:color w:val="auto"/>
              </w:rPr>
            </w:pPr>
            <w:r>
              <w:rPr>
                <w:rFonts w:ascii="Times New Roman" w:cs="Times New Roman" w:eastAsia="Times New Roman" w:hAnsi="Times New Roman"/>
                <w:sz w:val="18"/>
                <w:szCs w:val="18"/>
                <w:color w:val="0563C1"/>
                <w:w w:val="99"/>
              </w:rPr>
              <w:t>Security Ownership of Certain Beneficial Owners and Management and Related Stockholder Matters</w:t>
            </w:r>
          </w:p>
        </w:tc>
        <w:tc>
          <w:tcPr>
            <w:tcW w:w="200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3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563C1"/>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Principal Accounting Fees and Services</w:t>
            </w:r>
          </w:p>
        </w:tc>
        <w:tc>
          <w:tcPr>
            <w:tcW w:w="38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4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30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40" w:type="dxa"/>
            <w:vAlign w:val="bottom"/>
            <w:tcBorders>
              <w:top w:val="single" w:sz="8" w:color="0563C1"/>
            </w:tcBorders>
          </w:tcPr>
          <w:p>
            <w:pPr>
              <w:spacing w:after="0"/>
              <w:rPr>
                <w:sz w:val="24"/>
                <w:szCs w:val="24"/>
                <w:color w:val="auto"/>
              </w:rPr>
            </w:pPr>
          </w:p>
        </w:tc>
        <w:tc>
          <w:tcPr>
            <w:tcW w:w="240" w:type="dxa"/>
            <w:vAlign w:val="bottom"/>
            <w:tcBorders>
              <w:top w:val="single" w:sz="8" w:color="0563C1"/>
            </w:tcBorders>
          </w:tcPr>
          <w:p>
            <w:pPr>
              <w:spacing w:after="0"/>
              <w:rPr>
                <w:sz w:val="24"/>
                <w:szCs w:val="24"/>
                <w:color w:val="auto"/>
              </w:rPr>
            </w:pPr>
          </w:p>
        </w:tc>
        <w:tc>
          <w:tcPr>
            <w:tcW w:w="82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00" w:type="dxa"/>
            <w:vAlign w:val="bottom"/>
            <w:gridSpan w:val="21"/>
          </w:tcPr>
          <w:p>
            <w:pPr>
              <w:spacing w:after="0" w:line="194" w:lineRule="exact"/>
              <w:rPr>
                <w:sz w:val="20"/>
                <w:szCs w:val="20"/>
                <w:color w:val="auto"/>
              </w:rPr>
            </w:pPr>
            <w:r>
              <w:rPr>
                <w:rFonts w:ascii="Times New Roman" w:cs="Times New Roman" w:eastAsia="Times New Roman" w:hAnsi="Times New Roman"/>
                <w:sz w:val="18"/>
                <w:szCs w:val="18"/>
                <w:color w:val="0563C1"/>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2900" w:type="dxa"/>
            <w:vAlign w:val="bottom"/>
            <w:tcBorders>
              <w:top w:val="single" w:sz="8" w:color="0563C1"/>
            </w:tcBorders>
            <w:gridSpan w:val="12"/>
          </w:tcPr>
          <w:p>
            <w:pPr>
              <w:spacing w:after="0" w:line="196" w:lineRule="exact"/>
              <w:rPr>
                <w:sz w:val="20"/>
                <w:szCs w:val="20"/>
                <w:color w:val="auto"/>
              </w:rPr>
            </w:pPr>
            <w:r>
              <w:rPr>
                <w:rFonts w:ascii="Times New Roman" w:cs="Times New Roman" w:eastAsia="Times New Roman" w:hAnsi="Times New Roman"/>
                <w:sz w:val="18"/>
                <w:szCs w:val="18"/>
                <w:color w:val="0563C1"/>
              </w:rPr>
              <w:t>Form 10-K Summary</w:t>
            </w:r>
          </w:p>
        </w:tc>
        <w:tc>
          <w:tcPr>
            <w:tcW w:w="640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1215"/>
        </w:trPr>
        <w:tc>
          <w:tcPr>
            <w:tcW w:w="1160" w:type="dxa"/>
            <w:vAlign w:val="bottom"/>
            <w:tcBorders>
              <w:bottom w:val="single" w:sz="8" w:color="9A9A9A"/>
            </w:tcBorders>
          </w:tcPr>
          <w:p>
            <w:pPr>
              <w:spacing w:after="0"/>
              <w:rPr>
                <w:sz w:val="24"/>
                <w:szCs w:val="24"/>
                <w:color w:val="auto"/>
              </w:rPr>
            </w:pPr>
          </w:p>
        </w:tc>
        <w:tc>
          <w:tcPr>
            <w:tcW w:w="64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60" w:type="dxa"/>
            <w:vAlign w:val="bottom"/>
            <w:tcBorders>
              <w:top w:val="single" w:sz="8" w:color="0563C1"/>
              <w:bottom w:val="single" w:sz="8" w:color="9A9A9A"/>
            </w:tcBorders>
          </w:tcPr>
          <w:p>
            <w:pPr>
              <w:spacing w:after="0"/>
              <w:rPr>
                <w:sz w:val="24"/>
                <w:szCs w:val="24"/>
                <w:color w:val="auto"/>
              </w:rPr>
            </w:pPr>
          </w:p>
        </w:tc>
        <w:tc>
          <w:tcPr>
            <w:tcW w:w="120" w:type="dxa"/>
            <w:vAlign w:val="bottom"/>
            <w:tcBorders>
              <w:top w:val="single" w:sz="8" w:color="0563C1"/>
              <w:bottom w:val="single" w:sz="8" w:color="9A9A9A"/>
            </w:tcBorders>
          </w:tcPr>
          <w:p>
            <w:pPr>
              <w:spacing w:after="0"/>
              <w:rPr>
                <w:sz w:val="24"/>
                <w:szCs w:val="24"/>
                <w:color w:val="auto"/>
              </w:rPr>
            </w:pPr>
          </w:p>
        </w:tc>
        <w:tc>
          <w:tcPr>
            <w:tcW w:w="100" w:type="dxa"/>
            <w:vAlign w:val="bottom"/>
            <w:tcBorders>
              <w:top w:val="single" w:sz="8" w:color="0563C1"/>
              <w:bottom w:val="single" w:sz="8" w:color="9A9A9A"/>
            </w:tcBorders>
          </w:tcPr>
          <w:p>
            <w:pPr>
              <w:spacing w:after="0"/>
              <w:rPr>
                <w:sz w:val="24"/>
                <w:szCs w:val="24"/>
                <w:color w:val="auto"/>
              </w:rPr>
            </w:pPr>
          </w:p>
        </w:tc>
        <w:tc>
          <w:tcPr>
            <w:tcW w:w="300" w:type="dxa"/>
            <w:vAlign w:val="bottom"/>
            <w:tcBorders>
              <w:top w:val="single" w:sz="8" w:color="0563C1"/>
              <w:bottom w:val="single" w:sz="8" w:color="9A9A9A"/>
            </w:tcBorders>
          </w:tcPr>
          <w:p>
            <w:pPr>
              <w:spacing w:after="0"/>
              <w:rPr>
                <w:sz w:val="24"/>
                <w:szCs w:val="24"/>
                <w:color w:val="auto"/>
              </w:rPr>
            </w:pPr>
          </w:p>
        </w:tc>
        <w:tc>
          <w:tcPr>
            <w:tcW w:w="240" w:type="dxa"/>
            <w:vAlign w:val="bottom"/>
            <w:tcBorders>
              <w:top w:val="single" w:sz="8" w:color="0563C1"/>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1020" w:right="4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developing our drug candidates or any other future drug candidates, and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related to the research and development of our pipeline;</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costs involved in, obtaining and maintaining regulatory approval for any of our current or future drug candidates, and any related restrictions or limitations;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size of the potential patient populations for our drug candidates and any future drug candidates, if approved for commercial use;</w:t>
      </w:r>
    </w:p>
    <w:p>
      <w:pPr>
        <w:spacing w:after="0" w:line="53"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establish new, collaborations, licensing or other arrangements and the financial terms of any such agreements;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expectations;</w:t>
      </w:r>
    </w:p>
    <w:p>
      <w:pPr>
        <w:spacing w:after="0" w:line="11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drug candidates, as well as the pricing and reimbursement of our drug candidates, if approved;</w:t>
      </w:r>
    </w:p>
    <w:p>
      <w:pPr>
        <w:spacing w:after="0" w:line="53"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 candidates and technology, including additional indications for which we may pursue;</w:t>
      </w:r>
    </w:p>
    <w:p>
      <w:pPr>
        <w:spacing w:after="0" w:line="53"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including the projected term of patent protection;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 including competing therapies and procedures;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legal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management, scientific and medical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and defend our intellectual property protection for our drug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18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7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risks and uncertainties affecting our business include the following:</w:t>
      </w:r>
    </w:p>
    <w:p>
      <w:pPr>
        <w:spacing w:after="0" w:line="333" w:lineRule="exact"/>
        <w:rPr>
          <w:sz w:val="20"/>
          <w:szCs w:val="20"/>
          <w:color w:val="auto"/>
        </w:rPr>
      </w:pPr>
    </w:p>
    <w:p>
      <w:pPr>
        <w:ind w:left="1020" w:right="3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 for a full fiscal year.</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020" w:right="2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other therapies, which exposes us to additional risks.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3" w:lineRule="exact"/>
        <w:rPr>
          <w:rFonts w:ascii="Times New Roman" w:cs="Times New Roman" w:eastAsia="Times New Roman" w:hAnsi="Times New Roman"/>
          <w:sz w:val="18"/>
          <w:szCs w:val="18"/>
          <w:color w:val="auto"/>
        </w:rPr>
      </w:pPr>
    </w:p>
    <w:p>
      <w:pPr>
        <w:jc w:val="both"/>
        <w:ind w:left="1020" w:right="14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 w:name="page6"/>
    <w:bookmarkEnd w:id="5"/>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3" w:lineRule="exact"/>
        <w:rPr>
          <w:rFonts w:ascii="Times New Roman" w:cs="Times New Roman" w:eastAsia="Times New Roman" w:hAnsi="Times New Roman"/>
          <w:sz w:val="18"/>
          <w:szCs w:val="18"/>
          <w:color w:val="auto"/>
        </w:rPr>
      </w:pPr>
    </w:p>
    <w:p>
      <w:pPr>
        <w:ind w:left="1020" w:right="20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0" w:firstLine="749"/>
        <w:spacing w:after="0" w:line="227"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coronavirus infections (e.g.,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MERS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and other related infections). The Aligos team has a demonstrated track record of success in drug development and medicinal chemistry in liver and viral diseases, resulting in three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w:t>
      </w:r>
    </w:p>
    <w:p>
      <w:pPr>
        <w:spacing w:after="0" w:line="24"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color w:val="auto"/>
        </w:rPr>
        <w:t>Our pipeline of drug candidates includes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chronic HBV infection,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MASH,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a portfolio of preclinical programs.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with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has demonstrated greater hepatitis B virus deoxyribonucleic acid (HBV DNA) suppression compared to the standard of care, nucleos(t)ide analogs (NAs), as well as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an ongoing, multi-part Phase 1 clinical trial spanning up to 96 weeks of treatment.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thyroid hormone receptor beta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MASH with enhanced pharmacologic properties vs. competitor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Phase 2a topline data demonstrated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met the primary endpoint with statistically significant reductions in liver fat at Week 12 as measured by Magnetic Resonance Imaging Proton Density Fat Fraction (MRI-PDFF).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potential best-in-class small molecule coronavirus 3CL protease inhibitor (PI) which is at least</w:t>
      </w:r>
    </w:p>
    <w:p>
      <w:pPr>
        <w:spacing w:after="0" w:line="6" w:lineRule="exact"/>
        <w:rPr>
          <w:sz w:val="20"/>
          <w:szCs w:val="20"/>
          <w:color w:val="auto"/>
        </w:rPr>
      </w:pPr>
    </w:p>
    <w:p>
      <w:pPr>
        <w:ind w:right="340"/>
        <w:spacing w:after="0" w:line="219"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fold more potent in cell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assays of coronavirus infection than other approved CoV PIs and can be dosed twice daily without the requirement for ritonavir co-dosing based on Phase 1 clinical studies conducted to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21" w:lineRule="exact"/>
        <w:rPr>
          <w:sz w:val="20"/>
          <w:szCs w:val="20"/>
          <w:color w:val="auto"/>
        </w:rPr>
      </w:pPr>
    </w:p>
    <w:p>
      <w:pPr>
        <w:ind w:firstLine="509"/>
        <w:spacing w:after="0" w:line="224" w:lineRule="exact"/>
        <w:rPr>
          <w:sz w:val="20"/>
          <w:szCs w:val="20"/>
          <w:color w:val="auto"/>
        </w:rPr>
      </w:pPr>
      <w:r>
        <w:rPr>
          <w:rFonts w:ascii="Times New Roman" w:cs="Times New Roman" w:eastAsia="Times New Roman" w:hAnsi="Times New Roman"/>
          <w:sz w:val="18"/>
          <w:szCs w:val="18"/>
          <w:color w:val="auto"/>
        </w:rPr>
        <w:t>We are focused on liver and viral diseases, areas in which our employees have expertise and decades of experience. In the area of chronic HBV infection, our most advanced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plays an important role in disrupting the HBV lifecycle with greater viral suppression as well as reductions in viral antigens, and has the potential to replace standard of care NAs and become the backbone of next-generation treatments. We have advanced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MASH through a Phase 2a study and are evaluating a variety of options to fund continued development, including potential out-licensing. Our ritonavir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protease inhibitor (PI)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also appears to be favorably differentiated in a Phase 1 study and is currently in clinical studies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COVID-19 patients.</w:t>
      </w:r>
    </w:p>
    <w:p>
      <w:pPr>
        <w:spacing w:after="0" w:line="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u w:val="single" w:color="auto"/>
          <w:color w:val="auto"/>
        </w:rPr>
        <w:t>Figure 1: Aligos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225425</wp:posOffset>
            </wp:positionV>
            <wp:extent cx="5349240" cy="1765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Chronic HBV Infection</w:t>
      </w:r>
    </w:p>
    <w:p>
      <w:pPr>
        <w:spacing w:after="0" w:line="121" w:lineRule="exact"/>
        <w:rPr>
          <w:sz w:val="20"/>
          <w:szCs w:val="20"/>
          <w:color w:val="auto"/>
        </w:rPr>
      </w:pPr>
    </w:p>
    <w:p>
      <w:pPr>
        <w:ind w:right="180" w:firstLine="509"/>
        <w:spacing w:after="0" w:line="219" w:lineRule="exact"/>
        <w:rPr>
          <w:sz w:val="20"/>
          <w:szCs w:val="20"/>
          <w:color w:val="auto"/>
        </w:rPr>
      </w:pPr>
      <w:r>
        <w:rPr>
          <w:rFonts w:ascii="Times New Roman" w:cs="Times New Roman" w:eastAsia="Times New Roman" w:hAnsi="Times New Roman"/>
          <w:sz w:val="18"/>
          <w:szCs w:val="18"/>
          <w:color w:val="auto"/>
        </w:rPr>
        <w:t>Chronic HBV infection is the most common viral infection in the world and an area of substantial unmet medical need. There are over 296 million chronic carriers worldwide and approximately 1.5 million individuals become newly infected every year despite the availability of an efficacious prophylactic vaccine. In 2019, there were more than 90 million cases of chronic HBV infection in China alone, while the European Union (EU), United States and Japan accounted for nearly 8 million cases. Complications from chronic HBV infection include cirrhosis, end-stage liver disease, and hepatocellular carcinoma (HCC), which collectively resulted in approximately 1.1 million deaths in 2022, according to the World Health Organization (WHO). Chronic HBV infection is the primary cause of liver cancer worldwide, and the mortality associated with HBV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liver cancer continues to increase.</w:t>
      </w:r>
    </w:p>
    <w:p>
      <w:pPr>
        <w:spacing w:after="0" w:line="9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primary treatment goal is to reduce HBV DNA to undetectable levels, normalize liver enzymes, prevent liver damage, and reduce the risk of developing HCC. The WHO 2024 guidelines currently recommend treatment in the presence of significant fibrosis, or HBV DNA &gt;2,000 IU/mL and ALT&gt;ULN, or the presence of special risk factors. Current therapy for chronic HBV infection may entail life-long treatment and does not eliminate the virus in a meaningful number of patients. In the case of NAs, long-term treatment can lower the amount of HBV DNA in systemic circulation, resulting in improvements in long-term disease outcomes, but virological relapse is common after treatment cessation. In addition, certain patients continue to progress to liver disease while on NA treatment.</w:t>
      </w:r>
    </w:p>
    <w:p>
      <w:pPr>
        <w:spacing w:after="0" w:line="39" w:lineRule="exact"/>
        <w:rPr>
          <w:sz w:val="20"/>
          <w:szCs w:val="20"/>
          <w:color w:val="auto"/>
        </w:rPr>
      </w:pPr>
    </w:p>
    <w:p>
      <w:pPr>
        <w:ind w:firstLine="509"/>
        <w:spacing w:after="0" w:line="228" w:lineRule="exact"/>
        <w:rPr>
          <w:sz w:val="20"/>
          <w:szCs w:val="20"/>
          <w:color w:val="auto"/>
        </w:rPr>
      </w:pPr>
      <w:r>
        <w:rPr>
          <w:rFonts w:ascii="Times New Roman" w:cs="Times New Roman" w:eastAsia="Times New Roman" w:hAnsi="Times New Roman"/>
          <w:sz w:val="18"/>
          <w:szCs w:val="18"/>
          <w:color w:val="auto"/>
        </w:rPr>
        <w:t>Our goal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to achieve superior rates of viral suppression (as measured by HBV DNA and a combination of HBV markers) with the potential to replace standard of care NA treatment and become the backbone of next-generation treatments. This includes the potential to meaningfully increase rates of functional cure, which is defined as a sustained loss of HBsAg and HBV DNA with or without hepatitis B surface antibody seroconversion after a finite treatment course. In addition,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has the potential to treat all chronic HBV infection patients, with the possibility of lowering HBsAg, which may allow more patients to be eligible for curative therapies.</w:t>
      </w:r>
    </w:p>
    <w:p>
      <w:pPr>
        <w:spacing w:after="0" w:line="50" w:lineRule="exact"/>
        <w:rPr>
          <w:sz w:val="20"/>
          <w:szCs w:val="20"/>
          <w:color w:val="auto"/>
        </w:rPr>
      </w:pPr>
    </w:p>
    <w:p>
      <w:pPr>
        <w:ind w:right="140" w:firstLine="509"/>
        <w:spacing w:after="0" w:line="245" w:lineRule="exact"/>
        <w:rPr>
          <w:sz w:val="20"/>
          <w:szCs w:val="20"/>
          <w:color w:val="auto"/>
        </w:rPr>
      </w:pPr>
      <w:r>
        <w:rPr>
          <w:rFonts w:ascii="Times New Roman" w:cs="Times New Roman" w:eastAsia="Times New Roman" w:hAnsi="Times New Roman"/>
          <w:sz w:val="18"/>
          <w:szCs w:val="18"/>
          <w:color w:val="auto"/>
        </w:rPr>
        <w:t>We have developed a portfolio of differentiated drug candidates for chronic HBV infection, including a small molecule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that has entered clinical development, is designed to interfere with the HBV life cycle. We are also pursuing a strategy to restore immune function in patients with chronic HBV infection through targeting of the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pathway and have recently selected a development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093940.</w:t>
      </w:r>
    </w:p>
    <w:p>
      <w:pPr>
        <w:spacing w:after="0" w:line="6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000184: Potential best-in-class small molecule CAM</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E for chronic hepatitis B virus infection</w:t>
      </w:r>
    </w:p>
    <w:p>
      <w:pPr>
        <w:spacing w:after="0" w:line="117" w:lineRule="exact"/>
        <w:rPr>
          <w:sz w:val="20"/>
          <w:szCs w:val="20"/>
          <w:color w:val="auto"/>
        </w:rPr>
      </w:pPr>
    </w:p>
    <w:p>
      <w:pPr>
        <w:jc w:val="both"/>
        <w:ind w:right="140" w:firstLine="509"/>
        <w:spacing w:after="0" w:line="231" w:lineRule="exact"/>
        <w:rPr>
          <w:sz w:val="20"/>
          <w:szCs w:val="20"/>
          <w:color w:val="auto"/>
        </w:rPr>
      </w:pPr>
      <w:r>
        <w:rPr>
          <w:rFonts w:ascii="Times New Roman" w:cs="Times New Roman" w:eastAsia="Times New Roman" w:hAnsi="Times New Roman"/>
          <w:sz w:val="18"/>
          <w:szCs w:val="18"/>
          <w:color w:val="auto"/>
        </w:rPr>
        <w:t>In 2018,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a lead drug candidate (GLP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26) and the associated IP for a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from the laboratory of Professor Raymond Schinazi at Emory University. Our scientists optimized this lead drug candidate to discover the highly potent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was further optimized to the prodrug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has superior DMPK properties with enhanced absorption and high liver uptake, with a ~2-300-fold improvement in in vitro potency compared to other known CAMs.</w:t>
      </w:r>
    </w:p>
    <w:p>
      <w:pPr>
        <w:spacing w:after="0" w:line="51" w:lineRule="exact"/>
        <w:rPr>
          <w:sz w:val="20"/>
          <w:szCs w:val="20"/>
          <w:color w:val="auto"/>
        </w:rPr>
      </w:pPr>
    </w:p>
    <w:p>
      <w:pPr>
        <w:ind w:right="20" w:firstLine="509"/>
        <w:spacing w:after="0" w:line="228" w:lineRule="exact"/>
        <w:rPr>
          <w:sz w:val="20"/>
          <w:szCs w:val="20"/>
          <w:color w:val="auto"/>
        </w:rPr>
      </w:pPr>
      <w:r>
        <w:rPr>
          <w:rFonts w:ascii="Times New Roman" w:cs="Times New Roman" w:eastAsia="Times New Roman" w:hAnsi="Times New Roman"/>
          <w:sz w:val="18"/>
          <w:szCs w:val="18"/>
          <w:color w:val="auto"/>
        </w:rPr>
        <w:t>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 class of small molecule antiviral agents that accelerate HBV capsid assembly and inhibit pgRNA encapsidation (1st MOA), resulting in empty viral capsids and lower circulating HBV DNA and RNA levels.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also believed to regulate the establishment of cccDNA (2nd MOA), a major factor for the persistence of HBV infection which can be assessed by circulating HBV antigen levels (HBsAg, HBcrAg, and HBeAg). In clinical trials,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have shown reductions in HBV DNA and RNA (1st MOA), but have rarely or inconsistently shown reductions in HBV antigens (2nd MOA). There have also been observations of the emergence of viral CAM-E drug resistance.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45" w:lineRule="exact"/>
        <w:rPr>
          <w:sz w:val="20"/>
          <w:szCs w:val="20"/>
          <w:color w:val="auto"/>
        </w:rPr>
      </w:pPr>
    </w:p>
    <w:p>
      <w:pPr>
        <w:jc w:val="center"/>
        <w:ind w:left="500"/>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Figure 2 – ALG</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000184 (CAM-E) vs. Nucleos(t)ide Analogs</w:t>
      </w:r>
    </w:p>
    <w:p>
      <w:pPr>
        <w:spacing w:after="0" w:line="1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Suppressing the Entire HBV Lifecycle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225425</wp:posOffset>
            </wp:positionV>
            <wp:extent cx="5349240" cy="2108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firstLine="509"/>
        <w:spacing w:after="0" w:line="233" w:lineRule="exact"/>
        <w:rPr>
          <w:sz w:val="20"/>
          <w:szCs w:val="20"/>
          <w:color w:val="auto"/>
        </w:rPr>
      </w:pPr>
      <w:r>
        <w:rPr>
          <w:rFonts w:ascii="Times New Roman" w:cs="Times New Roman" w:eastAsia="Times New Roman" w:hAnsi="Times New Roman"/>
          <w:sz w:val="18"/>
          <w:szCs w:val="18"/>
          <w:color w:val="auto"/>
        </w:rPr>
        <w:t>A multipart Phase 1 study is ongoing, with the completed evaluation of the safety, tolerability, and pharmacokinetic profile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in healthy volunteers (HVs). Additionally, a dose-ranging Phase 1 study assessing the safety, pharmacokinetics, and antiviral activity of 10-300 mg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administered over 28 days in untreated HBeAg+/- subjects with chronic HBV infection has also been completed.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was found to be well tolerated with a favorable PK profile and demonstrated substantial HBV DNA and RNA reductions at all doses tested as well as HBsAg reductions in a subset of HBeAg positive subjects receiving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(Hou et al., AASLD 2022).</w:t>
      </w:r>
    </w:p>
    <w:p>
      <w:pPr>
        <w:spacing w:after="0" w:line="6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u w:val="single" w:color="auto"/>
          <w:color w:val="auto"/>
        </w:rPr>
        <w:t>Figure 3 – Antiviral Effect in Subjects (HBeAg+) with Chronic HBV Infection</w:t>
      </w:r>
    </w:p>
    <w:p>
      <w:pPr>
        <w:spacing w:after="0" w:line="3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u w:val="single" w:color="auto"/>
          <w:color w:val="auto"/>
        </w:rPr>
        <w:t>Mean HBV DNA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160020</wp:posOffset>
            </wp:positionV>
            <wp:extent cx="5349240" cy="1851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firstLine="509"/>
        <w:spacing w:after="0" w:line="233" w:lineRule="exact"/>
        <w:rPr>
          <w:sz w:val="20"/>
          <w:szCs w:val="20"/>
          <w:color w:val="auto"/>
        </w:rPr>
      </w:pPr>
      <w:r>
        <w:rPr>
          <w:rFonts w:ascii="Times New Roman" w:cs="Times New Roman" w:eastAsia="Times New Roman" w:hAnsi="Times New Roman"/>
          <w:sz w:val="18"/>
          <w:szCs w:val="18"/>
          <w:color w:val="auto"/>
        </w:rPr>
        <w:t>Based on the favorable profile after dosing up to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x 28 days, additional ongoing cohorts are evaluating the safety and efficacy of daily doses up to 300 mg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with or without entecavir (ETV) for ≤96 weeks in HBeAg+/- subjects. Preliminary data from several of these cohorts (Agarwal et al., EASL 2024; Yuen et al., AASLD 2024) have been presented, showing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administered for up to 92 weeks, was well tolerated, exhibited a favorable PK profile, and demonstrated potentially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antiviral activity. Specifically, antiviral activity data demonstrated that 300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monotherapy resulted in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spacing w:after="0" w:line="86"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profound reductions in HBV DNA which were greater than achieved with ETV alone (Figure 3). Furthermore, the extent of HBV DNA suppression was similar whether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was dosed alone or in combination with ETV, potentially indicating ETV did not meaningfully contribute to observed HBV DNA lowering effects. Also of note,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monotherapy was not associated with viral breakthrough as assessed by HBV DNA levels (Figure 3). These data indicate robust antiviral effects occur through the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1st MOA. Antiviral activity data has also indicated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may be inhibiting cccDNA establishment (2nd MOA), which is an important component of maintaining the HBV life cycle and the disruption of which may enhance the rates of functional cure. Evidence for the inhibition of cccDNA establishment/replenishment can be found in Figure 4, where the rates of multiple important cccDNA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viral antigens (HBsAg, HBcrAg, and HBeAg) are reduced over time and in a dose responsive manner (Yuen et al., AASLD 2024).</w:t>
      </w:r>
    </w:p>
    <w:p>
      <w:pPr>
        <w:spacing w:after="0" w:line="266" w:lineRule="exact"/>
        <w:rPr>
          <w:sz w:val="20"/>
          <w:szCs w:val="20"/>
          <w:color w:val="auto"/>
        </w:rPr>
      </w:pPr>
    </w:p>
    <w:p>
      <w:pPr>
        <w:ind w:left="1420"/>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Figure 4 – Antiviral Effect of 300mg ALG</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b w:val="1"/>
          <w:bCs w:val="1"/>
          <w:u w:val="single" w:color="auto"/>
          <w:color w:val="auto"/>
        </w:rPr>
        <w:t>000184 Monotherapy in Subjects (HBeAg+) with Chronic HBV Infection</w:t>
      </w:r>
    </w:p>
    <w:p>
      <w:pPr>
        <w:spacing w:after="0" w:line="7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u w:val="single" w:color="auto"/>
          <w:color w:val="auto"/>
        </w:rPr>
        <w:t>Mean HBV Antigen Change from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141605</wp:posOffset>
            </wp:positionV>
            <wp:extent cx="5349240" cy="2503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Dosing in HBeAg+/- subjects will continue through 2025, with 96-week safety, PK, and antiviral activity data to be presented at upcoming scientific conferences. An exploratory combination study with mipeginterferon alfa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is expected to begin in 2025. In addition, enabling activities for a randomized,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blind, active controlled Phase 2 study of monotherapy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vs. tenofovir disoproxil fumarate in HBeAg+ and HBeAg- subjects are underway, with the Phase 2 study expected to begin in mid-2025.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MASH</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One of the effects of improper diet and insufficient exercise is the accumulation of fatty deposits in the liver, referred to as metabolic dysfunction-associated steatotic liver disease (MASLD), which was estimated to occur in approximately 30% of the worldwide population as of 2019. An estimated</w:t>
      </w:r>
    </w:p>
    <w:p>
      <w:pPr>
        <w:ind w:right="20"/>
        <w:spacing w:after="0" w:line="252" w:lineRule="auto"/>
        <w:rPr>
          <w:sz w:val="20"/>
          <w:szCs w:val="20"/>
          <w:color w:val="auto"/>
        </w:rPr>
      </w:pPr>
      <w:r>
        <w:rPr>
          <w:rFonts w:ascii="Times New Roman" w:cs="Times New Roman" w:eastAsia="Times New Roman" w:hAnsi="Times New Roman"/>
          <w:sz w:val="18"/>
          <w:szCs w:val="18"/>
          <w:color w:val="auto"/>
        </w:rPr>
        <w:t>1.5% to 6.5% of the global population was estimated to have an ongoing inflammatory response to these excess fat deposits, which was previously referred to as NASH (non-alcoholic steatohepatitis), and is now called MASH. Over the past several years, the prevalence of MASH has continued to rise. In the United States alone, the prevalence of MASH is projected to increase from approximately 16.5 million in 2015 to 27.0 million in 2030. In the absence of changes in diet and exercise, the inflammation inherent in MASH persists and may result in progressive fibrosis of the liver, which may result in cirrhosis. These fibrotic changes are associated with numerous morbidities including recurrent hospitalization for complications of cirrhosis, HCC, need for liver transplant, and death.</w:t>
      </w:r>
    </w:p>
    <w:p>
      <w:pPr>
        <w:spacing w:after="0" w:line="41"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There is currently one approved drug to treat MASH, 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resmetirom.</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15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055009: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class small molecule THR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b agonist for MASH</w:t>
      </w:r>
    </w:p>
    <w:p>
      <w:pPr>
        <w:spacing w:after="0" w:line="158"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The thyroid hormone triiodothyronine (T3) has many physiological effects throughout the body, ranging from increasing metabolism, including fat metabolism, to stimulating growth and development. T3 exerts its effects by binding to the thyroid hormone receptor (THR), which has two subtypes: alpha (THR-α) and beta (THR-b). The distribution of the two THR subtypes varies by organ,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predominantly expressed in the liver and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α predominantly expressed in other tissues (e.g., heart, skeletal muscles and bone). Drugs like resmetirom, which preferentially binds the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subtype, have been shown in clinical trials to lower lipid levels in serum and the liver, while avoiding the unwanted effects associated with THR-α stimulation. In addition to the intended effect of lowering liver lipid levels in MASH patients, lowering serum lipid levels via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agonism may also have favorable cardiovascular consequences in this population, which has a high rate of underlying cardiovascular disease.</w:t>
      </w:r>
    </w:p>
    <w:p>
      <w:pPr>
        <w:spacing w:after="0" w:line="52" w:lineRule="exact"/>
        <w:rPr>
          <w:sz w:val="20"/>
          <w:szCs w:val="20"/>
          <w:color w:val="auto"/>
        </w:rPr>
      </w:pPr>
    </w:p>
    <w:p>
      <w:pPr>
        <w:ind w:right="120" w:firstLine="509"/>
        <w:spacing w:after="0" w:line="233" w:lineRule="exact"/>
        <w:rPr>
          <w:sz w:val="20"/>
          <w:szCs w:val="20"/>
          <w:color w:val="auto"/>
        </w:rPr>
      </w:pPr>
      <w:r>
        <w:rPr>
          <w:rFonts w:ascii="Times New Roman" w:cs="Times New Roman" w:eastAsia="Times New Roman" w:hAnsi="Times New Roman"/>
          <w:sz w:val="18"/>
          <w:szCs w:val="18"/>
          <w:color w:val="auto"/>
        </w:rPr>
        <w:t>The most advanced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agonist is resmetirom, which received FDA approval in March 2024 based on favorable Phase 3 data (Harrison et al., EASL 2023). This drug has demonstrated significant reductions in lipid levels in the liver and serum and, to date, has an acceptable risk-benefit profile. In addition, resmetirom has demonstrated histologic evidence of MASH resolution and fibrosis improvement in Phase 3, which are both FDA approvable MASH endpoints.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may have important advantages over this compound. Side-by-side cell-based experiments in HEK293T cells indicate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50-fold more potent and 2-fold more selective for the b receptor compared to resmetirom.</w:t>
      </w:r>
    </w:p>
    <w:p>
      <w:pPr>
        <w:spacing w:after="0" w:line="24" w:lineRule="exact"/>
        <w:rPr>
          <w:sz w:val="20"/>
          <w:szCs w:val="20"/>
          <w:color w:val="auto"/>
        </w:rPr>
      </w:pPr>
    </w:p>
    <w:p>
      <w:pPr>
        <w:ind w:right="280" w:firstLine="509"/>
        <w:spacing w:after="0" w:line="228" w:lineRule="exact"/>
        <w:rPr>
          <w:sz w:val="20"/>
          <w:szCs w:val="20"/>
          <w:color w:val="auto"/>
        </w:rPr>
      </w:pPr>
      <w:r>
        <w:rPr>
          <w:rFonts w:ascii="Times New Roman" w:cs="Times New Roman" w:eastAsia="Times New Roman" w:hAnsi="Times New Roman"/>
          <w:sz w:val="18"/>
          <w:szCs w:val="18"/>
          <w:color w:val="auto"/>
        </w:rPr>
        <w:t>A Phase 1 first in human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HVs (oral single doses) and subjects with hyperlipidemia (14 oral daily doses) has been completed. Data after single doses up to 4 mg and multiple daily doses up to 1 mg have previously been reported at EASL 2022 and AASLD 2023, respectively. At these conferences, data were presented that showed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and low variability, and demonstrated expected thyromimetic effects (i.e., generally dose proportional increases in sex hormone binding globulin and decreases in various atherogenic lipids and thyroid hormones without any clinical evidence of thyroid dysfunction).</w:t>
      </w:r>
    </w:p>
    <w:p>
      <w:pPr>
        <w:spacing w:after="0" w:line="9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 second Phase 1 study evaluating whether there is the potential for a drug-drug interaction (DDI) between ALG-055009 and atorvastatin has also been completed, with data demonstrating no clinically meaningful safety concerns or evidence of a DDI with atorvastatin.</w:t>
      </w:r>
    </w:p>
    <w:p>
      <w:pPr>
        <w:spacing w:after="0" w:line="54" w:lineRule="exact"/>
        <w:rPr>
          <w:sz w:val="20"/>
          <w:szCs w:val="20"/>
          <w:color w:val="auto"/>
        </w:rPr>
      </w:pPr>
    </w:p>
    <w:p>
      <w:pPr>
        <w:ind w:right="60" w:firstLine="509"/>
        <w:spacing w:after="0" w:line="227" w:lineRule="exact"/>
        <w:rPr>
          <w:sz w:val="20"/>
          <w:szCs w:val="20"/>
          <w:color w:val="auto"/>
        </w:rPr>
      </w:pPr>
      <w:r>
        <w:rPr>
          <w:rFonts w:ascii="Times New Roman" w:cs="Times New Roman" w:eastAsia="Times New Roman" w:hAnsi="Times New Roman"/>
          <w:sz w:val="18"/>
          <w:szCs w:val="18"/>
          <w:color w:val="auto"/>
        </w:rPr>
        <w:t>We completed a Phase 2a proof of concept study (HERALD) under an amendment to an open investigational new drug application (IND) in 2024. The study was designed as a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randomized,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blind, placebo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trial evaluating 4 doses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vs. placebo in 102 subjects with presumed liver fibrosis stage 1-3 (F1-F3) MASH. The primary endpoint of this study was percent relative change in liver fat content by MRI-PDFF at Week 12. This study also evaluated the safety and PK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treatment and its effect on multiple other efficacy biomarkers.</w:t>
      </w:r>
    </w:p>
    <w:p>
      <w:pPr>
        <w:spacing w:after="0" w:line="24" w:lineRule="exact"/>
        <w:rPr>
          <w:sz w:val="20"/>
          <w:szCs w:val="20"/>
          <w:color w:val="auto"/>
        </w:rPr>
      </w:pPr>
    </w:p>
    <w:p>
      <w:pPr>
        <w:ind w:firstLine="509"/>
        <w:spacing w:after="0" w:line="225" w:lineRule="exact"/>
        <w:rPr>
          <w:sz w:val="20"/>
          <w:szCs w:val="20"/>
          <w:color w:val="auto"/>
        </w:rPr>
      </w:pPr>
      <w:r>
        <w:rPr>
          <w:rFonts w:ascii="Times New Roman" w:cs="Times New Roman" w:eastAsia="Times New Roman" w:hAnsi="Times New Roman"/>
          <w:sz w:val="18"/>
          <w:szCs w:val="18"/>
          <w:color w:val="auto"/>
        </w:rPr>
        <w:t>Twelve weeks of once daily oral dose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treatment in MASH patients met the primary endpoint, with robust reductions in liver fat content at Week 12. Doses of 0.5 mg to 0.9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statistically significant reductions in liver fat at Week 12, with placebo-adjusted median relative reductions up to 46.2% as measured by MRI-PDFF (Figure 5). Up to 70% of subjects achieved ≥30% relative reduction in liver fat compared to baseline, a positive prognostic indicator of histological improvements in MASH resolution and fibrosis reduction. Eighteen subjects who were on stable GLP-1 agonist therapy qualified for enrollment in the study, with liver fat content meeting the inclusion criteria of ≥10% at baseline as measured by MRI-PDFF. Notably, 11 out of 14 subjects on stable GLP-1 agonists treated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had liver fat decreases, whereas 4 out of 4 subjects on stable GLP-1 agonists treated with placebo had increases in liver fat over the 12-week dosing period (Figure 6).</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Figure 5 – Placebo-Adjusted Median Relative Change in Liver Fat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225425</wp:posOffset>
            </wp:positionV>
            <wp:extent cx="3454400" cy="23914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5440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Note: Only subjects weighing &gt;85kg were enrolled in the 0.9 mg dose group, no body weight restrictions were implemented in other dose groups. Data from MRI-PDFF analysis dataset, defined as all randomized subjects who have MRI-PDFF measurements available at both baseline and Week 12; median % change in placebo was +7.2%; *p&lt;0.05 ***p&lt;0.001.</w:t>
      </w:r>
    </w:p>
    <w:p>
      <w:pPr>
        <w:spacing w:after="0" w:line="340" w:lineRule="exact"/>
        <w:rPr>
          <w:sz w:val="20"/>
          <w:szCs w:val="20"/>
          <w:color w:val="auto"/>
        </w:rPr>
      </w:pPr>
    </w:p>
    <w:p>
      <w:pPr>
        <w:ind w:right="140" w:firstLine="509"/>
        <w:spacing w:after="0" w:line="264" w:lineRule="exact"/>
        <w:rPr>
          <w:sz w:val="20"/>
          <w:szCs w:val="20"/>
          <w:color w:val="auto"/>
        </w:rPr>
      </w:pPr>
      <w:r>
        <w:rPr>
          <w:rFonts w:ascii="Times New Roman" w:cs="Times New Roman" w:eastAsia="Times New Roman" w:hAnsi="Times New Roman"/>
          <w:sz w:val="18"/>
          <w:szCs w:val="18"/>
          <w:color w:val="auto"/>
        </w:rPr>
        <w:t>Significant reductions in atherogenic lipids, including LDL-C, lipoprotein (a) and apolipoprotein B and dose</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dependent increases in sex hormone binding globulin were observed. In particular, ALG</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055009 demonstrated a dose-dependent reduction from baseline of up to 26.8% at Week 12 for lipoprotein (a), which is an established risk factor for cardiovascular disease that has been resistant to treatment with statin therapy. Treatment with ALG-</w:t>
      </w:r>
    </w:p>
    <w:p>
      <w:pPr>
        <w:spacing w:after="0" w:line="226" w:lineRule="exact"/>
        <w:rPr>
          <w:sz w:val="20"/>
          <w:szCs w:val="20"/>
          <w:color w:val="auto"/>
        </w:rPr>
      </w:pPr>
      <w:r>
        <w:rPr>
          <w:rFonts w:ascii="Times New Roman" w:cs="Times New Roman" w:eastAsia="Times New Roman" w:hAnsi="Times New Roman"/>
          <w:sz w:val="18"/>
          <w:szCs w:val="18"/>
          <w:color w:val="auto"/>
        </w:rPr>
        <w:t>055009 was well-tolerated, with no serious adverse events in subjects receiving ALG</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055009. There was one discontinuation due to a treatment emergent adverse event (TEAE) of worsening insomnia in a subject with pre-existing insomnia. The majority of TEAEs were mild or moderate with no clinical hypo/hyperthyroidism. No clinically concerning laboratory, ECG, physical exam, or vital sign trends/findings were observed. Similar rates of diarrhea were noted for active dose groups compared to placebo, with no dose-response.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 w:name="page13"/>
    <w:bookmarkEnd w:id="12"/>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Figure 6 – Additional Fat Reduction in Subjects with Stable Use of GLP-1 Agonists</w:t>
      </w:r>
    </w:p>
    <w:p>
      <w:pPr>
        <w:spacing w:after="0" w:line="11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u w:val="single" w:color="auto"/>
          <w:color w:val="auto"/>
        </w:rPr>
        <w:t>Median Relative Percent Change in Liver Fat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114300</wp:posOffset>
            </wp:positionV>
            <wp:extent cx="5349240" cy="2219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509"/>
        <w:spacing w:after="0" w:line="231" w:lineRule="exact"/>
        <w:rPr>
          <w:sz w:val="20"/>
          <w:szCs w:val="20"/>
          <w:color w:val="auto"/>
        </w:rPr>
      </w:pPr>
      <w:r>
        <w:rPr>
          <w:rFonts w:ascii="Times New Roman" w:cs="Times New Roman" w:eastAsia="Times New Roman" w:hAnsi="Times New Roman"/>
          <w:sz w:val="18"/>
          <w:szCs w:val="18"/>
          <w:color w:val="auto"/>
        </w:rPr>
        <w:t>Based on its favorable potency/selectivity and PK, we believe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has the potential to become a best-in-class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agonist and could play an integral role in future combination regimens for MASH. Phase 2b enabling activities are underway, with expected completion in mid-2025. We are also assessing potential Phase 2b clinical trial study designs with key opinion leaders. Lastly, we are evaluating a variety of options to fund continued development, including potential out-licensing.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Coronavirus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SARS-CoV-2 is responsible for the COVID-19 pandemic, which has infected more than 760 million individuals and is responsible for the death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than 7 million individuals worldwide (WHO – 14 January 2025), including approximately 1.2 million in the US. After Middle East Respiratory</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Syndrome (MERS) and SARS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is the third known coronavirus to cross over from animal species to humans and cause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morbidity and mortality in the past 20 years. Due to the COVID-19 pandemic and the risk of additional novel coronaviruses emerging in the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future, there is a need to develop novel therapeutics with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activity that have a high barrier to resistance. While multiple vaccines are now</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it is unlikely that vaccination will be fully efficacious against all emerging variants and/or widely adopted, indicating that the need for effective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therapeutic treatments will remain. Two orally available therapeutics have been authorized for the outpatient treatment of COVID-19, but both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limitations related to sub-optimal efficacy (molnupiravir, a nucleoside analog; Merck) or the need for ritonavir boosting</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07321332/nirmatrelvir, a viral protease inhibitor; Pfizer). Our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3-fold more potent in cell-based assays than</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nirmatrelvir against a panel of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variants (including Omicron), has broad pan-coronavirus activity, and does not require ritonavir boosting.</w:t>
      </w:r>
    </w:p>
    <w:p>
      <w:pPr>
        <w:spacing w:after="0" w:line="9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097558: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class small molecule ritonavir</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free pan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coronavirus protease inhibitor</w:t>
      </w:r>
    </w:p>
    <w:p>
      <w:pPr>
        <w:spacing w:after="0" w:line="225"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In 2024 we completed evaluation of the safety and pharmacokinetics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after single and multiple (twice daily dosing x 7 days) doses in</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HVs. In this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human Phase 1 clinical study, single doses up to 2000 mg and multiple doses up to 800 mg Q12H for 7 days were well tolerated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acceptable PK profile that indicated ritonavir boosting is not required and absence of a clinically relevant DDI with midazolam, suggesting</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can be co-administered with CYP3A4 substrates. Based on these Phase 1 data (Wilkes et al, RespiDart, 2024), the projected efficacious dose</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range to treat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is 200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Q12H x 5 days.</w:t>
      </w:r>
    </w:p>
    <w:p>
      <w:pPr>
        <w:spacing w:after="0" w:line="56" w:lineRule="exact"/>
        <w:rPr>
          <w:sz w:val="20"/>
          <w:szCs w:val="20"/>
          <w:color w:val="auto"/>
        </w:rPr>
      </w:pPr>
    </w:p>
    <w:p>
      <w:pPr>
        <w:ind w:right="140" w:firstLine="374"/>
        <w:spacing w:after="0" w:line="238"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began three additional clinical trials in 2024. AGILE University of Liverpool, a UK government supported platform trial (MRC and Wellcome Trust funding), is sponsoring and performing a study in high-risk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 evaluating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as monotherapy or in combination with remdesivir. In addition, two clinical studies evaluating PK in special populations (renal/hepatic impairment subjects) are on-going with funding obtained from a NIAID contract. NIAID is also sponsoring a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interaction and relative bioavailability study</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3" w:name="page14"/>
    <w:bookmarkEnd w:id="13"/>
    <w:p>
      <w:pPr>
        <w:spacing w:after="0" w:line="45" w:lineRule="exact"/>
        <w:rPr>
          <w:sz w:val="20"/>
          <w:szCs w:val="20"/>
          <w:color w:val="auto"/>
        </w:rPr>
      </w:pPr>
    </w:p>
    <w:p>
      <w:pPr>
        <w:ind w:right="120"/>
        <w:spacing w:after="0" w:line="245" w:lineRule="exact"/>
        <w:rPr>
          <w:sz w:val="20"/>
          <w:szCs w:val="20"/>
          <w:color w:val="auto"/>
        </w:rPr>
      </w:pPr>
      <w:r>
        <w:rPr>
          <w:rFonts w:ascii="Times New Roman" w:cs="Times New Roman" w:eastAsia="Times New Roman" w:hAnsi="Times New Roman"/>
          <w:sz w:val="18"/>
          <w:szCs w:val="18"/>
          <w:color w:val="auto"/>
        </w:rPr>
        <w:t>in healthy volunteers expected to start dosing in the second quarter of 2025. We expect that future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including ongoing Phase 2 enabling activities, will be funded by external sources, including public funding sources as described below.</w:t>
      </w:r>
    </w:p>
    <w:p>
      <w:pPr>
        <w:spacing w:after="0" w:line="91" w:lineRule="exact"/>
        <w:rPr>
          <w:sz w:val="20"/>
          <w:szCs w:val="20"/>
          <w:color w:val="auto"/>
        </w:rPr>
      </w:pPr>
    </w:p>
    <w:p>
      <w:pPr>
        <w:jc w:val="both"/>
        <w:ind w:right="40" w:firstLine="374"/>
        <w:spacing w:after="0" w:line="220" w:lineRule="exact"/>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program and the follow up compound, are now also being funded with federal funds from the NIAID, NIH, Department of Health and Human Services, under Contract No.</w:t>
      </w:r>
    </w:p>
    <w:p>
      <w:pPr>
        <w:spacing w:after="0" w:line="3" w:lineRule="exact"/>
        <w:rPr>
          <w:sz w:val="20"/>
          <w:szCs w:val="20"/>
          <w:color w:val="auto"/>
        </w:rPr>
      </w:pPr>
    </w:p>
    <w:p>
      <w:pPr>
        <w:ind w:right="60"/>
        <w:spacing w:after="0" w:line="223" w:lineRule="exact"/>
        <w:rPr>
          <w:sz w:val="20"/>
          <w:szCs w:val="20"/>
          <w:color w:val="auto"/>
        </w:rPr>
      </w:pPr>
      <w:r>
        <w:rPr>
          <w:rFonts w:ascii="Times New Roman" w:cs="Times New Roman" w:eastAsia="Times New Roman" w:hAnsi="Times New Roman"/>
          <w:sz w:val="18"/>
          <w:szCs w:val="18"/>
          <w:color w:val="auto"/>
        </w:rPr>
        <w:t>75N93023C00052. We submitted an IND in the third quarter of 2024 and clinical studies in special populations were initiated in the second half of 2024 as part of this NIAID contract. We expect to receive approximately $13.8 million in funds across these two NIH awards and contracts to support these activities. We are also seeking additional external funding (e.g., from governmental agencies) to support future studies (e.g., Phase 2) as we advance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and future coronavirus pandemics.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Early-stage discovery efforts</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development stage drug candidates, we are targeting additional novel liver and viral targets with our drug discovery platform. We are also pursuing backup candidates in order to create a robust portfolio of assets which we can draw upon to create an optimized regimen for treatment in all of our disease areas of interest.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team consists of a group of highly collaborative, culturally diverse executives with decades of drug discovery and development experience and a proven track record of success in the areas of viral infections and liver diseases. Most members of our management team have worked together across multiple companies, many for over a decade, and have been collectively involved in the discovery and/or development of a number of drugs that have been successfully commercialized, including Ganovo, Sovaldi, Infergen, Neupogen, Andexxa, Esbriet, and Pegasys among others. In support of our management team, we also have assembled an industry-leading board of directors and a world-class group of scientific advisors with significant experience in drug development for liver diseases and viral infections.</w:t>
      </w:r>
    </w:p>
    <w:p>
      <w:pPr>
        <w:spacing w:after="0" w:line="7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team’s collective experience and success in discovering and developing drugs targeting liver and viral diseases, combined with our in-house expertise in drug discovery, gives us a differentiated set of capabilities, which has enabled us to rapidly establish a robust pipeline of multiple novel drug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strategy is to develop pharmacologically optimized drug candidates designed to achieve improved treatment outcomes. Our areas of focus are liver and viral diseases, where our team is leveraging their in-depth knowledge and expertise to develop potential regimens addressing large areas of unmet medical need. The core elements of our business strategy include:</w:t>
      </w:r>
    </w:p>
    <w:p>
      <w:pPr>
        <w:spacing w:after="0" w:line="64" w:lineRule="exact"/>
        <w:rPr>
          <w:sz w:val="20"/>
          <w:szCs w:val="20"/>
          <w:color w:val="auto"/>
        </w:rPr>
      </w:pPr>
    </w:p>
    <w:p>
      <w:pPr>
        <w:ind w:left="1020" w:right="10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Maximizing the value of our drug candidates. </w:t>
      </w:r>
      <w:r>
        <w:rPr>
          <w:rFonts w:ascii="Times New Roman" w:cs="Times New Roman" w:eastAsia="Times New Roman" w:hAnsi="Times New Roman"/>
          <w:sz w:val="18"/>
          <w:szCs w:val="18"/>
          <w:color w:val="auto"/>
        </w:rPr>
        <w:t>We currently hold worldwide development and commercialization rights, including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exclusive licenses, to all our drug candidates. We intend to pursue independent development and commercialization in select indications and markets that we can address with a specialty sales and marketing organization. We may opportunistically explore additional licensing agreements, collaborations or partnerships to develop our drug candidates in larger market indications where we could accelerate development utilizing the resources of larger biopharmaceutical companies, or to commercialize them in specific geographies.</w:t>
      </w:r>
    </w:p>
    <w:p>
      <w:pPr>
        <w:spacing w:after="0" w:line="71"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development capabilities and pipeline. </w:t>
      </w:r>
      <w:r>
        <w:rPr>
          <w:rFonts w:ascii="Times New Roman" w:cs="Times New Roman" w:eastAsia="Times New Roman" w:hAnsi="Times New Roman"/>
          <w:sz w:val="18"/>
          <w:szCs w:val="18"/>
          <w:color w:val="auto"/>
        </w:rPr>
        <w:t>We utilize our in-house discovery expertise to evaluate novel mechanisms of 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potential to complement our current pipeline and work to continually improve upon our existing drug candidates. To further supplement our internal discovery and development efforts, we actively evaluate external technology platforms and assets for future development candidates for liver and viral diseases. To date, we have secured licenses for technology from Emory, Luxna and AM Chemicals, LLC (AM Chemicals).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Research and Development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small molecule and oligonucleotide platforms are designed to allow us to discover drug candidates that can be used to develop potentially best-in-class regimens. We believe we have a differentiated set of in-house capabilities to use in developing novel, optimized combination regimens across all of our current areas of focus.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team has extensive end-to-end drug discovery and development experience across multiple therapeutic areas and disciplines. Our clinical development strategy leverages past experiences to rapidly advance drug candidates towards optimized regimens. We have strengthened our platforms by in-licensing select intellectual property, which, together with our in-house expertise, allows us to develop novel and proprietary drug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 molecule platform</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team has the capability and experience to rapidly identify and optimize small molecules, including traditional small molecules, peptidomimetics and prodrugs. Our team has a strong track record of developing and commercializing small molecule drug candidates. We use state-of-the-art computational chemistry and crystallography to enable structure-guided drug design. We have applied this approach to the multidimensional optimization of potential drug candidates in multiple therapeutic areas, including for liver diseases and viral infections.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Traditional small molecules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date, traditional small molecules represent the vast majority of approved drugs and are the primary chemistry approach used for drug discovery.</w:t>
      </w:r>
    </w:p>
    <w:p>
      <w:pPr>
        <w:spacing w:after="0" w:line="76" w:lineRule="exact"/>
        <w:rPr>
          <w:sz w:val="20"/>
          <w:szCs w:val="20"/>
          <w:color w:val="auto"/>
        </w:rPr>
      </w:pPr>
    </w:p>
    <w:p>
      <w:pPr>
        <w:ind w:right="80" w:firstLine="509"/>
        <w:spacing w:after="0" w:line="239" w:lineRule="exact"/>
        <w:rPr>
          <w:sz w:val="20"/>
          <w:szCs w:val="20"/>
          <w:color w:val="auto"/>
        </w:rPr>
      </w:pPr>
      <w:r>
        <w:rPr>
          <w:rFonts w:ascii="Times New Roman" w:cs="Times New Roman" w:eastAsia="Times New Roman" w:hAnsi="Times New Roman"/>
          <w:sz w:val="18"/>
          <w:szCs w:val="18"/>
          <w:color w:val="auto"/>
        </w:rPr>
        <w:t>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 are small molecules that have been shown to significantly reduce HBV DNA and RNA levels in subjects with chronic HBV infection. We have identified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which has demonstrated potentially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in vitro potency. The prodrug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has been evaluated as single and multiple doses in HVs and subjects with chronic HBV infection and been found to be well tolerated, with favorable PK, and substantial antiviral activity.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currently being evaluated in longer duration (≤96 week) cohorts with or without ETV, where it continues to show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antiviral properties across a variety of HBV markers.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currently being advanced towards Phase 2 studies.</w:t>
      </w:r>
    </w:p>
    <w:p>
      <w:pPr>
        <w:spacing w:after="0" w:line="25" w:lineRule="exact"/>
        <w:rPr>
          <w:sz w:val="20"/>
          <w:szCs w:val="20"/>
          <w:color w:val="auto"/>
        </w:rPr>
      </w:pPr>
    </w:p>
    <w:p>
      <w:pPr>
        <w:ind w:right="40" w:firstLine="509"/>
        <w:spacing w:after="0" w:line="226" w:lineRule="exact"/>
        <w:rPr>
          <w:sz w:val="20"/>
          <w:szCs w:val="20"/>
          <w:color w:val="auto"/>
        </w:rPr>
      </w:pPr>
      <w:r>
        <w:rPr>
          <w:rFonts w:ascii="Times New Roman" w:cs="Times New Roman" w:eastAsia="Times New Roman" w:hAnsi="Times New Roman"/>
          <w:sz w:val="18"/>
          <w:szCs w:val="18"/>
          <w:color w:val="auto"/>
        </w:rPr>
        <w:t>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are small molecules that have been shown to significantly reduce circulating lipid levels and improve liver histology in patients with MASH. Based on publicly available and/or internally collected in vitro data for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currently in clinical development, our drug candidate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has demonstrated the greatest beta selectivity and highest potency for the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 receptor.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also demonstrated dose proportional pharmacokinetics with low variability and expected thyromimetic effects in a completed Phase 1 study evaluating dosing for up to 14 days.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completed a Phase 2a study in 2024, which met the primary endpoint with statistically significant reductions in liver fat at Week 12 as measured by MRI-PDFF.</w:t>
      </w:r>
    </w:p>
    <w:p>
      <w:pPr>
        <w:spacing w:after="0" w:line="53" w:lineRule="exact"/>
        <w:rPr>
          <w:sz w:val="20"/>
          <w:szCs w:val="20"/>
          <w:color w:val="auto"/>
        </w:rPr>
      </w:pPr>
    </w:p>
    <w:p>
      <w:pPr>
        <w:ind w:right="100" w:firstLine="509"/>
        <w:spacing w:after="0" w:line="231" w:lineRule="exact"/>
        <w:rPr>
          <w:sz w:val="20"/>
          <w:szCs w:val="20"/>
          <w:color w:val="auto"/>
        </w:rPr>
      </w:pPr>
      <w:r>
        <w:rPr>
          <w:rFonts w:ascii="Times New Roman" w:cs="Times New Roman" w:eastAsia="Times New Roman" w:hAnsi="Times New Roman"/>
          <w:sz w:val="18"/>
          <w:szCs w:val="18"/>
          <w:color w:val="auto"/>
        </w:rPr>
        <w:t>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inhibitors are a way to boost immune responses via the programmed death 1 (ligand)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interaction. We have rationally designed these T cell activating drug candidates to partition in the liver and thereby potentially mitigate systemic toxicity in an effort to develop better tolerated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inhibitors for patients with chronic HBV infection. We have recently selected a lead molecule,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093940, and are completing in vivo dose range finding studies to enable further advancement towards clinical development.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093940 has shown similar in vivo efficacy in mouse tumor models to approved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antibodies. Our small molecule lead compound has also demonstrated greater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target occupancy at a lower dose in a humanized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subcutaneous tumor model compared to competitor small molecule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L1 inhibitors.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molecule prodrugs</w:t>
      </w:r>
    </w:p>
    <w:p>
      <w:pPr>
        <w:spacing w:after="0" w:line="119" w:lineRule="exact"/>
        <w:rPr>
          <w:sz w:val="20"/>
          <w:szCs w:val="20"/>
          <w:color w:val="auto"/>
        </w:rPr>
      </w:pPr>
    </w:p>
    <w:p>
      <w:pPr>
        <w:ind w:right="240" w:firstLine="509"/>
        <w:spacing w:after="0" w:line="220" w:lineRule="exact"/>
        <w:rPr>
          <w:sz w:val="20"/>
          <w:szCs w:val="20"/>
          <w:color w:val="auto"/>
        </w:rPr>
      </w:pPr>
      <w:r>
        <w:rPr>
          <w:rFonts w:ascii="Times New Roman" w:cs="Times New Roman" w:eastAsia="Times New Roman" w:hAnsi="Times New Roman"/>
          <w:sz w:val="18"/>
          <w:szCs w:val="18"/>
          <w:color w:val="auto"/>
        </w:rPr>
        <w:t>A prodrug is a compound that, after administration, is metabolized into the pharmacologically active parent drug. We use small molecule prodrug chemistry to optimize the drug-like properties of drug candidates to improve their solubility and pharmacokinetics. We have successfully applied this approach to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001075 to create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our lead CAM-E drug candidate, which is currently being evaluated in the clinic for the treatment of chronic HBV infection.</w:t>
      </w:r>
    </w:p>
    <w:p>
      <w:pPr>
        <w:spacing w:after="0" w:line="52" w:lineRule="exact"/>
        <w:rPr>
          <w:sz w:val="20"/>
          <w:szCs w:val="20"/>
          <w:color w:val="auto"/>
        </w:rPr>
      </w:pPr>
    </w:p>
    <w:p>
      <w:pPr>
        <w:ind w:right="180" w:firstLine="509"/>
        <w:spacing w:after="0" w:line="245" w:lineRule="exact"/>
        <w:rPr>
          <w:sz w:val="20"/>
          <w:szCs w:val="20"/>
          <w:color w:val="auto"/>
        </w:rPr>
      </w:pPr>
      <w:r>
        <w:rPr>
          <w:rFonts w:ascii="Times New Roman" w:cs="Times New Roman" w:eastAsia="Times New Roman" w:hAnsi="Times New Roman"/>
          <w:sz w:val="18"/>
          <w:szCs w:val="18"/>
          <w:color w:val="auto"/>
        </w:rPr>
        <w:t>We are engaged in multiple other small molecule discovery efforts to identify additional potentially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 for the treatment of liver and viral diseases.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Peptidomimetics</w:t>
      </w:r>
    </w:p>
    <w:p>
      <w:pPr>
        <w:spacing w:after="0" w:line="119" w:lineRule="exact"/>
        <w:rPr>
          <w:sz w:val="20"/>
          <w:szCs w:val="20"/>
          <w:color w:val="auto"/>
        </w:rPr>
      </w:pPr>
    </w:p>
    <w:p>
      <w:pPr>
        <w:ind w:firstLine="509"/>
        <w:spacing w:after="0" w:line="220" w:lineRule="exact"/>
        <w:rPr>
          <w:sz w:val="20"/>
          <w:szCs w:val="20"/>
          <w:color w:val="auto"/>
        </w:rPr>
      </w:pPr>
      <w:r>
        <w:rPr>
          <w:rFonts w:ascii="Times New Roman" w:cs="Times New Roman" w:eastAsia="Times New Roman" w:hAnsi="Times New Roman"/>
          <w:sz w:val="18"/>
          <w:szCs w:val="18"/>
          <w:color w:val="auto"/>
        </w:rPr>
        <w:t>Peptidomimetics are small molecules derived from short polypeptides that can be used as drug candidates against multiple targets. The peptidomimetic approach has been successfully used in the antiviral field to develop protease inhibitor drugs against Hepatitis C virus (HCV) and human immunodeficiency virus (HIV). Working in collaboration with KU Leuven, CISTIM, and the CD3, our team has discovered multiple potent potential drug candidates targeting the 3C-like protease of coronaviruses, which have shown pan-coronavirus activity and do not require ritonavir boosting based on nonclinical studies.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lead protease inhibitor (PI) and is 3-fold more potent than nirmatrelvir and other PIs in clinical development in cell-based assays against a panel of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variants (including Omicron). It also demonstrates broad pan-coronavirus activity, and based on clinical data, does not require ritonavir boosting. The safety and PK properties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were assessed in a Phase 1 study in HVs. Single doses up to 2000 mg and multiple doses up to 800 mg Q12H for 7 days were well tolerated with an acceptable PK profile that indicated ritonavir boosting is not required and absence of a clinically relevant DDI with midazolam, suggesting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can be co-administered with CYP3A4 substrates.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currently being evaluated in a clinical study of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Oligonucleotide platform</w:t>
      </w:r>
    </w:p>
    <w:p>
      <w:pPr>
        <w:spacing w:after="0" w:line="121" w:lineRule="exact"/>
        <w:rPr>
          <w:sz w:val="20"/>
          <w:szCs w:val="20"/>
          <w:color w:val="auto"/>
        </w:rPr>
      </w:pPr>
    </w:p>
    <w:p>
      <w:pPr>
        <w:ind w:right="20" w:firstLine="509"/>
        <w:spacing w:after="0" w:line="239" w:lineRule="exact"/>
        <w:rPr>
          <w:sz w:val="20"/>
          <w:szCs w:val="20"/>
          <w:color w:val="auto"/>
        </w:rPr>
      </w:pPr>
      <w:r>
        <w:rPr>
          <w:rFonts w:ascii="Times New Roman" w:cs="Times New Roman" w:eastAsia="Times New Roman" w:hAnsi="Times New Roman"/>
          <w:sz w:val="18"/>
          <w:szCs w:val="18"/>
          <w:color w:val="auto"/>
        </w:rPr>
        <w:t>We have distinct modalities within our oligonucleotide platform, including siRNAs. We have advanced multiple oligonucleotide drug candidates for the treatment of chronic HBV infection,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an siRNA drug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-231140</wp:posOffset>
            </wp:positionV>
            <wp:extent cx="2857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4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exclusively licensed proprietary technologies that enhance our oligonucleotide platform. These technologies include third generation bridged nucleic acid (BNA) and N-acetylgalactosamine (GalNAc) chemistries, which can improve liver targeting, increase potency, and enhance pharmacokinetic properties.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Small interfering RNAs (siRNAs)</w:t>
      </w:r>
    </w:p>
    <w:p>
      <w:pPr>
        <w:spacing w:after="0" w:line="119" w:lineRule="exact"/>
        <w:rPr>
          <w:sz w:val="20"/>
          <w:szCs w:val="20"/>
          <w:color w:val="auto"/>
        </w:rPr>
      </w:pPr>
    </w:p>
    <w:p>
      <w:pPr>
        <w:ind w:right="20" w:firstLine="509"/>
        <w:spacing w:after="0" w:line="219" w:lineRule="exact"/>
        <w:rPr>
          <w:sz w:val="20"/>
          <w:szCs w:val="20"/>
          <w:color w:val="auto"/>
        </w:rPr>
      </w:pPr>
      <w:r>
        <w:rPr>
          <w:rFonts w:ascii="Times New Roman" w:cs="Times New Roman" w:eastAsia="Times New Roman" w:hAnsi="Times New Roman"/>
          <w:sz w:val="18"/>
          <w:szCs w:val="18"/>
          <w:color w:val="auto"/>
        </w:rPr>
        <w:t>siRNAs are a class of double-stranded, non-coding RNA that can interfere with viral replication by silencing gene expression. Multiple siRNAs have demonstrated significant reductions in HBsAg levels in clinical trials. Our novel and proprietary siRNA technology has resulted in the identification of molecules,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that have demonstrated high potency and long-lasting durability in nonclinical chronic HBV infection models.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HBeAg-subjects with chronic HBV infection, respectively. In this study, we found that these single doses were well tolerated and resulted in favorable PK data. With respect to antiviral activity, available data indicate evidence of HBsAg lowering at all 3 dose levels evaluated.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All of our assets are currently pre-commercial, and as such we have not yet established a sales and marketing organization or distribution capabilities. We intend to pursue independent development and commercialization in select indications and markets, and plan to build a commercial infrastructure to support a specialty sales and marketing organization, as well as distribution capabilities. Similar to our research, clinical and manufacturing operations, we expect to manage sales, marketing and distribution through dedicated staff and third-party contractors and consultants. We may opportunistically explore licensing agreements, collaborations or partnerships with one or more pharmaceutical companies to enhance our commercial capabilities.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currently developing drug candidates in two primary modalities: small molecules and oligonucleotides. We have internal small molecule and oligonucleotide chemistry teams that are able to produce drug candidates at sufficient scale to support discovery activities. In addition, we have a dedicated internal chemistry, manufacturing and control (CMC) team that works with contract development and manufacturing organizations to produce drug candidates in larger quantities, including to support nonclinical and clinical studies. We have built the teams and infrastructure needed to conduct and manage process development, analytical development, quality, manufacturing and supply chain activities.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Small molecule manufacturing</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Small molecule manufacturing is a mature industry and is well supported by an extensive network of contract manufacturers. Like our approach for oligonucleotides, our internal CMC team conducts process development and optimization, and supports our contract manufacturers with technology transfer.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Oligonucleotides manufacturing</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Oligonucleotide manufacturing technology has matured significantly over the last several decades, with advanced oligonucleotide synthesizers commercially available to support smaller-scale synthesis, and a network of oligonucleotide contract manufacturers available to support larger-scale syntheses. Our internal CMC team supports our contract manufacturers with process development and optimization, or, where needed, we may collaborate with external consultants and contractors to optimize synthesis and scale-up.</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life sciences industry is highly competitive and subject to rapid and significant technological change. Our competitors include multinational pharmaceutical companies, established biotechnology companies, universities and other research institutions. Many of our competitors have significantly greater financial, technical, human and other resources than we do and may be better equipped to develop, manufacture and market technologically superior products. In addition, many of these competitors may have significantly greater experience than we have in undertaking nonclinical studies and human clinical trials of new pharmaceutical drug candidates and in obtaining regulatory approvals of human therapeutic candidates. Accordingly, our competitors may develop superior drug candidates and may succeed in obtaining FDA approval for such candidates.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drug candidates that we successfully develop and commercialize may compete with existing therapies and/or new therapies that may become available in the future. Our competitors may obtain regulatory approval of their candidates more rapidly than we do or may obtain patent protection or other intellectual property rights that limit our ability to develop or commercialize our drug candidates or any future drug candidates. Our competitors may also develop drugs that are more effective, more convenient, more widely used and less costly or that have a better safety profile than our drugs (if any) and these competitors may also be more successful than we are in manufacturing and marketing their products. If we are unable to compete effectively against our competitors, we may not be able to commercialize our drug candidates or any future drug candidates or achieve a competitive position in the market. This would adversely affect our ability to generate revenue. It is likely that our competitors, either working alone or in collaboration with others, will have significantly greater financial resources, an established presence in target markets, expertise in research and development, manufacturing, nonclinical and clinical testing, and experience obtaining regulatory approvals and reimbursement and marketing approved products than we do. We are also in competition for the limited qualified scientific, sales, marketing and management personnel, space at clinical trial sites, for patient registration for clinical trials and technologies complementary to, or necessary for, our programs. New competitors may emerge, smaller or early-stage companies may grow, either on their own or through collaborative arrangements with large and established companies and competitors may concentrate through mergers and acquisitions.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HBV infection competitors</w:t>
      </w:r>
    </w:p>
    <w:p>
      <w:pPr>
        <w:spacing w:after="0" w:line="119"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Current FDA-approved treatments for chronic HBV infection include peg-IFNα, marketed by Roche Holding AG (Roche), and oral antiviral agents such as nucleos(t)ide analogs, marketed by Gilead Sciences, Inc. (Gilead) and Bristol-Myers Squibb Company. These treatments do not lead to either a functional or a complete cure in the vast majority of patients, and in the case of nucleos(t)ide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Vir Biotechnology, Inc. (together with Alnylam Pharmaceuticals, Inc.). Several companies are developing CAM-Es, including Assembly Biosciences Inc. and Enanta Pharmaceuticals. Several companies, including GSK and Janssen, are developing therapeutic vaccines for HBV, and several others have approved HBV vaccines, including Dynavax Technologies, Inc., GSK, Johnson &amp; Johnson, and Merck. Replicor, Inc. is developing nucleic acid polymers (NAPs) for use in patients with chronic HBV infection.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MASH competitors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p>
    <w:p>
      <w:pPr>
        <w:ind w:right="160" w:firstLine="509"/>
        <w:spacing w:after="0" w:line="220" w:lineRule="exact"/>
        <w:rPr>
          <w:sz w:val="20"/>
          <w:szCs w:val="20"/>
          <w:color w:val="auto"/>
        </w:rPr>
      </w:pPr>
      <w:r>
        <w:rPr>
          <w:rFonts w:ascii="Times New Roman" w:cs="Times New Roman" w:eastAsia="Times New Roman" w:hAnsi="Times New Roman"/>
          <w:sz w:val="18"/>
          <w:szCs w:val="18"/>
          <w:color w:val="auto"/>
        </w:rPr>
        <w:t>There is one currently FDA-approved treatments for MASH: Madrigal Pharmaceuticals, Inc., THR-b agonist.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as well as large and small biotechnology companies such as 89bio, Inc., Akero Therapeutics, Inc., Gilead, Inventiva Pharma SA, MediciNova, Inc., and Viking Therapeutics, Inc. are pursuing the development or marketing of pharmaceuticals that target MASH. It is also probable that the number of companies seeking to develop products and therapies for the treatment of serious metabolic diseases, such as MASH, will increase.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Coronaviruses competitors</w:t>
      </w:r>
    </w:p>
    <w:p>
      <w:pPr>
        <w:spacing w:after="0" w:line="119"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In addition to remdesivir, which is FDA-approved, on December 22, 2021, Pfizer, Inc. received approval from the FDA for Paxlovid, an orally administered SARS-CoV-2 protease inhibitor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and Jakafi by Incyte Corporation. There are significant efforts globally to develop both therapeutic and prophylactic drug candidates including by Enanta Pharmaceuticals and Shionogi. Several companies are focused on antibody treatments, including Regeneron Pharmaceuticals, Inc. and Vir Biotechnology, Inc. (together with GSK, Biogen Inc. and WuXi Biologics Ltd.).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collaborations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and Research Collaboration with Merck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December 2020, we entered into an exclusive License and Research Collaboration Agreement with Merck under which Merck and Aligos will apply our oligonucleotide platform technology to discover, research, optimize and develop oligonucleotides directed against a MASH target and up to one additional liver-targeted cardiometabolic and/or fibrosis target.</w:t>
      </w:r>
    </w:p>
    <w:p>
      <w:pPr>
        <w:spacing w:after="0" w:line="68" w:lineRule="exact"/>
        <w:rPr>
          <w:sz w:val="20"/>
          <w:szCs w:val="20"/>
          <w:color w:val="auto"/>
        </w:rPr>
      </w:pPr>
    </w:p>
    <w:p>
      <w:pPr>
        <w:ind w:right="480" w:firstLine="509"/>
        <w:spacing w:after="0" w:line="258" w:lineRule="auto"/>
        <w:rPr>
          <w:sz w:val="20"/>
          <w:szCs w:val="20"/>
          <w:color w:val="auto"/>
        </w:rPr>
      </w:pPr>
      <w:r>
        <w:rPr>
          <w:rFonts w:ascii="Times New Roman" w:cs="Times New Roman" w:eastAsia="Times New Roman" w:hAnsi="Times New Roman"/>
          <w:sz w:val="18"/>
          <w:szCs w:val="18"/>
          <w:color w:val="auto"/>
        </w:rPr>
        <w:t>In January 2022, we entered into an amendment to such License and Research Collaboration Agreement, which expanded our collaboration to include a license to Merck of an early-stage program directed to a second undisclosed MASH target on which we had previously been working independently and separately from Merck. In addition, under this expanded arrangement, Merck has the right to add a third target of interest to the collaboration. This third target, if added, will be for a liver-based cardiometabolic/fibrosis target. Such right to add a third target to the collaboration expired in January 2023.</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original agreement, we received an upfront payment from Merck. Under the amendment, we received a payment from Merck to carry out the research program for the second undisclosed MASH target. With respect to each collaboration target, we will be eligible to receive up to approximately $460 million in development and commercialization milestones as well as tiered royalties on net sales.</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Merck has the right to terminate the License and Research Collaboration Agreement in its entirety or on a target-by-target basis at any time by giving us 90 days’ written notice. From the time Merck assumes responsibility for subsequent research until achievement of a certain regulatory event, we may terminate the License and Research Collaboration Agreement if Merck ceases all development activities for a specified period and fails to resume such activities within a reasonable time after we provide them with a resumption notice. Either party may terminate the License and Research Collaboration Agreement upon the other party’s uncured material breach or insolvency. Upon termination for any reason other than our material breach, we will have the right to acquire from Merck the products and compounds being developed or commercialized by Merck under the License and Research Collaboration Agreement. Good faith negotiations between us and Merck would be performed to enact a transition plan.</w:t>
      </w:r>
    </w:p>
    <w:p>
      <w:pPr>
        <w:spacing w:after="0" w:line="81" w:lineRule="exact"/>
        <w:rPr>
          <w:sz w:val="20"/>
          <w:szCs w:val="20"/>
          <w:color w:val="auto"/>
        </w:rPr>
      </w:pPr>
    </w:p>
    <w:p>
      <w:pPr>
        <w:ind w:right="1740" w:firstLine="509"/>
        <w:spacing w:after="0" w:line="375" w:lineRule="auto"/>
        <w:rPr>
          <w:sz w:val="20"/>
          <w:szCs w:val="20"/>
          <w:color w:val="auto"/>
        </w:rPr>
      </w:pPr>
      <w:r>
        <w:rPr>
          <w:rFonts w:ascii="Times New Roman" w:cs="Times New Roman" w:eastAsia="Times New Roman" w:hAnsi="Times New Roman"/>
          <w:sz w:val="18"/>
          <w:szCs w:val="18"/>
          <w:color w:val="auto"/>
        </w:rPr>
        <w:t xml:space="preserve">In February 2023 and May 2024, Merck provided us written notice of termination for both of the targets in the collaboration. </w:t>
      </w:r>
      <w:r>
        <w:rPr>
          <w:rFonts w:ascii="Times New Roman" w:cs="Times New Roman" w:eastAsia="Times New Roman" w:hAnsi="Times New Roman"/>
          <w:sz w:val="18"/>
          <w:szCs w:val="18"/>
          <w:b w:val="1"/>
          <w:bCs w:val="1"/>
          <w:i w:val="1"/>
          <w:iCs w:val="1"/>
          <w:color w:val="auto"/>
        </w:rPr>
        <w:t>License agreement with Emory University</w:t>
      </w:r>
    </w:p>
    <w:p>
      <w:pPr>
        <w:spacing w:after="0" w:line="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June 2018, we entered into a license agreement with Emory (the Emory License Agreement), pursuant to which Emory granted us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we may select up to six compounds which will maintain exclusivity with respect to all therapeutic and prophylactic uses. With respect to all other compounds that are enabled by the licensed patents, those which are jointly invented by us and Emory or inventors in the Schinazi laboratory, or which are disclosed in a specified licensed patent, are licensed to us exclusively including as to Emory; whereas all other such compounds are licensed to us non-exclusively. Under the terms of the Emory License Agreement, we are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us thereunder.</w:t>
      </w:r>
    </w:p>
    <w:p>
      <w:pPr>
        <w:spacing w:after="0" w:line="192"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Emory reserves the right for itself to practice, and have practiced by other entities solely for purposes of collaborative research with Emory, under the licensed patents for educational purposes, Emory’s internal purposes, and for non-commercial research, patient care and treatment. Emory can further grant licenses to not-for-profit and governmental institutions for their internal non-commercial research and scholarly use.</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Ownership of any new inventions arising out of our activities under the Emory License Agreement follows the inventorship laws of the United States. With respect to the licensed patents owned by Emory, we are required to prepare documents and filings for the prosecution and maintenance of such licensed patents, while Emory retains the option to provide final edits and approval of such documents and is responsible for the actual filing of such documents. We are responsible for the cost of the prosecution and maintenance of the licensed patents, and we have the first right, but not the obligation, to enforce such patents. We are solely responsible for the costs of any lawsuits we elect to initiate to enforce the licensed patents and cannot enter into a settlement in respect of such lawsuits without the prior written consent of Emory. Any sums recovered in such lawsuits will be shared equally between us and Emory after reimbursement of our costs for such litigation, except that for any award based on lost profits, Emory shall recover the greater of fifty percent of the award or the royalty Emory would have received had the infringing sales been made by us.</w:t>
      </w:r>
    </w:p>
    <w:p>
      <w:pPr>
        <w:spacing w:after="0" w:line="192" w:lineRule="exact"/>
        <w:rPr>
          <w:sz w:val="20"/>
          <w:szCs w:val="20"/>
          <w:color w:val="auto"/>
        </w:rPr>
      </w:pPr>
    </w:p>
    <w:p>
      <w:pPr>
        <w:ind w:right="60" w:firstLine="515"/>
        <w:spacing w:after="0" w:line="261" w:lineRule="auto"/>
        <w:rPr>
          <w:sz w:val="20"/>
          <w:szCs w:val="20"/>
          <w:color w:val="auto"/>
        </w:rPr>
      </w:pPr>
      <w:r>
        <w:rPr>
          <w:rFonts w:ascii="Times New Roman" w:cs="Times New Roman" w:eastAsia="Times New Roman" w:hAnsi="Times New Roman"/>
          <w:sz w:val="18"/>
          <w:szCs w:val="18"/>
          <w:color w:val="auto"/>
        </w:rPr>
        <w:t>The technology claimed by the licensed patents under the Emory License Agreement may have been developed using U.S. government funding and the licenses therefore may be subject to a non-exclusive license held by the U.S. government, certain requirements that licensed products be manufactured substantially in the United States and U.S. government march-in rights. For more information on risks related to technology developed using government funding see the section titled “Risk Factors—Risks related to intellectual property.”</w:t>
      </w:r>
    </w:p>
    <w:p>
      <w:pPr>
        <w:spacing w:after="0" w:line="180" w:lineRule="exact"/>
        <w:rPr>
          <w:sz w:val="20"/>
          <w:szCs w:val="20"/>
          <w:color w:val="auto"/>
        </w:rPr>
      </w:pPr>
    </w:p>
    <w:p>
      <w:pPr>
        <w:ind w:right="160" w:firstLine="515"/>
        <w:spacing w:after="0" w:line="282" w:lineRule="auto"/>
        <w:rPr>
          <w:sz w:val="20"/>
          <w:szCs w:val="20"/>
          <w:color w:val="auto"/>
        </w:rPr>
      </w:pPr>
      <w:r>
        <w:rPr>
          <w:rFonts w:ascii="Times New Roman" w:cs="Times New Roman" w:eastAsia="Times New Roman" w:hAnsi="Times New Roman"/>
          <w:sz w:val="18"/>
          <w:szCs w:val="18"/>
          <w:color w:val="auto"/>
        </w:rPr>
        <w:t>Under the terms of the Emory License Agreement, we are obligated to use commercially reasonable efforts to bring licensed products to market in accordance with a mutually agreed upon development plan.</w:t>
      </w:r>
    </w:p>
    <w:p>
      <w:pPr>
        <w:spacing w:after="0" w:line="162" w:lineRule="exact"/>
        <w:rPr>
          <w:sz w:val="20"/>
          <w:szCs w:val="20"/>
          <w:color w:val="auto"/>
        </w:rPr>
      </w:pPr>
    </w:p>
    <w:p>
      <w:pPr>
        <w:ind w:firstLine="515"/>
        <w:spacing w:after="0" w:line="255" w:lineRule="auto"/>
        <w:rPr>
          <w:sz w:val="20"/>
          <w:szCs w:val="20"/>
          <w:color w:val="auto"/>
        </w:rPr>
      </w:pPr>
      <w:r>
        <w:rPr>
          <w:rFonts w:ascii="Times New Roman" w:cs="Times New Roman" w:eastAsia="Times New Roman" w:hAnsi="Times New Roman"/>
          <w:sz w:val="18"/>
          <w:szCs w:val="18"/>
          <w:color w:val="auto"/>
        </w:rPr>
        <w:t>In June 2020, we amended the license agreement with Emory. Pursuant to the amended license agreement, Emory granted us additional patent rights to certain compounds targeting the treatment or prevention of HBV. As consideration for the additional rights, we made a one-time, non-refundable payment to Emory in the amount of $0.2 million, with an additional obligation to pay up to a maximum of $35,000. On the same date, we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we exercised our option to extend it for a second year. In June 2022, the research plan terminated. In connection with the research plan, we will provide Emory funding up to $0.3 million per year.</w:t>
      </w:r>
    </w:p>
    <w:p>
      <w:pPr>
        <w:spacing w:after="0" w:line="189" w:lineRule="exact"/>
        <w:rPr>
          <w:sz w:val="20"/>
          <w:szCs w:val="20"/>
          <w:color w:val="auto"/>
        </w:rPr>
      </w:pPr>
    </w:p>
    <w:p>
      <w:pPr>
        <w:ind w:firstLine="515"/>
        <w:spacing w:after="0" w:line="255" w:lineRule="auto"/>
        <w:rPr>
          <w:sz w:val="20"/>
          <w:szCs w:val="20"/>
          <w:color w:val="auto"/>
        </w:rPr>
      </w:pPr>
      <w:r>
        <w:rPr>
          <w:rFonts w:ascii="Times New Roman" w:cs="Times New Roman" w:eastAsia="Times New Roman" w:hAnsi="Times New Roman"/>
          <w:sz w:val="18"/>
          <w:szCs w:val="18"/>
          <w:color w:val="auto"/>
        </w:rPr>
        <w:t>We have agreed to pay Emory up to an aggregate of $125.0 million upon the achievement of specified development, regulatory, and commercial milestones, and all ongoing patent costs. We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194" w:lineRule="exact"/>
        <w:rPr>
          <w:sz w:val="20"/>
          <w:szCs w:val="20"/>
          <w:color w:val="auto"/>
        </w:rPr>
      </w:pPr>
    </w:p>
    <w:p>
      <w:pPr>
        <w:ind w:right="140" w:firstLine="515"/>
        <w:spacing w:after="0" w:line="270" w:lineRule="auto"/>
        <w:rPr>
          <w:sz w:val="20"/>
          <w:szCs w:val="20"/>
          <w:color w:val="auto"/>
        </w:rPr>
      </w:pPr>
      <w:r>
        <w:rPr>
          <w:rFonts w:ascii="Times New Roman" w:cs="Times New Roman" w:eastAsia="Times New Roman" w:hAnsi="Times New Roman"/>
          <w:sz w:val="17"/>
          <w:szCs w:val="17"/>
          <w:color w:val="auto"/>
        </w:rPr>
        <w:t>The Emory License Agreement will expire upon expiration of the last-to-expire patent licensed to us thereunder. We may terminate the Emory License Agreement at any time in its entirety or with respect to specific patents for convenience by providing Emory with 90 days’ written notice and are required to terminate the Emory License Agreement if we make a final decision to cease research, development or commercialization of any licensed products. Either party may terminate the Emory License Agreement if the other party materially breaches such agreement and fails to timely cure such breach. Emory may terminate the Emory License Agreement if we fail to reach a milestone at an agreed date and fail to timely provide commercially reasonable evidence of a reasonable, good-faith business or technical justification for such failure. Upon termination of the Emory License Agreement for our material breach, we will, upon Emory’s request, grant to Emory a non-exclusive, royalty-free license to all of our rights in patents owned by, licensed or controlled by us to the extent they relate to our exercise of the licensed rights under the Emory License Agreement and include claims covering the manufacture, use or sale of any licensed products containing the licensed compounds. The Emory License Agreement will automatically terminate if we become bankrupt or insolvent or if we challenge the validity or enforceability of any patent licensed to us under the Emory License Agreement.</w:t>
      </w:r>
    </w:p>
    <w:p>
      <w:pPr>
        <w:spacing w:after="0" w:line="177" w:lineRule="exact"/>
        <w:rPr>
          <w:sz w:val="20"/>
          <w:szCs w:val="20"/>
          <w:color w:val="auto"/>
        </w:rPr>
      </w:pPr>
    </w:p>
    <w:p>
      <w:pPr>
        <w:jc w:val="both"/>
        <w:ind w:right="380" w:firstLine="515"/>
        <w:spacing w:after="0" w:line="266" w:lineRule="auto"/>
        <w:rPr>
          <w:sz w:val="20"/>
          <w:szCs w:val="20"/>
          <w:color w:val="auto"/>
        </w:rPr>
      </w:pPr>
      <w:r>
        <w:rPr>
          <w:rFonts w:ascii="Times New Roman" w:cs="Times New Roman" w:eastAsia="Times New Roman" w:hAnsi="Times New Roman"/>
          <w:sz w:val="18"/>
          <w:szCs w:val="18"/>
          <w:color w:val="auto"/>
        </w:rPr>
        <w:t>We have agreed to indemnify Emory and certain others under the Emory License Agreement for losses they may suffer arising out of the rights licensed thereunder or the manufacturing, testing, design, use, sale or labeling of any product containing a licensed compound, unless caused by such potential indemnitee’s negligence.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Luxna Biotech Co., Ltd.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December 19, 2018, we entered into a license agreement with Luxna, pursuant to which Luxna granted us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we may select at any time during the first eight years of the term, to the extent not licensed to a third party, and (iii) products containing oligonucleotides targeting up to three genes which contribute to hepatocellular carcinoma, which we may select at any time during the first three years of the term, which expired in December 2021. As consideration for this agreement, we paid an upfront license fee of $0.6 million.</w:t>
      </w:r>
    </w:p>
    <w:p>
      <w:pPr>
        <w:spacing w:after="0" w:line="8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 April 2020, we amended the license agreement with Luxna. Pursuant to the amended license agreement, Luxna granted us an exclusive, worldwide license under the licensed patents to research, develop, make, have made and commercialize products containing oligonucleotides targeting three families of viruses: Orthomyxoviridae, Paramyxoviridae, and Coronaviridae (a family which includes SARS-CoV-2). As consideration for the amended license agreement, we paid Luxna a one-time non-refundable fee of $0.2 million in April 2020.</w:t>
      </w:r>
    </w:p>
    <w:p>
      <w:pPr>
        <w:spacing w:after="0" w:line="72"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We are obligated to make payments to Luxna, in aggregate, totaling up to but no more than $55.5 million upon the achievement of specified development, regulatory, and commercial milestones. We are also required to pay Luxna a low-single digit royalty percentage on net sale of applicable products, if any.</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Luxna’s rights to the intellectual property subject to the Luxna Agreement stem from an exclusive license (the Luxna-Osaka Agreement) from Osaka University (Osaka) for certain rights pertaining to modifications of XNA and other gapmer technologies covered by the licensed patents. Separately, Osaka granted rights to certain third parties in connection with the licensed patents, such as rights to amido-bridged nucleic acid (AmNA) for specific indications including MASH, rights to manufacture reagents containing the modifications of AmNA and rights to use specified genes. Such rights are not included in the scope of rights granted to us under the Luxna Agreement and the Luxna Agreement does not prevent Osaka from using any of the licensed rights under the Luxna Agreement for its non-commercial research purposes relating to the modifications of XNA.</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Ownership of any new inventions arising out of our activities under the Luxna Agreement will follow the inventorship laws of the United States. Luxna retains the responsibility for the prosecution and maintenance of the licensed patents, provided that Luxna consider our comments and suggestions in connection therewith. We retain step-in rights should Luxna decide to no longer prosecute or maintain any licensed patents under the Luxna Agreement. We have the first right, but not the obligation, at our sole expense to enforce the licensed patents. In connection with any infringement suit, neither party can enter into a settlement without the prior written consent of the other.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 w:name="page21"/>
    <w:bookmarkEnd w:id="20"/>
    <w:p>
      <w:pPr>
        <w:spacing w:after="0" w:line="8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Luxna Agreement will expire upon expiration of the last-to-expire patent licensed to us under the agreement. We may terminate the Luxna Agreement at any time for convenience by providing Luxna with 90 days’ written notice. In addition, we have agreed to terminate the Luxna Agreement if we make a final decision to cease research, development or commercialization of the licensed products. Either party may terminate the Luxna Agreement if the other party materially breaches the Luxna Agreement and fails to timely cure such breach. The Luxna Agreement will automatically terminate if we become bankrupt or insolvent.</w:t>
      </w:r>
    </w:p>
    <w:p>
      <w:pPr>
        <w:spacing w:after="0" w:line="7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have agreed to indemnify Luxna and certain others under the Luxna Agreement for losses they may suffer arising out of the rights licensed thereunder or the manufacturing, testing, design, use, sale or labeling of any product containing a licensed product, unless caused by such potential indemnitee’s negligence.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we entered into a Research, Licensing and Commercialization Agreement (KU Leuven Agreement) with KU Leuven, under which we are collaborating with KU Leuven’s Rega Institute for Medical Research, as well as its CD3,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we and KU Leuven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us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we are obligated to make payments to KU Leuven, in aggregate, totaling up to but no more than $30.0 million upon the achievement of certain commercial sales milestones. For each licensed product developed through KU Leuven and our collaborative effort, we are obligated to make payments to KU Leuven, in aggregate, totaling up to $32.0 million upon the achievement of certain development and regulatory milestones. We are also required to pay KU Leuven a low-to-mid-single digit royalty percentage, subject to certain adjustments, on net sales of applicable products, if any. We are also required to pay a share of upfront transaction consideration received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One key to our success is our ability to establish and maintain protection for our drug candidates, platform technology and know-how, in order to enforce and defend our intellectual property rights. To protect our drug candidates and technologies, we file U.S., Patent Cooperation Treaty (PCT) and foreign patent applications related to our inventions, improvements, manufacturing and analytical processes and technology. We also rely on our know-how, confidential methodologies and processes and continuing technological innovation as well as our active third-party intellectual property in-licensing program to develop and maintain our proprietary positions, in addition to trademarks, copyrights and trade secret laws, and employee disclosure and invention assignment agreements.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of by the individual during the course of employment, and which relate to or are reasonably capable or being used in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 w:name="page22"/>
    <w:bookmarkEnd w:id="21"/>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current or planned business or research and development, are our exclusive property. In addition, we take other appropriate precautions, such as physical and technological security measures, to guard against misappropriation of our proprietary technology by third parties. However, such agreements and policies may be breached, and we may not have adequate remedies for such breaches. For more information regarding the risks related to our intellectual property, see the section titled “Risk Factors—Risks related to intellectual property.”</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licensed patents and patent applications from various entities, including Emory, Luxna and AM Chemicals, which are further described below. Regarding our owned patent portfolio, as of December 31, 2024, we own 30 issued U.S. patents, 17 U.S. non-provisional patent applications, 8 U.S. provisional patent applications (excluding any non-expired U.S. provisional applications to which priority has already been claimed), 13 PCT applications, 14 issued foreign patents and 243 foreign patent applications, including pending applications in the Arab Emirates, ARIPO, Argentina, Australia, Brazil, Canada, Chile, China, Colombia, Eurasia, Egypt, the EU, Georgia, Indonesia, Israel, India, Japan, South Korea, Malaysia, Mexico, New Zealand, OAPI, Peru, Philippines, Russian Federation, Singapore, Thailand, Taiwan, Ukraine, Uzbekistan and South Africa. The expected expiration dates of our issued patents are between 2040 and 2042, and any patents that issue from our non-provisional U.S. and foreign patent applications are expected to expire between 2040 to 2044, excluding any potentially available patent term extensions and/or patent term adjustments.</w:t>
      </w:r>
    </w:p>
    <w:p>
      <w:pPr>
        <w:spacing w:after="0" w:line="84" w:lineRule="exact"/>
        <w:rPr>
          <w:sz w:val="20"/>
          <w:szCs w:val="20"/>
          <w:color w:val="auto"/>
        </w:rPr>
      </w:pPr>
    </w:p>
    <w:p>
      <w:pPr>
        <w:ind w:right="120" w:firstLine="509"/>
        <w:spacing w:after="0" w:line="232" w:lineRule="exact"/>
        <w:rPr>
          <w:sz w:val="20"/>
          <w:szCs w:val="20"/>
          <w:color w:val="auto"/>
        </w:rPr>
      </w:pPr>
      <w:r>
        <w:rPr>
          <w:rFonts w:ascii="Times New Roman" w:cs="Times New Roman" w:eastAsia="Times New Roman" w:hAnsi="Times New Roman"/>
          <w:sz w:val="18"/>
          <w:szCs w:val="18"/>
          <w:color w:val="auto"/>
        </w:rPr>
        <w:t>For our drug candidates, we have filed and licensed certain patent applications and we generally intend to pursue patent protection covering compositions of matter, methods of making, form and formulation, and methods of use of such drug candidates. As of December 31, 2024, we own 7 U.S. patents with claims directed to either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and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Licensed intellectual property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Emory University</w:t>
      </w:r>
    </w:p>
    <w:p>
      <w:pPr>
        <w:spacing w:after="0" w:line="119"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We have licensed exclusive rights to a patent estate from Emory in the CAM-E chemical space, consisting of 2 issued U.S. patents, one pending non-provisional U.S. patent application as well as 16 issued foreign patents and 22 foreign patent applications. The issued U.S. patents have an expected expiration date of March 2037, and any patents that issue from our non-provisional U.S. and foreign patent applications are expected to expire between 2037 and 2041, excluding any potentially available patent term extensions or adjustments.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Luxna</w:t>
      </w:r>
    </w:p>
    <w:p>
      <w:pPr>
        <w:spacing w:after="0" w:line="11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have licensed rights to a patent estate from Luxna in the oligonucleotide chemical space, consisting of 7 issued U.S. patents, and 15 issued foreign patents and 3 foreign patent applications. We have exclusive rights to use this technology in the development of drug candidates for chronic HBV infection, as well as rights to certain named targets in MASH and respiratory diseases, including coronaviruses. The issued U.S. patents are expected to expire between October 2030 and February 2038, excluding any potentially available patent term extensions or adjustments.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 Chemicals</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have licensed exclusive rights to the use of specific oligonucleotide constructs encompassed by the patent estate from AM Chemicals, including two issued U.S. patents, and three foreign patent applications. The issued U.S. patents have an expected expiration date of July 2037, and any patents that issue from the foreign patent applications are expected to expire in 2037, excluding any potentially available patent term extensions or patent term adjustments.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Drug candidate intellectual property</w:t>
      </w:r>
    </w:p>
    <w:p>
      <w:pPr>
        <w:spacing w:after="0" w:line="80"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i w:val="1"/>
          <w:iCs w:val="1"/>
          <w:color w:val="auto"/>
        </w:rPr>
        <w:t>Hepatitis B—ALG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000184 and additional potential drug candidates</w:t>
      </w:r>
    </w:p>
    <w:p>
      <w:pPr>
        <w:spacing w:after="0" w:line="158"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We own a patent family that includes 2 issued U.S. patents, one non-provisional U.S. patent application, and 31 applications pending across multiple jurisdictions that have claims directed to composition of matter, including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(our lead CAM-E molecule), pharmaceutical composition and method of use claims. This patent family also includes claims directed to combination treatment with our lead molecule with other modes of action drugs and drug candidates directed against chronic HBV infection. Our issued U.S. Patents 11,191,747 and 11,771,680 are projected to expire in April 2040, and any patents that issue from our non-provisional U.S. and foreign patent applications are expected to expire in 2040, excluding any potentially available patent term extensions or adjustments.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45"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i w:val="1"/>
          <w:iCs w:val="1"/>
          <w:color w:val="auto"/>
        </w:rPr>
        <w:t>MASH—ALG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055009 and additional potential drug candidates</w:t>
      </w:r>
    </w:p>
    <w:p>
      <w:pPr>
        <w:spacing w:after="0" w:line="158" w:lineRule="exact"/>
        <w:rPr>
          <w:sz w:val="20"/>
          <w:szCs w:val="20"/>
          <w:color w:val="auto"/>
        </w:rPr>
      </w:pPr>
    </w:p>
    <w:p>
      <w:pPr>
        <w:ind w:right="200" w:firstLine="509"/>
        <w:spacing w:after="0" w:line="219" w:lineRule="exact"/>
        <w:rPr>
          <w:sz w:val="20"/>
          <w:szCs w:val="20"/>
          <w:color w:val="auto"/>
        </w:rPr>
      </w:pPr>
      <w:r>
        <w:rPr>
          <w:rFonts w:ascii="Times New Roman" w:cs="Times New Roman" w:eastAsia="Times New Roman" w:hAnsi="Times New Roman"/>
          <w:sz w:val="18"/>
          <w:szCs w:val="18"/>
          <w:color w:val="auto"/>
        </w:rPr>
        <w:t>We own a patent family that includes 2 issued U.S. patents, one U.S. non-provisional application, 2 U.S. provisional applications, one PCT application, 4 issued foreign applications and 28 foreign applications which have claims directed to compositions of matter, manufacturing, formulations and method of use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our lead drug candidate for the treatment of MASH. These patent families also disclose combination therapies with our lead molecule. Our issued U.S. Patents 1,1091,467 and 12,180,192 are expected to expire in May 2040, and any patents that issue from our non-provisional U.S. application is expected to expire between 2040 and 2044, excluding any potentially available patent term extensions or patent term adjustments.</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Coronaviruses—ALG-097558 and additional potential drug candidates</w:t>
      </w:r>
    </w:p>
    <w:p>
      <w:pPr>
        <w:spacing w:after="0" w:line="119" w:lineRule="exact"/>
        <w:rPr>
          <w:sz w:val="20"/>
          <w:szCs w:val="20"/>
          <w:color w:val="auto"/>
        </w:rPr>
      </w:pPr>
    </w:p>
    <w:p>
      <w:pPr>
        <w:ind w:right="180" w:firstLine="509"/>
        <w:spacing w:after="0" w:line="220" w:lineRule="exact"/>
        <w:rPr>
          <w:sz w:val="20"/>
          <w:szCs w:val="20"/>
          <w:color w:val="auto"/>
        </w:rPr>
      </w:pPr>
      <w:r>
        <w:rPr>
          <w:rFonts w:ascii="Times New Roman" w:cs="Times New Roman" w:eastAsia="Times New Roman" w:hAnsi="Times New Roman"/>
          <w:sz w:val="18"/>
          <w:szCs w:val="18"/>
          <w:color w:val="auto"/>
        </w:rPr>
        <w:t>We own a patent family that includes one issued U.S. patent, one non-provisional U.S. application, and 26 foreign patent application all of which have claims directed to compositions of matter and method of use, including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our lead drug candidate for the treatment of coronavirus. This patent family also discloses combination therapies with our lead molecule. Our issued U.S patent 11,851,422 expires in 2042, and any patent that issues from our non-provisional patent application is expected to expire in 2042, excluding any potentially available patent term extension or adjustment.</w:t>
      </w:r>
    </w:p>
    <w:p>
      <w:pPr>
        <w:spacing w:after="0" w:line="52"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i w:val="1"/>
          <w:iCs w:val="1"/>
          <w:color w:val="auto"/>
        </w:rPr>
        <w:t>Hepatitis B—ALG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125755 and additional potential drug candidates</w:t>
      </w:r>
    </w:p>
    <w:p>
      <w:pPr>
        <w:spacing w:after="0" w:line="158" w:lineRule="exact"/>
        <w:rPr>
          <w:sz w:val="20"/>
          <w:szCs w:val="20"/>
          <w:color w:val="auto"/>
        </w:rPr>
      </w:pPr>
    </w:p>
    <w:p>
      <w:pPr>
        <w:ind w:right="220" w:firstLine="509"/>
        <w:spacing w:after="0" w:line="220" w:lineRule="exact"/>
        <w:rPr>
          <w:sz w:val="20"/>
          <w:szCs w:val="20"/>
          <w:color w:val="auto"/>
        </w:rPr>
      </w:pPr>
      <w:r>
        <w:rPr>
          <w:rFonts w:ascii="Times New Roman" w:cs="Times New Roman" w:eastAsia="Times New Roman" w:hAnsi="Times New Roman"/>
          <w:sz w:val="18"/>
          <w:szCs w:val="18"/>
          <w:color w:val="auto"/>
        </w:rPr>
        <w:t>We own a patent family that includes 2 issued U.S. Patents, 3 non-provisional U.S. patents and 30 foreign patent applications pending across multiple jurisdictions that have claims directed to compositions of matter and methods of use for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our lead siRNA candidate. This patent family also discloses combination therapies with our lead molecule. Our issued U.S. patents 11,549,110 and 12,129,469 are projected to expire in March 2041, excluding any additional term from a potential patent term extension or adjustment.</w:t>
      </w:r>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Discovery pipeline intellectual property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Hepatitis B</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own multiple additional patent families of applications that include claims directed to compositions of matter, pharmaceutical compositions and methods of use for the treatment of chronic HBV infection with our additional drug candidates. These families include 14 issued U.S. patents, 8 U.S. non-provisional patent applications, 7 U.S. provisional patent applications, 5 PCT patent applications, 4 issued foreign patents and 84 foreign patent applications in the small molecule and oligonucleotide space. These patent families also disclose combination therapies with our drug candidates and other compounds for treating chronic HBV infection. Our issued patents and any patents that issue from our U.S. non-provisional or foreign patent applications in these patent families are expected to expire between 2040 to 2044, excluding any potentially available patent term extensions or patent term adjustments.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MASH</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have 4 issued U.S. patents and 4 foreign patent applications that include claims directed to compositions of matter and methods of use with our additional drug candidates for the treatment of MASH. These applications also disclose combination therapies with our drug candidates and other compounds for treating MASH. Our issued patents are expected to expire in 2041, and any patents that issue from our non-provisional U.S. and foreign applications are projected to expire in 2041, excluding any potentially available patent term extensions or patent term adjustments.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Coronaviruses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2 allowed U.S. patent application, 4 U.S. non-provisional patent applications, 2 US provisional patent applications, 4 PCT applications and 25 foreign applications that include claims directed to compositions of matter, pharmaceutical compositions, and methods of use for treating coronaviruses. Some of these applications are co-owned by Aligos and a collaborator. These patent families also include disclosures relating to combination therapy strategies for treating coronaviruses. Any patents that issue from our U.S. non-provisional and foreign patent applications are expected to expire from 2041 to 2044, excluding any potentially available patent term extensions or patent term adjustments.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3" w:name="page24"/>
    <w:bookmarkEnd w:id="23"/>
    <w:p>
      <w:pPr>
        <w:spacing w:after="0" w:line="86"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With respect to both our licensed and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our platforms and drug candidates and the methods used to manufacture them. Moreover, the time required for development, testing and regulatory review of our candidate drug candidates may shorten the length of effective patent protection following commercialization. If we do obtain any patents for our drug candidates, the term of such patents depends upon the legal term of the patents in the countries in which they are obtained. In most countries in which we file, the patent term is 20 years from the earliest date of filing of a non-provisional patent application. In the United States, the patent term of a patent that covers an FDA approved drug or biologic may also be eligible for patent term extension, which permits patent term restoration as compensation for the patent term lost during FDA regulatory review process. The Hatch-Waxman Act permits a patent term extension of up to five years beyond the expiration of the patent. The length of the patent term extension is related to the length of time that the drug or biologic is under regulatory review. Patent term extension cannot extend the remaining term of a patent beyond a total of 14 years from the date of product approval and only one patent applicable to an approved drug or biologic may be extended. Similar provisions are available in the EU and other foreign jurisdictions to extend the term of a patent that covers an approved drug or biologic. In the future, if our drug candidates receive FDA approval and if our patent applications relating to such drug candidates issue as patents, we expect to apply for patent term extensions where applicable on patents covering those drugs. We plan to seek patent term extensions to any of our future issued patents in any jurisdiction where these are available, however there is no guarantee that the applicable authorities, including FDA in the United States, will agree with our assessment of whether these extensions should be granted, and if granted, the length of these extensions. For this and other risks related to our proprietary technology, inventions, improvements, platforms and product candidates, see the section titled “Risk Factors—Risks related to intellectual property.”</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11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trademark portfolio contains several trademark applications and registrations, including U.S. and foreign, as of December 31, 2024. The trademark portfolio includes the mark ALIGOS which is registered in the United States, Australia, the EU, Great Britain, Japan, and China.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the federal, state, and local level, as well as in foreign countries, extensively regulate, among other things, the research, development, testing, manufacture, storage, recordkeeping, approval, labeling, marketing and promotion, distribution, post-approval monitoring and reporting, sampling, and import and export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drug regulation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(the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drug candidates may be marketed in the United States generally involves the following:</w:t>
      </w:r>
    </w:p>
    <w:p>
      <w:pPr>
        <w:spacing w:after="0" w:line="117" w:lineRule="exact"/>
        <w:rPr>
          <w:sz w:val="20"/>
          <w:szCs w:val="20"/>
          <w:color w:val="auto"/>
        </w:rPr>
      </w:pPr>
    </w:p>
    <w:p>
      <w:pPr>
        <w:ind w:left="1020" w:right="2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where all supporting safety and toxicity studies are performed in accordance with the FDA’s Good Laboratory Practice (GLP) regulations;</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(IND), which must become effective before human clinical trials may begin and must be updated annually or when significant changes are made;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4" w:name="page25"/>
    <w:bookmarkEnd w:id="24"/>
    <w:p>
      <w:pPr>
        <w:spacing w:after="0" w:line="86"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a clinical trial may be initiated;</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regulations to establish the safety and efficacy of the product candidate for each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new drug application (NDA);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facility(ies) where the product is manufactured to assess compliance with current good manufacturing practice (cGMP) regulations, and of selected clinical investigation sites to assess compliance with GCP;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an NDA to permit commercial marketing of the product for its particular labeled uses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and clinical studies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nonclinical and clinical testing process can take many years and the actual time required to obtain approval, if any, may vary substantially based upon the type, complexity and novelty of the drug or condition being treated.</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Nonclinical tests include laboratory (in vitro) evaluation of drug chemistry, formulation and toxicity, as well as animal (in vivo) studies to assess the characteristics and potential safety and efficacy of the drug candidate. The conduct of nonclinical studies that provide safety and toxicological information must comply with federal regulations and requirements, including GLPs. The results of nonclinical studies are submitted to the FDA as part of an IND along with other information, including information about drug CMC and any available human data or literature to support use of the drug in humans. Long-term nonclinical tests, such as animal tests of reproductive toxicity and carcinogenicity, may continue after the IND is submitted.</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clinical hold and the IND sponsor and the FDA must resolve any outstanding concerns or questions before clinical trials can begin.</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in accordance with GCPs, which include the requirement that all research subjects provide their informed consent for participation in each clinical trial. Clinical trials are conducted under protocols detailing, among other things, the objectives of the trial, the parameters to be used in monitoring safety and the efficacy criteria to be evaluated. A protocol for each clinical trial and any subsequent protocol amendments must be submitted to the FDA as part of the IND. Additionally, approval must also be obtained from each clinical trial site’s IRB before a trial may be initiated at the site, and the IRB must monitor the trial until completed. Sponsors of clinical trials generally must register and report ongoing clinical trials and clinical trial results to public registries, including the website maintained by the U.S. National Institutes of Health, ClinicalTrials.gov.</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For purposes of NDA approval, human clinical trials are typically divided into three or four phases. Although the phases are usually conducted sequentially, they may overlap or be combined.</w:t>
      </w:r>
    </w:p>
    <w:p>
      <w:pPr>
        <w:spacing w:after="0" w:line="50" w:lineRule="exact"/>
        <w:rPr>
          <w:sz w:val="20"/>
          <w:szCs w:val="20"/>
          <w:color w:val="auto"/>
        </w:rPr>
      </w:pPr>
    </w:p>
    <w:p>
      <w:pPr>
        <w:ind w:left="1020" w:right="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drug is initially introduced into healthy human subjects or into patients with the target disease or condition. These studies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to evaluate the safety, dosage tolerance, metabolism and pharmacologic actions of the drug in humans, the side effects associated with increasing doses, and if possible, to gain early evidence of effectiveness.</w:t>
      </w:r>
    </w:p>
    <w:p>
      <w:pPr>
        <w:spacing w:after="0" w:line="62" w:lineRule="exact"/>
        <w:rPr>
          <w:rFonts w:ascii="Times New Roman" w:cs="Times New Roman" w:eastAsia="Times New Roman" w:hAnsi="Times New Roman"/>
          <w:sz w:val="18"/>
          <w:szCs w:val="18"/>
          <w:color w:val="auto"/>
        </w:rPr>
      </w:pPr>
    </w:p>
    <w:p>
      <w:pPr>
        <w:ind w:left="1020" w:right="3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drug is administered to a limited patient population to evaluate tolerance and optimal dose, identify possible adverse side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effects and safety risks, and preliminarily evaluate efficacy. Multiple Phase 2 trials may be conducted to obtain additional data prior to beginning Phase 3 trials.</w:t>
      </w:r>
    </w:p>
    <w:p>
      <w:pPr>
        <w:spacing w:after="0" w:line="62" w:lineRule="exact"/>
        <w:rPr>
          <w:rFonts w:ascii="Times New Roman" w:cs="Times New Roman" w:eastAsia="Times New Roman" w:hAnsi="Times New Roman"/>
          <w:sz w:val="18"/>
          <w:szCs w:val="18"/>
          <w:color w:val="auto"/>
        </w:rPr>
      </w:pPr>
    </w:p>
    <w:p>
      <w:pPr>
        <w:ind w:left="1020" w:right="18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drug is administered to an expanded patient population, generally at geographically dispersed clinical trial sites to generate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enough data to statistically evaluate dosage, clinical effectiveness and safety, to establish the overall benefit-risk relationship of the investigational drug and to provide an adequate basis for drug approval.</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6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some cases, the FDA may provide conditional approval of an NDA for a drug candidate on the sponsor’s agreement to conduct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clinical trials after approval. In other cases, a sponsor may voluntarily conduct additional clinical trials after approval to gain more information about the drug. Such post-approval trials are typically referred to as Phase 4 clinical trials.</w:t>
      </w:r>
    </w:p>
    <w:p>
      <w:pPr>
        <w:spacing w:after="0" w:line="175"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FDA, the IRB or the clinical trial sponsor may suspend or terminate a clinical trial at any time on various grounds, including a finding that the research subjects are being exposed to an unacceptable health risk. The sponsor may also suspend or terminate a clinical trial based on evolving business objectives and/or competitive climate.</w:t>
      </w:r>
    </w:p>
    <w:p>
      <w:pPr>
        <w:spacing w:after="0" w:line="68" w:lineRule="exact"/>
        <w:rPr>
          <w:sz w:val="20"/>
          <w:szCs w:val="20"/>
          <w:color w:val="auto"/>
        </w:rPr>
      </w:pPr>
    </w:p>
    <w:p>
      <w:pPr>
        <w:ind w:right="100" w:firstLine="509"/>
        <w:spacing w:after="0" w:line="277" w:lineRule="auto"/>
        <w:rPr>
          <w:sz w:val="20"/>
          <w:szCs w:val="20"/>
          <w:color w:val="auto"/>
        </w:rPr>
      </w:pPr>
      <w:r>
        <w:rPr>
          <w:rFonts w:ascii="Times New Roman" w:cs="Times New Roman" w:eastAsia="Times New Roman" w:hAnsi="Times New Roman"/>
          <w:sz w:val="17"/>
          <w:szCs w:val="17"/>
          <w:color w:val="auto"/>
        </w:rPr>
        <w:t>Concurrent with clinical trials, companies may complete additional in vivo studies and develop additional information about the characteristics of the drug candidate. Companies must also finalize a process for manufacturing the drug in commercially applicable quantities in accordance with cGMP requirements. The manufacturing process must be capable of consistently producing quality batches of the drug and, among other things, must use validated methods for testing the drug against specifications to confirm its identity, strength, quality and purity. Additionally, appropriate packaging must be selected and tested, and stability studies must be conducted to demonstrate that the drug does not undergo unacceptable deterioration over its shelf life.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Submission of an NDA to the FDA</w:t>
      </w:r>
    </w:p>
    <w:p>
      <w:pPr>
        <w:spacing w:after="0" w:line="121" w:lineRule="exact"/>
        <w:rPr>
          <w:sz w:val="20"/>
          <w:szCs w:val="20"/>
          <w:color w:val="auto"/>
        </w:rPr>
      </w:pPr>
    </w:p>
    <w:p>
      <w:pPr>
        <w:ind w:right="640" w:firstLine="509"/>
        <w:spacing w:after="0" w:line="26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the results of product development and testing are submitted to the FDA in the form of an NDA requesting approval to market the drug for one or more indications. The submission of an NDA requires payment of a substantial application user fee to the FDA, unless a waiver or exemption applies.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An NDA must include all relevant data available from pertinent nonclinical studies and clinical trials, including negative or ambiguous results as well as positive findings, together with detailed information relating to the drug’s chemistry, manufacturing, controls and proposed labeling, among other things. Data can come from company-sponsored clinical trials intended to test the safety and effectiveness of the drug for a specific use, or from a number of alternative sources, including studies initiated by investigators. To support marketing approval, the data submitted must be sufficient in quality and quantity to establish the safety and effectiveness of the drug to the satisfaction of the FDA.</w:t>
      </w:r>
    </w:p>
    <w:p>
      <w:pPr>
        <w:spacing w:after="0" w:line="183"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(PDUFA) performance goals, the FDA endeavors to review NDAs for drugs containing new molecular entities within ten months of the 60-day filing date under standard review or within six months of the 60-day filing date under priority review.</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6" w:name="page27"/>
    <w:bookmarkEnd w:id="26"/>
    <w:p>
      <w:pPr>
        <w:spacing w:after="0" w:line="194"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6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drug is manufactured. The FDA will not approve an application unless it determines that the manufacturing processes and facilities are in compliance with cGMP requirements and are adequate to assure consistent production of the drug within required specifications. Additionally, the FDA will typically inspect one or more clinical sites to assure that relevant trial data was obtained in compliance with GCP requirements.</w:t>
      </w:r>
    </w:p>
    <w:p>
      <w:pPr>
        <w:spacing w:after="0" w:line="7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condition of NDA approval, the FDA may require a Risk Evaluation and Mitigation Strategy (REMS) program to help ensure that the benefits of the drug outweigh its risks. If the FDA determines a REMS program is necessary, the drug sponsor must develop and submit a REMS as part of its NDA prior to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79"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Further, the FDA may require substantial post-approval testing and surveillance as a condition of NDA approval to monitor the drug’s safety and efficacy, and the FDA has the authority to prevent or limit further marketing of a product based on the results of these post-marketing programs. Once granted, product approvals may be withdrawn if compliance with regulatory requirements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drugs, one or more of which may be available for our current or future drug candidates.</w:t>
      </w:r>
    </w:p>
    <w:p>
      <w:pPr>
        <w:spacing w:after="0" w:line="54"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New drug candidates are eligible for fast track designation if they are intended to treat a serious or life-threatening disease or condition and demonstrate the potential to address unmet medical needs for the disease or condition. Fast track designation applies to the combination of the drug and the specific indication for which it is being studied. The sponsor of a fast track drug candidate has opportunities for frequent interactions with the review team during drug development and, once an NDA is submitted, the drug candidate may be eligible for priority review. A fast track drug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drug candidate intended to treat a serious or life-threatening disease or condition may also be eligible for breakthrough therapy designation to expedite its development and review. A drug candidate can receive breakthrough therapy designation if preliminary clinical evidence indicates that the drug candidate may demonstrate substantial improvement over existing therapies on one or more clinically significant endpoints, such as substantial treatment effects observed early in clinical development. The designation includes all of the fast track program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features, as well as more intensive FDA interaction and guidance beginning as early as Phase 1 and an organizational commitment to expedite the development and review of the drug candidate, including involvement of senior managers.</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After an NDA is submitted for a drug candidate, including a drug candidate with a fast track designation and/or breakthrough therapy designation, the NDA may be eligible for priority review. An NDA is eligible for priority review if it has the potential to provide a significant improvement in the treatment, diagnosis or prevention of a serious disease or condition compared to marketed products. Depending on whether a drug candidate contains a new molecular entity, priority review designation means the FDA’s goal is to take an action on the marketing application within six to eight months of the 60-day filing date, compared with ten to twelve months under standard review.</w:t>
      </w:r>
    </w:p>
    <w:p>
      <w:pPr>
        <w:spacing w:after="0" w:line="75"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Additionally, drug candidates studied for their safety and effectiveness in treating serious or life-threatening diseases or conditions may receive accelerated approval upon a determination that the drug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drug.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may pursue orphan drug designation for one or more of our current or future drug candidates, as appropriate, with the potential to obtain orphan drug exclusivity for our products, if approved.</w:t>
      </w:r>
    </w:p>
    <w:p>
      <w:pPr>
        <w:spacing w:after="0" w:line="54"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If a drug that has orphan drug designation subsequently receives the first FDA approval for the disease for which it has such designation, the drug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drug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drug to meet the needs of patients with the rare disease or condition.</w:t>
      </w:r>
    </w:p>
    <w:p>
      <w:pPr>
        <w:spacing w:after="0" w:line="7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Under the Pediatric Research Equity Act,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amended the FDCA to require that a sponsor who is planning to submit an NDA for a drug that includes a new active ingredient, new indication, new dosage form, new dosing regimen or new route of administration submit an initial Pediatric Study Plan (iPSP), within 60 days of an end-of-Phase 2 meeting or, if there is no such meeting, as early as practicable before the initiation of a Phase 3 or Phase 2/3 study.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nonclinical studies, early phase clinical trials and/or other clinical development programs.</w:t>
      </w:r>
    </w:p>
    <w:p>
      <w:pPr>
        <w:spacing w:after="0" w:line="7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Once an NDA is approved, a drug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After approval, most changes to the approved drug, such as adding new indications or other labeling claims, are subject to prior FDA review and approval. There also are continuing user fee requirements, under which FDA assesses an annual program fee for each drug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manufacturers and their subcontractors, if applicable.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drug if compliance with regulatory requirements is not maintained or if problems occur after the drug reaches the market. Later discovery of previously unknown problems with a drug,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drug, complete withdrawal of the drug from the market or drug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studies;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drug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of the FDA to permit the import or export of drugs;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regulation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certain and could become subject to a variety of additional foreign regulations regarding development, approval, commercial sales and distribution of our drugs if we seek to market our drugs (if approved) in other jurisdictions. Whether or not we obtain FDA approval for a drug candidate, we must obtain the necessary approvals by the comparable regulatory authorities of foreign countries before we can commence clinical trials or marketing of the drug in those countries. The approval process varies from country to country and can involve additional drug testing and additional review periods, and the time may be longer or shorter than that required to obtain FDA approval. The requirements governing, among other things, the conduct of clinical trials, drug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drug recalls, seizure of drugs, operating restrictions and criminal prosecution.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In the United States, such laws include, without limitation, state and federal anti-kickback, fraud and abuse, false claims, price reporting, and transparency laws and regulations regarding drug pricing and payments and other transfers of value made to physicians and other healthcare providers.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imprisonment.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candidates for which we or our collaborators obtain regulatory approval. In the United States and markets in other countries, sales of any drugs for which we or our collaborators receive regulatory approval for commercial sale will depend, in part, on the extent to which third-party payors provide coverage, and establish adequate reimbursement levels for such drug products.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third-party payors include federal and state healthcare programs, government authorities, private managed care providers, private health insurers, and other organizations. 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drugs, in addition to the costs required to obtain the FDA approvals. Nonetheless, our drug candidates may not be considered medically necessary or cost-effective. A payor’s decision to provide coverage for a drug product does not imply that an adequate reimbursement rate will be approved. Further, one payor’s determination to provide coverage for a drug product does not assure that other payors will also provide coverage for the drug product.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Moreover, the process for determining whether a third-party payor will provide coverage for a drug product may be separate from the process for setting the price of a drug product or for establishing the reimbursement rate that such a payor will pay for the drug product. For drugs administered under the supervision of a physician, obtaining coverage and adequate reimbursement may be particularly difficult because of the higher prices often associated with such drugs. Additionally, separate reimbursement for the drug itself or the treatment for which the drug is used may not be available, which may impact physician utilization. Adequate third-party reimbursement may not be available to enable us to maintain price levels sufficient to realize an appropriate return on our investment in drug development.</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Different pricing and reimbursement schemes exist in other countries. In Europe,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drugs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drugs. In addition, in some countries, cross-border imports from low-priced markets exert a commercial pressure on pricing within a country.</w:t>
      </w:r>
    </w:p>
    <w:p>
      <w:pPr>
        <w:spacing w:after="0" w:line="84"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marketability of any drug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drug candidates for which we or our collaborators receive regulatory approval, less favorable coverage policies and reimbursement rates may be implemented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Affordable Care Act, or ACA was enacted, which affected existing government healthcare programs and resulted in the development of new programs.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ACA’s provisions of importance to the pharmaceutical industry, in addition to those otherwise described above, are the following:</w:t>
      </w:r>
    </w:p>
    <w:p>
      <w:pPr>
        <w:spacing w:after="0" w:line="117" w:lineRule="exact"/>
        <w:rPr>
          <w:sz w:val="20"/>
          <w:szCs w:val="20"/>
          <w:color w:val="auto"/>
        </w:rPr>
      </w:pPr>
    </w:p>
    <w:p>
      <w:pPr>
        <w:ind w:left="1020" w:right="3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specified branded prescription drugs and biologic agents apportioned among these entities according to their market share in some government healthcare programs;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 of the average manufacturer price for most branded and generic drugs, respectively, and a cap on the total rebate amount for innovator drugs at 100% of the Average Manufacturer Price (AMP);</w:t>
      </w:r>
    </w:p>
    <w:p>
      <w:pPr>
        <w:spacing w:after="0" w:line="6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additional individuals, including individuals with income at or below 133%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1" w:name="page32"/>
    <w:bookmarkEnd w:id="31"/>
    <w:p>
      <w:pPr>
        <w:spacing w:after="0" w:line="8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68"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included aggregate reductions to Medicare payments to providers, which went into effect on April 1, 2013, and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In addition, the American Rescue Plan Act of 2021 was signed into law, which eliminated the statutory Medicaid drug rebate cap, beginning January 1, 2024. The rebate was previously capped at 100% of a drug's average manufacturer price</w:t>
      </w:r>
    </w:p>
    <w:p>
      <w:pPr>
        <w:spacing w:after="0" w:line="84"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There has also been heightened governmental scrutiny recently over the manner in which pharmaceutical companies set prices for their marketed products, which has resulted in several Congressional inquiries and proposed federal legislation, as well as state efforts, designed to, among other things, bring more transparency to drug pricing, reduce the cost of prescription drugs under Medicare, review the relationship between pricing and manufacturer patient programs, and reform government program reimbursement methodologies for drug products.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Centers for Medicare &amp; Medicaid Services, or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For that and other reasons, it is currently unclear how the IRA will be effectuated.</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anticipate that these new laws will result in additional downward pressure on coverage and the price that we receive for any approved drug,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drugs (if approved). In addition, it is possible that there will be further legislation or regulation that could harm our business,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and could apply to our operations or the operations of our partners.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right="200" w:firstLine="509"/>
        <w:spacing w:after="0" w:line="312" w:lineRule="auto"/>
        <w:rPr>
          <w:sz w:val="20"/>
          <w:szCs w:val="20"/>
          <w:color w:val="auto"/>
        </w:rPr>
      </w:pPr>
      <w:r>
        <w:rPr>
          <w:rFonts w:ascii="Times New Roman" w:cs="Times New Roman" w:eastAsia="Times New Roman" w:hAnsi="Times New Roman"/>
          <w:sz w:val="17"/>
          <w:szCs w:val="17"/>
          <w:color w:val="auto"/>
        </w:rPr>
        <w:t>As of December 31, 2024, we had 70 full-time employees, including 54 employees engaged in research and development. None of our employees are represented by labor unions or covered by collective bargaining agreements. We consider our relationship with our employees to be good.</w:t>
      </w:r>
    </w:p>
    <w:p>
      <w:pPr>
        <w:spacing w:after="0" w:line="3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incentive plans are to</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attract, retain and motivate selected employees, consultants and directors through the granting of stock-based compensation awards and cash-based performance bonus awards.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were founded in February 2018 as a Delaware corporation. Our principal executive offices are located at One Corporate Dr., 2nd Floor, South San Francisco, California 94080, and our telephone number is (800) 466-6059.</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website address is www.aligos.com.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described below, as well as the other information in this Annual Report on Form 10-K, including our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need for additional capital</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p>
    <w:p>
      <w:pPr>
        <w:spacing w:after="0" w:line="6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Since inception, we have incurred significant net losses. Our net losses were $131.2 million for the year ended December 31, 2024 and $87.7 million for the year ended December 31, 2023. As of December 31, 2024, we had a total stockholders’ deficit of $29.0 million. We have funded our operations to date primarily with proceeds from the sale of common stock, preferred stock and convertible notes.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 for a full fiscal year.</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w:t>
      </w:r>
    </w:p>
    <w:p>
      <w:pPr>
        <w:spacing w:after="0" w:line="72"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and nonclinical development of drug candidates and programs and identifying and developing new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marketing approvals for any drug candidates that we develop;</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drug candidates for which we obtain marketing approval by establishing a sales force, marketing, medical affairs and distribution infrastructure or, alternatively, collaborating with a commercialization partner;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adequate coverage and reimbursement by third-party payors for drug candidates that we develop;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drug candidates that we develop as viable treatment options;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and market developments;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enforcing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infringement or other intellectual property-related claims,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approximately $92.1 million and $105.0 million in gross proceeds, respectively, before deducting placement agent fees and other offering expenses. As of December 31, 2024, we had cash, cash equivalents and investments of $56.9 million.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4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 including milestone payments to our licensors;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ind w:left="1020" w:right="8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and warrants.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October 2023, we completed a private placement of common stock, warrants and pre-funded warrants.</w:t>
      </w:r>
    </w:p>
    <w:p>
      <w:pPr>
        <w:spacing w:after="0" w:line="7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cash equivalents and investments will enable us to fund our operations for at least 12 months following the date of this report. However, our operating plan may change as a result of many factors currently unknown to us, and we may need to seek additional funds sooner than planned. Moreover, it is particularly difficult to estimate with certainty our future expenses given the dynamic nature of our business, and the macro-economic environment generally.</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w:t>
      </w:r>
    </w:p>
    <w:p>
      <w:pPr>
        <w:spacing w:after="0" w:line="72" w:lineRule="exact"/>
        <w:rPr>
          <w:sz w:val="20"/>
          <w:szCs w:val="20"/>
          <w:color w:val="auto"/>
        </w:rPr>
      </w:pPr>
    </w:p>
    <w:p>
      <w:pPr>
        <w:ind w:left="1020" w:right="2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nonclinical studies, clinical trials or other research and development activities or eliminate one or more of our development programs altogether; or</w:t>
      </w:r>
    </w:p>
    <w:p>
      <w:pPr>
        <w:spacing w:after="0" w:line="53" w:lineRule="exact"/>
        <w:rPr>
          <w:rFonts w:ascii="Times New Roman" w:cs="Times New Roman" w:eastAsia="Times New Roman" w:hAnsi="Times New Roman"/>
          <w:sz w:val="18"/>
          <w:szCs w:val="18"/>
          <w:color w:val="auto"/>
        </w:rPr>
      </w:pPr>
    </w:p>
    <w:p>
      <w:pPr>
        <w:jc w:val="both"/>
        <w:ind w:left="1020" w:right="3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spacing w:after="0" w:line="176"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5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54" w:lineRule="exact"/>
        <w:rPr>
          <w:sz w:val="20"/>
          <w:szCs w:val="20"/>
          <w:color w:val="auto"/>
        </w:rPr>
      </w:pPr>
    </w:p>
    <w:p>
      <w:pPr>
        <w:ind w:left="1020" w:right="2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and commercialization activities,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status of enrollment for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 in the United States and internationally;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ind w:left="1020" w:right="5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as well as building out our supply chain, which may vary depending on the quantity produced, and the terms of any agreements we enter into with third-party suppliers;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due under any current or future collaboration or license agreement, including our existing license agreements with Emory University (Emory) and KU Leuven;</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any future approved products, and potential future drugs that compete with our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to establish a sales, marketing, medical affairs and distribution infrastructure to commercialize any products for which we may obtain marketing approval and intend to commercialize on our own or jointly with current or future collaborators;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in any lawsuits related to our drug candidates or commenced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future approved products, which may vary significantly over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accounting principles or our accounting policies; and</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nonclinical studies and clinical trials for our drug candidates or competing drug candidates, or any other change in the competitive landscape of our industry, including consolidation among our competitors or collaboration partners.</w:t>
      </w:r>
    </w:p>
    <w:p>
      <w:pPr>
        <w:spacing w:after="0" w:line="54"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w:t>
      </w:r>
    </w:p>
    <w:p>
      <w:pPr>
        <w:spacing w:after="0" w:line="1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adversely affected by the effects of health pandemics or epidemics and in particular in regions where we or third parties on which we rely have significant manufacturing facilities, concentrations of clinical trial sites or other business operations, including the San Francisco Bay Area where our headquarters are located.</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ordinary course. These and similar, and perhaps more severe, disruptions in our operations could negatively impact our business, operating results and financial condition in the future.</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spacing w:after="0" w:line="7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our current clinical trial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spacing w:after="0" w:line="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process</w:t>
      </w:r>
    </w:p>
    <w:p>
      <w:pPr>
        <w:spacing w:after="0" w:line="22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p>
    <w:p>
      <w:pPr>
        <w:spacing w:after="0" w:line="67"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Our clinical development efforts across our drug candidates are in an early stage. We have initiated clinical trials for our most advanced drug candidates in many countries (e.g., New Zealand, Hong Kong, the United Kingdom). Our other programs are in the discovery or nonclinical development stage. We have invested substantially all of our efforts and financial resources in the identification of targets and nonclinical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For example, our chronic HBV infection portfolio previously included our STOPS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drug candidate, ALG-010133, one of our proprietary s-antigen transport-inhibiting oligonucleotide polymers that was in a Phase 1b dose range finding trial (NCT04485663) evaluating subjects with CHB as well as our proprietary antisense oligonucleotide, ALG-020572, that was in a Phase 1a/1b umbrella study (NCT05001022) and for which dosing in chronic HBV infection patients were initiated as part of the multiple ascending dose portion of such study. However, in January 2022, we announced we halted further development of ALG-010133 based on data from such trial indicating insufficient antiviral activity to warrant further development of such drug candidate. And, in March 2022, we announced our discontinuation of further development of ALG-020572 due to an unanticipated serious adverse event involving significant increase in alanine aminotransferase (ALT) in one subject and several additional subjects experiencing ALT flares.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8" w:name="page39"/>
    <w:bookmarkEnd w:id="38"/>
    <w:p>
      <w:pPr>
        <w:spacing w:after="0" w:line="8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spacing w:after="0" w:line="5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evaluating drug candidates in clinical trials in many countries (e.g., New Zealand, Hong Kong, the United Kingdom). 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w:t>
      </w:r>
    </w:p>
    <w:p>
      <w:pPr>
        <w:spacing w:after="0" w:line="7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our current and future drug candidates depends on many factors, which may include the following:</w:t>
      </w:r>
    </w:p>
    <w:p>
      <w:pPr>
        <w:spacing w:after="0" w:line="117" w:lineRule="exact"/>
        <w:rPr>
          <w:sz w:val="20"/>
          <w:szCs w:val="20"/>
          <w:color w:val="auto"/>
        </w:rPr>
      </w:pPr>
    </w:p>
    <w:p>
      <w:pPr>
        <w:ind w:left="1020" w:right="2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nonclinical studies and clinical trials, and our ability to raise any additional required capital on acceptable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successfully utilize our drug discovery platforms;</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successful completion of our nonclinical studies and clinical trials,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20" w:right="90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investigational new drug applications (INDs), clinical trial applications (CTAs) and/or similar applications in other jurisdictions for our planned and future clinical trials;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a comparable foreign regulatory agency to conduct additional clinical trials or other studies beyond those planned to support approval of our drug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drug candidates in the intended populations;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agreements with third-party manufacturers for clinical supply for our clinical trials and commercial manufacturing, if our drug candidates are approved;</w:t>
      </w:r>
    </w:p>
    <w:p>
      <w:pPr>
        <w:spacing w:after="0" w:line="53" w:lineRule="exact"/>
        <w:rPr>
          <w:rFonts w:ascii="Times New Roman" w:cs="Times New Roman" w:eastAsia="Times New Roman" w:hAnsi="Times New Roman"/>
          <w:sz w:val="18"/>
          <w:szCs w:val="18"/>
          <w:color w:val="auto"/>
        </w:rPr>
      </w:pPr>
    </w:p>
    <w:p>
      <w:pPr>
        <w:ind w:left="1020" w:right="120" w:hanging="503"/>
        <w:spacing w:after="0" w:line="312" w:lineRule="auto"/>
        <w:tabs>
          <w:tab w:leader="none" w:pos="1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any third parties with whom we contract, to remain in good standing with regulatory agencies and develop, validate and maintain commercially viable manufacturing processes that are compliant with current good manufacturing practices (cGMPs);</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drug candidates in select indications or geographies;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our portfolio of intellectual property rights, including patents, trade secrets and know-how;</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our intellectual property rights and having and successfully executing an intellectual property life cycle management strategy that supports long-term product development and commercialization goals;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exclusivity for our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drug candidates, if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drug candidate’s benefits and uses, if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drug candidates following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117"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New Zealand, Hong Kong, the United Kingdom). The rest of our programs are in nonclinical research or earlier stages of development, including our other chronic hepatitis B (CHB) drug candidates and our coronavirus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INDs, CTAs or similar applications will result in the FDA or other regulatory authorities allowing additional clinical trials to begin.</w:t>
      </w:r>
    </w:p>
    <w:p>
      <w:pPr>
        <w:spacing w:after="0" w:line="117" w:lineRule="exact"/>
        <w:rPr>
          <w:sz w:val="20"/>
          <w:szCs w:val="20"/>
          <w:color w:val="auto"/>
        </w:rPr>
      </w:pPr>
    </w:p>
    <w:p>
      <w:pPr>
        <w:jc w:val="both"/>
        <w:ind w:right="120" w:firstLine="509"/>
        <w:spacing w:after="0" w:line="258" w:lineRule="auto"/>
        <w:rPr>
          <w:sz w:val="20"/>
          <w:szCs w:val="20"/>
          <w:color w:val="auto"/>
        </w:rPr>
      </w:pPr>
      <w:r>
        <w:rPr>
          <w:rFonts w:ascii="Times New Roman" w:cs="Times New Roman" w:eastAsia="Times New Roman" w:hAnsi="Times New Roman"/>
          <w:sz w:val="18"/>
          <w:szCs w:val="18"/>
          <w:color w:val="auto"/>
        </w:rPr>
        <w:t>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w:t>
      </w:r>
    </w:p>
    <w:p>
      <w:pPr>
        <w:spacing w:after="0" w:line="75" w:lineRule="exact"/>
        <w:rPr>
          <w:sz w:val="20"/>
          <w:szCs w:val="20"/>
          <w:color w:val="auto"/>
        </w:rPr>
      </w:pPr>
    </w:p>
    <w:p>
      <w:pPr>
        <w:ind w:left="1020" w:right="4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failure by us or third parties to comply with regulatory requirements, including the requirements of good laboratory practice (GLP);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nonclinical or other in vivo or in vitro data to support the initiation of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sufficient quantities of our drug candidates for use in nonclinical studies and clinical trials from third-party suppliers on a timely basis; and</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due to other global-scale potentially catastrophic events, including other public health pandemics or epidemics, terrorism, war, and climate changes.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w:t>
      </w:r>
    </w:p>
    <w:p>
      <w:pPr>
        <w:spacing w:after="0" w:line="17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drug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drug candidate is safe or effective for its proposed indication;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the EMA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clinical trials or nonclinical studies;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1" w:name="page42"/>
    <w:bookmarkEnd w:id="41"/>
    <w:p>
      <w:pPr>
        <w:spacing w:after="0" w:line="86" w:lineRule="exact"/>
        <w:rPr>
          <w:sz w:val="20"/>
          <w:szCs w:val="20"/>
          <w:color w:val="auto"/>
        </w:rPr>
      </w:pPr>
    </w:p>
    <w:p>
      <w:pPr>
        <w:ind w:left="1020" w:right="1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to the FDA or other submission or to obtain regulatory approval in the United States, the European Union (EU) or elsewhere;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the EMA or comparable foreign regulatory authorities may significantly change in a manner rendering our clinical data insufficient for approval.</w:t>
      </w:r>
    </w:p>
    <w:p>
      <w:pPr>
        <w:spacing w:after="0" w:line="5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w:t>
      </w:r>
    </w:p>
    <w:p>
      <w:pPr>
        <w:spacing w:after="0" w:line="7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w:t>
      </w:r>
    </w:p>
    <w:p>
      <w:pPr>
        <w:spacing w:after="0" w:line="172" w:lineRule="exact"/>
        <w:rPr>
          <w:sz w:val="20"/>
          <w:szCs w:val="20"/>
          <w:color w:val="auto"/>
        </w:rPr>
      </w:pPr>
    </w:p>
    <w:p>
      <w:pPr>
        <w:ind w:right="18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p>
    <w:p>
      <w:pPr>
        <w:spacing w:after="0" w:line="49"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010133. This decision was based on emerging data from the Phase 1 Study ALG-010133-101, that indicated that at the projected efficacious dose (400 mg, estimated to achieve liver exposures &gt;3 x EC</w:t>
      </w:r>
      <w:r>
        <w:rPr>
          <w:rFonts w:ascii="Times New Roman" w:cs="Times New Roman" w:eastAsia="Times New Roman" w:hAnsi="Times New Roman"/>
          <w:sz w:val="24"/>
          <w:szCs w:val="24"/>
          <w:color w:val="auto"/>
          <w:vertAlign w:val="subscript"/>
        </w:rPr>
        <w:t>90</w:t>
      </w:r>
      <w:r>
        <w:rPr>
          <w:rFonts w:ascii="Times New Roman" w:cs="Times New Roman" w:eastAsia="Times New Roman" w:hAnsi="Times New Roman"/>
          <w:sz w:val="18"/>
          <w:szCs w:val="18"/>
          <w:color w:val="auto"/>
        </w:rPr>
        <w:t xml:space="preserve"> for HBsAg inhibition) there was no meaningful HBsAg reduction. Furthermore, higher doses levels (maximum feasible dose is 600 mg) that were planned to be evaluated in a subsequent cohort were very unlikely to reach the 1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HBsAg reduction level that we had previously defined as necessary to advance the program. As another example, in March 2022, we discontinued further development of our ASO drug candidate for CHB,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020572, due to an unanticipated serious adverse event involving significant increase in ALT in one CHB subject and several other subjects experiencing ALT flares in the same study. Finally, for our siRNA drug candidate targeting HBsAg production,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 Because further clinical evaluation of ALG-125755 is not prioritized with current funding, any further advancement of ALG-125755 will require additional external funding which we may not be able to obtain.</w:t>
      </w:r>
    </w:p>
    <w:p>
      <w:pPr>
        <w:spacing w:after="0" w:line="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experience delays in completing our clinical trials and initiating or completing additional clinical trials. We may also experience numerous unforeseen events prior to, during, or as a result of our nonclinical studies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2" w:name="page43"/>
    <w:bookmarkEnd w:id="4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clinical trials that could delay or prevent our ability to receive marketing approval or commercialize the drug candidates we develop, including:</w:t>
      </w:r>
    </w:p>
    <w:p>
      <w:pPr>
        <w:spacing w:after="0" w:line="117" w:lineRule="exact"/>
        <w:rPr>
          <w:sz w:val="20"/>
          <w:szCs w:val="20"/>
          <w:color w:val="auto"/>
        </w:rPr>
      </w:pPr>
    </w:p>
    <w:p>
      <w:pPr>
        <w:ind w:left="1020" w:right="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Institutional Review Boards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(CROs);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may be larger than we anticipate;</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enroll a sufficient number of suitable patients, or enrollment in these clinical trials may be slower than we anticipate or participants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materials for drug candidates we develop or other materials necessary to conduct clinical trials may be insufficient or inadequate;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disruptions by man-made or natural disasters or public health pandemics or epidemics or other business interruptions.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Further, we are currently conducting clinical trials in many countries (e.g., New Zealand, Hong Kong, the United Kingdom).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spacing w:after="0" w:line="7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outbreak, and, should they experience disruptions such as temporary closures or suspension of services, we would likely experience delays in advancing these trials.</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U.S. House of Representatives has passed the BIOSECURE Act and the Senate has advanced a substantially similar bill,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w:t>
      </w:r>
    </w:p>
    <w:p>
      <w:pPr>
        <w:spacing w:after="0" w:line="7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There is also uncertainty as to how measures being implemented by the new administration will impact the operations of various agencies.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CHB is at an early stage and we may be unable to produce a therapy that successfully treats CHB. Even if successful, we may be unable to obtain regulatory approval for and successfully commercialize our drug candidates.</w:t>
      </w:r>
    </w:p>
    <w:p>
      <w:pPr>
        <w:spacing w:after="0" w:line="10" w:lineRule="exact"/>
        <w:rPr>
          <w:sz w:val="20"/>
          <w:szCs w:val="20"/>
          <w:color w:val="auto"/>
        </w:rPr>
      </w:pPr>
    </w:p>
    <w:p>
      <w:pPr>
        <w:ind w:firstLine="509"/>
        <w:spacing w:after="0" w:line="226" w:lineRule="exact"/>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CHB,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 CAM-E that is currently in a multipart Phase 1 trial. If we cannot successfully develop, obtain regulatory approval for and commercialize our drug candidates for the treatment of CHB, our business may be harmed. The mechanism of action of our CHB drug candidates is complex, and we do not know the degree to which it will translate into a therapeutic benefit, if any, in CHB or any other indication, and we do not know the degree to which the complex mechanism of action may contribute to long-term safety issues or adverse events when our drug candidates are taken for prolonged periods, as is inherent in the treatment of CHB.</w:t>
      </w:r>
    </w:p>
    <w:p>
      <w:pPr>
        <w:spacing w:after="0" w:line="9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CHB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CHB, our drug candidates will likely compete with products that have already been approved or may in the future be approved for the treatment of CHB prior to our drug candidates and/or that have greater efficacy than our drug candidates, either alone or in combination.</w:t>
      </w:r>
    </w:p>
    <w:p>
      <w:pPr>
        <w:spacing w:after="0" w:line="172"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pursuit of potential treatments for MASH is at an early stage and we may be unable to produce a therapy that successfully treats MASH. Even if successful, we may be unable to obtain regulatory approval for and successfully commercialize our drug candidates.</w:t>
      </w:r>
    </w:p>
    <w:p>
      <w:pPr>
        <w:spacing w:after="0" w:line="51" w:lineRule="exact"/>
        <w:rPr>
          <w:sz w:val="20"/>
          <w:szCs w:val="20"/>
          <w:color w:val="auto"/>
        </w:rPr>
      </w:pPr>
    </w:p>
    <w:p>
      <w:pPr>
        <w:ind w:right="140" w:firstLine="509"/>
        <w:spacing w:after="0" w:line="219" w:lineRule="exact"/>
        <w:rPr>
          <w:sz w:val="20"/>
          <w:szCs w:val="20"/>
          <w:color w:val="auto"/>
        </w:rPr>
      </w:pPr>
      <w:r>
        <w:rPr>
          <w:rFonts w:ascii="Times New Roman" w:cs="Times New Roman" w:eastAsia="Times New Roman" w:hAnsi="Times New Roman"/>
          <w:sz w:val="18"/>
          <w:szCs w:val="18"/>
          <w:color w:val="auto"/>
        </w:rPr>
        <w:t>We have invested a significant portion of our time and financial resources in the pursuit of a treatment for MASH, including ALG-055009, our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ß agonist which is currently in a Phase 2a trial. If we cannot successfully develop, obtain regulatory approval for and commercialize our drug candidates for the treatment of MASH, our business may be harmed. The mechanism of action of our MASH drug candidates is complex, and we do not know the degree to which it will translate into a therapeutic benefit, if any, in MASH or any other indication, and we do not know the degree to which the complex mechanism of action may contribute to long-term safety issues or adverse events when our drug candidates are taken for prolonged periods, as is inherent in the treatment of MASH.</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standards implemented by clinical or regulatory agencies may change at any time and we cannot be certain what efficacy endpoints the FDA or foreign clinical or regulatory agencies may require at the time we plan to conduct clinical trials with respect to MASH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w:t>
      </w:r>
    </w:p>
    <w:p>
      <w:pPr>
        <w:spacing w:after="0" w:line="7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If we are successful and any of our drug candidates are approved for the treatment of MASH, our drug candidates will likely compete with products that have already been approved or may in the future be approved for the treatment of MASH prior to our drug candidates and/or that have greater efficacy than our drug candidates, either alone or in combination. Behavioral modifications, such as diet and exercise, can also decrease or eliminate the demand for our potential MASH treatments.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pursuit of potential therapies for COVID-19 is at an early stage.</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outbreak of COVID-19, the disease caused by the virus SARS-CoV-2, we are pursuing various potential therapies to address the disease, including our drug candidate ALG-097558, an oral protease inhibitor which is currently in a Phase 1 trial. Our development of this potential therapy is at an early stage, and we may be unable to produce in a timely manner a therapy that successfully treats the virus or that has broad clinical applicability, if at all.</w:t>
      </w:r>
    </w:p>
    <w:p>
      <w:pPr>
        <w:spacing w:after="0" w:line="72"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For example, in June 2020, we entered into a Research, Licensing and Commercialization Agreement with KU Leuven under which we were collaborating with KU Leuven’s Rega Institute for Medical Research, as well as its CD3, to research, develop, manufacture and commercialize potential protease inhibitors for the treatment of coronaviruses, including SARS-CoV-2. In July 2023, we amended our license agreement with KU Leuven (as amended, KU Leuven Agreement) to further our collaboration. While ALG-097558 has been selected as our drug candidate to move forward into development, the KU Leuven Agreement may ultimately not result in a therapy that successfully treats SARS-CoV-2. Further, if the KU Leuven Agreement does result in such a therapy, the therapy may not be developed and commercialized in a timely manner, or at all.</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are also committing significant personnel to the development of ALG-097558 for COVID-19, which may cause delays in or otherwise negatively impact our other development programs, despite uncertainties surrounding the longevity and extent of COVID-19 as a global health concern. COVID-19 may be substantially eradicated prior to our development of a successful therapy or a vaccine may be developed that is highly efficacious and widely adopted, reducing or eliminating the need for therapies to treat the disease. For instance, the Pfizer/BioNTech BNT162b2, the adenovirus type 26 (Ad26) vaccine by Janssen Pharmaceutical Companies of Johnson &amp; Johnson, Moderna mRNA-1273 and Novavax NVX-CoV2373 COVID-19 vaccines have been approved and/or authorized for emergency use and are in the process of being widely being administered in various countries throughout the world which could adversely impact the need for our potential COVID-19 therapies. Further, while we hope to develop potential therapies that are effective against other or future coronaviruses, in addition to SARS-CoV-2, we cannot be certain this will be the case. If our potential therapies are not effective against other or future coronaviruses, the value and/or sales potential of our therapies will be reduced or eliminated. Our business could be negatively impacted by our allocation of significant resources to a global health threat that is unpredictable and could rapidly dissipate or against which our potential therapies, if developed, may not be partially or fully effective, and may ultimately prove unsuccessful or unprofitable. Furthermore, there are no assurances that our therapy will be approved for inclusion in government stockpile programs, which may be material to the commercial success of any approved coronavirus-related drug candidate, either in the United States or abroad.</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will also need to enter into manufacturing arrangements in the future in order to create a supply chain for our COVID-19 drug candidates that can adequately support demand. Even if we are successful in developing and manufacturing an effective treatment for COVID-19, the SARS-CoV-2 virus could develop resistance to our treatment, which could affect any long-term demand or sales potential for our potential therapies.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another party may be successful in producing a more efficacious therapy for COVID-19 or a therapy with a more convenient or preferred route of administration or in producing a therapy in a more timely manner, which may lead to the diversion of funding away from us and toward other companies or lead to decreased demand for our potential therapies. For instance, on May 25, 2023, Pfizer, Inc. received an approval from the FDA for Paxlovid, an orally administered SARS-CoV-2 protease inhibitor co-administered with ritonavir. Similarly, Merck (together with Ridgeback Bio), is developing the drug molnupiravir, an oral antiviral drug which has been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issued an emergency use authorization by the FDA on December 23, 2021. Several drugs are likely being used off-label for treatment, such as dexamethasone. Several approved drugs are being studied for their utility in reducing the severity of SARS-CoV-2 infections, including Soliris by Alexion Pharmaceuticals Inc., Atea Pharmaceuticals, Inc., Jakafi by Incyte Corporation, and Kevzara by Sanofi S.A./Regeneron Pharmaceuticals, Inc. There are significant efforts by other companies globally to develop both therapeutic and prophylactic drug candidates. These other entities may be more successful at developing, manufacturing or commercializing a therapy for COVID-19, especially given that several of these other organizations are much larger than we are and have access to larger pools of capital, including U.S. government funding, and broader manufacturing infrastructure. The success or failure of other entities, or perceived success or failure, may adversely impact our ability to obtain any future funding for our development and manufacturing efforts or to ultimately commercialize a therapy for COVID-19, if approved.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nonclinical studies and early-stage clinical trials may not be predictive of future results.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results of nonclinical studies may not be predictive of the results of clinical trials, and the results of any early-stage clinical 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may differ materially from the final data.</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w:t>
      </w:r>
    </w:p>
    <w:p>
      <w:pPr>
        <w:spacing w:after="0" w:line="6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6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 for participation in our clinical trials and, where appropriate, biopsies for future patient enrichment efforts;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not remain in the trial through the completion of evaluation;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by man-made or natural disasters, or public health pandemics or epidemics or other business interruptions.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drug candidates that are in the same therapeutic areas as our current and potential future drug candidates. This competition will reduce the number and types of patients available to us, 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clinical trials, which could prevent completion of these trials and adversely affect our ability to advance the development of our drug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drug candidate manufacturing or formulation may result in additional costs or delay.</w:t>
      </w:r>
    </w:p>
    <w:p>
      <w:pPr>
        <w:spacing w:after="0" w:line="121"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risks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w:t>
      </w:r>
    </w:p>
    <w:p>
      <w:pPr>
        <w:spacing w:after="0" w:line="6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7" w:name="page48"/>
    <w:bookmarkEnd w:id="47"/>
    <w:p>
      <w:pPr>
        <w:spacing w:after="0" w:line="190"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6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planned clinical trials could reveal unacceptably severe and prevalent side effects or unexpected characteristics.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w:t>
      </w:r>
    </w:p>
    <w:p>
      <w:pPr>
        <w:spacing w:after="0" w:line="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any of our drug candidates receives marketing approval and we or others later identify undesirable side effects caused by such products, a number of potentially significant negative consequences could occur, including:</w:t>
      </w:r>
    </w:p>
    <w:p>
      <w:pPr>
        <w:spacing w:after="0" w:line="54"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create a Medication Guide outlining the risks of such side effects for distribution to patients;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nonclinical studies and clinical trials, the marketing approval process is expensive, time-consuming and uncertain and may prevent us or any of our future collaboration partners from obtaining approvals for the commercialization of our current drug candidates and any other drug candidate we develop.</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and expect to rely on third-party CROs or regulatory consultants to assist us in this process.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8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new administration will impact the operations of various agencies. For example, the potential loss of personnel at various agencies could lead to disruptions and delays in review of our product candidates.</w:t>
      </w:r>
    </w:p>
    <w:p>
      <w:pPr>
        <w:spacing w:after="0" w:line="7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w:t>
      </w:r>
    </w:p>
    <w:p>
      <w:pPr>
        <w:spacing w:after="0" w:line="5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drug candidate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nucleos(t)ide analogs including tenofovir and entecavir. If the drug candidates we develop do not achieve an adequate level of acceptance, we may not generate significant product revenues and we may not become profitable for a full fiscal year. The degree of market acceptance of any drug candidate, if approved for commercial sale, will depend on a number of factors, including:</w:t>
      </w:r>
    </w:p>
    <w:p>
      <w:pPr>
        <w:spacing w:after="0" w:line="75"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9" w:name="page50"/>
    <w:bookmarkEnd w:id="49"/>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a companion diagnostic and/or complementary diagnostic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events in our therapeutic areas of focus, including hepatological indications and viral diseases, could damage public perception of our current or future drug candidates and negatively affect our business.</w:t>
      </w:r>
    </w:p>
    <w:p>
      <w:pPr>
        <w:spacing w:after="0" w:line="5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w:t>
      </w:r>
    </w:p>
    <w:p>
      <w:pPr>
        <w:spacing w:after="0" w:line="7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w:t>
      </w:r>
    </w:p>
    <w:p>
      <w:pPr>
        <w:spacing w:after="0" w:line="17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developments and negative public opinion of technologies on which we rely may damage public perception of our drug candidates or adversely affect our ability to conduct our business or obtain regulatory approvals for our drug candidates.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w:t>
      </w:r>
    </w:p>
    <w:p>
      <w:pPr>
        <w:spacing w:after="0" w:line="7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6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Medication Guide, physician communication plans or additional elements to ensure safe use, such as restricted distribution methods, patient registries and other risk-minimization tools. In addition, if the FDA 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product recalls;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untitled and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we filed or suspension or revocation of license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and maintain approval for our drug candidates from the FDA, we may never obtain approval outside the United States, which would limit our market opportunities.</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w:t>
      </w:r>
    </w:p>
    <w:p>
      <w:pPr>
        <w:spacing w:after="0" w:line="8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clinical trials conducted in one country may not be accepted by regulatory authorities in other countries. For example, we have or are currently conducting initial clinical trials for ALG-000184, ALG-055009 and ALG-097558 in many countries (e.g., New Zealand, Hong Kong, the United Kingdom), and plan to conduct additional clinical trials in several other countries and territories within the Asia Pacific and/or Europe and our conduct of the trials must satisfy specific requirements in order for the FDA to accept the data in support of an IND or NDA in the United States. Further, any regulatory approval for our drug candidates may be withdrawn. If we fail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spacing w:after="0" w:line="15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our international operations, including seeking and obtaining approval to commercialize our drug candidates in foreign jurisdictions, could harm our business.</w:t>
      </w:r>
    </w:p>
    <w:p>
      <w:pPr>
        <w:spacing w:after="0" w:line="5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engage in international operations with offices in the United States, Belgium and China and intend to seek approval to market our drug candidates outside of the United States. We may also do so for future drug candidates. We expect that we are or will be subject to additional risks related to these international business markets and relationships, including:</w:t>
      </w:r>
    </w:p>
    <w:p>
      <w:pPr>
        <w:spacing w:after="0" w:line="68" w:lineRule="exact"/>
        <w:rPr>
          <w:sz w:val="20"/>
          <w:szCs w:val="20"/>
          <w:color w:val="auto"/>
        </w:rPr>
      </w:pPr>
    </w:p>
    <w:p>
      <w:pPr>
        <w:ind w:left="1020" w:right="6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approval of drug candidates in foreign countries, including challenging processes for marketing biopharmaceutical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and enforcement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or different data privacy and information security laws, regulations and policies;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right="9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 compliance with tax, employment, immigration and labor laws for employees living or traveling abroad;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impact of public health pandemics or epidemics (including, for example, the COVID-19 pandemic).</w:t>
      </w:r>
    </w:p>
    <w:p>
      <w:pPr>
        <w:spacing w:after="0" w:line="117"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complex regulatory, tax, labor and other legal requirements imposed by many of the individual countries in which we may operate, with which we will need to comply.</w:t>
      </w:r>
    </w:p>
    <w:p>
      <w:pPr>
        <w:spacing w:after="0" w:line="15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could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Relatedly, in response to the COVID-19 pandemic, the FDA postponed most inspections of domestic and foreign manufacturing facilities at various points. Even though the FDA has since resumed standard inspection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any resurgence of the virus or emergence of new variants may lead to further inspectional or administrative delays.</w:t>
      </w:r>
    </w:p>
    <w:p>
      <w:pPr>
        <w:spacing w:after="0" w:line="117" w:lineRule="exact"/>
        <w:rPr>
          <w:sz w:val="20"/>
          <w:szCs w:val="20"/>
          <w:color w:val="auto"/>
        </w:rPr>
      </w:pPr>
    </w:p>
    <w:p>
      <w:pPr>
        <w:jc w:val="both"/>
        <w:ind w:right="720" w:firstLine="509"/>
        <w:spacing w:after="0" w:line="266" w:lineRule="auto"/>
        <w:rPr>
          <w:sz w:val="20"/>
          <w:szCs w:val="20"/>
          <w:color w:val="auto"/>
        </w:rPr>
      </w:pPr>
      <w:r>
        <w:rPr>
          <w:rFonts w:ascii="Times New Roman" w:cs="Times New Roman" w:eastAsia="Times New Roman" w:hAnsi="Times New Roman"/>
          <w:sz w:val="18"/>
          <w:szCs w:val="18"/>
          <w:color w:val="auto"/>
        </w:rPr>
        <w:t>If a prolonged government shutdown occurs, or if global health concerns continue to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w:t>
      </w:r>
    </w:p>
    <w:p>
      <w:pPr>
        <w:spacing w:after="0" w:line="17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believe or any approval we obtain is based on a narrower definition of the patient population, our business may suffer.</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HBV, COVID-19 or other viral diseases as a result of their genetic makeup. In addition, the route of administration for our potential therapies could be inconvenient and/or not commercially viable, which could also limit the potential market for our therapies.</w:t>
      </w:r>
    </w:p>
    <w:p>
      <w:pPr>
        <w:spacing w:after="0" w:line="19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drug candidates are smaller than we estimate, it could have an adverse effect on our business, financial condition, results of operations and prospects.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For example, we believe MASH to be one of the most prevalent chronic liver diseases worldwide, however, our projections of the number of people who have MASH, as well as the subset of people with the disease who have the potential to benefit from treatment with our drug candidates, are based on our beliefs and estimates. The effort to identify patients with MASH is in early stages, and we cannot accurately predict the number of patients for whom treatment might be possible. MASH is often undiagnosed and may be left undiagnosed for a long time, partly because a definitive diagnosis of MASH is currently based on a histological assessment of a liver biopsy, which impairs the ability to easily identify patients. If improved diagnostic techniques for identifying MASH patients who will benefit from treatment are not developed, our market opportunity may be smaller than we currently anticipate. Further, if government authorities and third-party payors choose to limit coverage and reimbursement of our MASH drug candidate, such as limiting the number of patients’ treatment that would be covered and reimbursable, this could result in a smaller market opportunity for our MASH drug candidate than we anticipate.</w:t>
      </w:r>
    </w:p>
    <w:p>
      <w:pPr>
        <w:spacing w:after="0" w:line="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addition, the number of people who have HBV, as well as the subset of people with the disease who have the potential to benefit from treatment with our drug candidates, may be reduced due to factors including the genotype or variant of HBV, more widespread use of vaccines or alternative therapies, political roadblocks to approval and/or treatment in certain countries and the virus’s development of resistance to our potential treatments after long-term and persistent exposure to antiviral therapy.</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our current drug candidates, and expect to develop other future drug candidates, in combination with other therapies, which exposes us to additional risks.</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candidate or that safety, efficacy, manufacturing or supply issues could arise with these other therapies. Combination therapies are commonly used for the treatment of viral diseases and it is generally believed they will be required for MASH, and we would be subject to similar risks if we develop any of our drug candidates for use in combination with other drugs. This could result in our own products, if approved, being removed from the market or suffering commercially. In addition, we may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of our drug candidate, we may be unable to obtain approval of or market any of our combination treatments.</w:t>
      </w:r>
    </w:p>
    <w:p>
      <w:pPr>
        <w:spacing w:after="0" w:line="17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the drug candidates we develop, our commercial opportunities will be negatively impacted.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7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Current FDA-approved treatments for chronic HBV infection include peg-IFNα, marketed by Roche Holding AG (Roche), and oral antiviral agents such as nucleoside analogs, marketed by Gilead Sciences, Inc. (Gilead) and Bristol-Myers Squibb Company. These treatments do not lead to either a functional or a complete cure in the vast majority of patients, and in the case of nucleoside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CHB. Companies with oligonucleotide agents in clinical development include Arbutus Biopharma Corporation, Ionis Pharmaceuticals, Inc. (together with GlaxoSmithKline plc (GSK)), Arrowhead Pharmaceuticals, Inc. (together with Janssen Pharmaceuticals, Inc. (Janssen)), and Vir Biotechnology, Inc. (together with Alnylam Pharmaceuticals, Inc.). Several companies are developing CAM-Es, including Assembly Biosciences Inc. and Enanta Pharmaceuticals. Several companies, including GSK and Janssen, are developing therapeutic vaccines for HBV, and several others have approved HBV vaccines, including Dynavax Technologies, Inc., GSK, Johnson &amp; Johnson, and Merck. Replicor, Inc. is developing nucleic acid polymers (NAPs) for use in CHB patients.</w:t>
      </w:r>
    </w:p>
    <w:p>
      <w:pPr>
        <w:spacing w:after="0" w:line="86" w:lineRule="exact"/>
        <w:rPr>
          <w:sz w:val="20"/>
          <w:szCs w:val="20"/>
          <w:color w:val="auto"/>
        </w:rPr>
      </w:pPr>
    </w:p>
    <w:p>
      <w:pPr>
        <w:ind w:right="340" w:firstLine="509"/>
        <w:spacing w:after="0" w:line="220" w:lineRule="exact"/>
        <w:rPr>
          <w:sz w:val="20"/>
          <w:szCs w:val="20"/>
          <w:color w:val="auto"/>
        </w:rPr>
      </w:pPr>
      <w:r>
        <w:rPr>
          <w:rFonts w:ascii="Times New Roman" w:cs="Times New Roman" w:eastAsia="Times New Roman" w:hAnsi="Times New Roman"/>
          <w:sz w:val="18"/>
          <w:szCs w:val="18"/>
          <w:color w:val="auto"/>
        </w:rPr>
        <w:t>There is one currently FDA-approved THR-b agonist treatment for MASH by Madrigal Pharmaceuticals, Inc. A number of pharmaceutical companies, including AbbVie, Inc., AstraZeneca PLC/MedImmune LLC, Bristol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Myers Squibb Company, Eli Lilly and Company, Merck, Pfizer, Inc., Novo Nordisk, as well as large and small biotechnology companies such as 89bio, Inc., Akero Therapeutics, Inc., Gilead, Inventiva Pharma SA, MediciNova, Inc., and Viking Therapeutics, Inc. are pursuing the development or marketing of pharmaceuticals that target MASH.</w:t>
      </w:r>
    </w:p>
    <w:p>
      <w:pPr>
        <w:spacing w:after="0" w:line="92" w:lineRule="exact"/>
        <w:rPr>
          <w:sz w:val="20"/>
          <w:szCs w:val="20"/>
          <w:color w:val="auto"/>
        </w:rPr>
      </w:pPr>
    </w:p>
    <w:p>
      <w:pPr>
        <w:ind w:right="340" w:firstLine="509"/>
        <w:spacing w:after="0" w:line="220" w:lineRule="exact"/>
        <w:rPr>
          <w:sz w:val="20"/>
          <w:szCs w:val="20"/>
          <w:color w:val="auto"/>
        </w:rPr>
      </w:pPr>
      <w:r>
        <w:rPr>
          <w:rFonts w:ascii="Times New Roman" w:cs="Times New Roman" w:eastAsia="Times New Roman" w:hAnsi="Times New Roman"/>
          <w:sz w:val="18"/>
          <w:szCs w:val="18"/>
          <w:color w:val="auto"/>
        </w:rPr>
        <w:t>In addition to remdesivir, which is FDA-approved, on December 22, 2021, Pfizer, Inc. received approval from the FDA for Paxlovid, an orally administered SARS-CoV-2 protease inhibitor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administered with ritonavir. Similarly, Merck (together with Ridgeback Bio), is developing the drug molnupiravir, an oral antiviral drug which has been issued an emergency use authorization by the FDA on December 23, 2021. Several drugs are likely being used off-label for treatment, such as dexamethasone. Several approved drugs are being studied for their utility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reducing the severity of SARS-CoV-2 infections, including Soliris by Alexion Pharmaceuticals Inc. and Jakafi by Incyte Corporation. There are significant efforts globally to develop both therapeutic and prophylactic drug candidates including by Enanta Pharmaceuticals and Shionogi. Several companies are focused on antibody treatments, including Regeneron Pharmaceuticals, Inc. and Vir Biotechnology, Inc. (together with GSK, Biogen Inc. and WuXi Biologics Ltd.). The availability of such COVID-19 vaccines and each of Pfizer’s and Merck’s oral COVID-19 drug may reduce or eliminate the need for our potential COVID-19 therapies to treat the disease and therefore negatively impact the commercial opportunity.</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w:t>
      </w:r>
    </w:p>
    <w:p>
      <w:pPr>
        <w:spacing w:after="0" w:line="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w:t>
      </w:r>
    </w:p>
    <w:p>
      <w:pPr>
        <w:spacing w:after="0" w:line="68"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current or future drug candidates obtain regulatory approval, additional competitors could enter the market with generic versions of such products, which may result in a material decline in sales of our competing products.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8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listing in the Orange Book, how any generic competitor would address such patents, whether we would sue on any such patents or the outcome of any such suit.</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w:t>
      </w:r>
    </w:p>
    <w:p>
      <w:pPr>
        <w:spacing w:after="0" w:line="176"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products may become subject to unfavorable pricing regulations or third-party coverage and reimbursement policies, which would harm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w:t>
      </w:r>
    </w:p>
    <w:p>
      <w:pPr>
        <w:spacing w:after="0" w:line="8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payment rates from both government-funded and private payors for any approved drugs that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6" w:name="page57"/>
    <w:bookmarkEnd w:id="56"/>
    <w:p>
      <w:pPr>
        <w:spacing w:after="0" w:line="8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develop could have a material adverse effect on our operating results, our ability to raise capital needed to commercialize drugs and our overall financial condition.</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other drug candidates and may fail to capitalize on programs or drug candidates that may present a greater commercial opportunity or for which there is a greater likelihood of success.</w:t>
      </w:r>
    </w:p>
    <w:p>
      <w:pPr>
        <w:spacing w:after="0" w:line="5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w:t>
      </w:r>
    </w:p>
    <w:p>
      <w:pPr>
        <w:spacing w:after="0" w:line="72"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In addition, we are pursuing other drug candidates for viral diseases.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Phase 1 clinical trials of our drug candidates ALG-000184,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for us to retain sole development and commercialization rights to such drug candidate. Alternatively, we may allocate internal resources to a drug candidate in a therapeutic area in which it would have been more advantageous to enter into a partnering arrangement.</w:t>
      </w:r>
    </w:p>
    <w:p>
      <w:pPr>
        <w:spacing w:after="0" w:line="10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w:t>
      </w:r>
    </w:p>
    <w:p>
      <w:pPr>
        <w:spacing w:after="0" w:line="17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p>
    <w:p>
      <w:pPr>
        <w:spacing w:after="0" w:line="7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79" w:lineRule="exact"/>
        <w:rPr>
          <w:sz w:val="20"/>
          <w:szCs w:val="20"/>
          <w:color w:val="auto"/>
        </w:rPr>
      </w:pPr>
    </w:p>
    <w:p>
      <w:pPr>
        <w:ind w:right="60" w:firstLine="509"/>
        <w:spacing w:after="0" w:line="289" w:lineRule="auto"/>
        <w:rPr>
          <w:sz w:val="20"/>
          <w:szCs w:val="20"/>
          <w:color w:val="auto"/>
        </w:rPr>
      </w:pPr>
      <w:r>
        <w:rPr>
          <w:rFonts w:ascii="Times New Roman" w:cs="Times New Roman" w:eastAsia="Times New Roman" w:hAnsi="Times New Roman"/>
          <w:sz w:val="17"/>
          <w:szCs w:val="17"/>
          <w:color w:val="auto"/>
        </w:rPr>
        <w:t>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8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w:t>
      </w:r>
    </w:p>
    <w:p>
      <w:pPr>
        <w:spacing w:after="0" w:line="7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spacing w:after="0" w:line="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make significant payments under our license agreements with Emory University, KU Leuven, and Luxna Biotech Co., Ltd.</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entered into a License Agreement with Emory in June 2018, a Research, Licensing and Commercialization Agreement with KU Leuven in June 2020 and an amendment in July 2023 and a License Agreement with Luxna in December 2018 and an amendment in April 2020 (as amended, the Luxna Agreement). Under the Emory License Agreement, KU Leuven Agreement and Luxna Agreement, we are subject to significant obligations, including milestone payments, royalty payments, and certain other agreed-to costs. For more information regarding our license agreements, please see the section titled “Business—License agreements and collaborations” of this report. If these payments become due under the terms of the Emory University License Agreement, the KU Leuven Agreement or the Luxna Agreement,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payments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results of operations and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obtain sufficient product liability insurance at an acceptable cost or at all to protect against potential product liability claims could prevent or inhibit the commercialization of products we develop, alone or with collaboration partners.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Affordable Care Act (the ACA) was passed, which substantially changed the way healthcare is financed by both governmental and private insurers, and significantly impacted the U.S. pharmaceutical industry. The ACA, among other things, increased the minimum Medicaid rebates owed by manufacturers under the Medicaid Drug Rebate Program and extended the rebate program to individuals enrolled in Medicaid managed care organizations, and established annual fees and taxes on manufacturers of certain branded prescription drugs.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6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These reductions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further reduced Medicare payments to several types of providers. The American Rescue Plan Act of 2021 was also signed into law, which eliminated the statutory Medicaid drug rebate cap, beginning January 1, 2024. The rebate was previously capped at 100% of a drug's average manufacturer price.</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Most recently, on August 16, 2022, the Inflation Reduction Act of 2022 (the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CMS has published the negotiated prices for the initial ten drugs, which will first be effective in 2026, and has published the list of the subsequent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For that and other reasons, it is currently unclear how the IRA will be effectuated.</w:t>
      </w:r>
    </w:p>
    <w:p>
      <w:pPr>
        <w:spacing w:after="0" w:line="8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additional pricing pressure or reduced demand for any drug candidate we develop or complementary or companion diagnostics.</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p>
    <w:p>
      <w:pPr>
        <w:spacing w:after="0" w:line="6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and abroad.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operations and business grow, we may become subject to or affected by new or additional data protection laws and regulations and face increased scrutiny or attention from regulatory authorities.</w:t>
      </w:r>
    </w:p>
    <w:p>
      <w:pPr>
        <w:spacing w:after="0" w:line="54"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8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currently operate in countries outside of the United States, including Belgium, Australia and China, where laws may in some cases be more stringent than the requirements in the United States. For example, in Europe, the EU General Data Protection Regulation (GDPR) went into effect in May 2018 and imposes strict requirements for the processing of the personal data of individuals within the European Economic Area (EEA) or in the context of our activities within the EEA.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w:t>
      </w:r>
    </w:p>
    <w:p>
      <w:pPr>
        <w:spacing w:after="0" w:line="8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Further, from January 1, 2021, we have to comply with the United Kingdom GDPR (UK GDPR), which, together, with the amended Data Protection Act 2018, retains the GDPR in UK national law (collectively, the UK GDPR), and imposes separate but similar obligations to those under the GDPR and comparable penalties, including fines up to the greater of £17.5 million or 4% of global turnover of the annual global revenues of the noncompliant undertaking.</w:t>
      </w:r>
    </w:p>
    <w:p>
      <w:pPr>
        <w:spacing w:after="0" w:line="7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Among other requirements, the GDPR regulates the transfer of personal data to third countries outside of the EEA, such as the United States, which are not considered by the European Commission to provide an adequate level of personal data protection, and the efficacy and longevity of current transfer mechanisms between the EEA, and the United States remains uncertain. We currently rely on approved data transfer mechanisms such as the EU standard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In particular, we expect the adequacy of the DPF as an approved GDPR transfer mechanism to be challenged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8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8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w:t>
      </w:r>
    </w:p>
    <w:p>
      <w:pPr>
        <w:spacing w:after="0" w:line="18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that our information technology systems, or those used by our CROs or other contractors or consultants, fail or suffer security breaches.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and contractors. Despite the implementation of security measures, our information technology systems and those of our CROs and other contractors and consultants are vulnerable to attack, damage and interruption from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confidentiality, integrity, and/or performance of our software, information technology systems, and data, and could expose us to legal, financial and reputational harm. There can be no assurance that our cybersecurity risk management program and processes,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our policies, controls or procedures, will be fully implemented, complied with or effective in protecting our systems and information.</w:t>
      </w:r>
    </w:p>
    <w:p>
      <w:pPr>
        <w:spacing w:after="0" w:line="117"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8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p>
    <w:p>
      <w:pPr>
        <w:spacing w:after="0" w:line="6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current and future drug candidates may pose the following risks to us:</w:t>
      </w:r>
    </w:p>
    <w:p>
      <w:pPr>
        <w:spacing w:after="0" w:line="117"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(if any) or drug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3" w:name="page64"/>
    <w:bookmarkEnd w:id="63"/>
    <w:p>
      <w:pPr>
        <w:spacing w:after="0" w:line="86" w:lineRule="exact"/>
        <w:rPr>
          <w:sz w:val="20"/>
          <w:szCs w:val="20"/>
          <w:color w:val="auto"/>
        </w:rPr>
      </w:pPr>
    </w:p>
    <w:p>
      <w:pPr>
        <w:ind w:left="1020" w:right="1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manufacturing and distribution rights to one or more products may not commit sufficient resources to or may otherwise not perform satisfactorily in carrying out these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ownership of any intellectual property developed pursuant to our collaborations;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may arise between a collaborator or strategic partner and us that cause the delay or termination of the research, development or commercialization of the drug candidate, or that result in costly litigation or arbitration that diverts management attention and resources; and</w:t>
      </w:r>
    </w:p>
    <w:p>
      <w:pPr>
        <w:spacing w:after="0" w:line="31" w:lineRule="exact"/>
        <w:rPr>
          <w:rFonts w:ascii="Times New Roman" w:cs="Times New Roman" w:eastAsia="Times New Roman" w:hAnsi="Times New Roman"/>
          <w:sz w:val="17"/>
          <w:szCs w:val="17"/>
          <w:color w:val="auto"/>
        </w:rPr>
      </w:pPr>
    </w:p>
    <w:p>
      <w:pPr>
        <w:ind w:left="1020" w:right="18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current or future collaborator of ours were to be involved in a business combination, the continued pursuit and emphasis on our product development or commercialization program under such collaboration could be delayed, diminished or terminated.</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w:t>
      </w:r>
    </w:p>
    <w:p>
      <w:pPr>
        <w:spacing w:after="0" w:line="75"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future drug candidates because they may be deemed to be at too early of a stage of development for collaborative efforts and third parties may not view them as having the requisite potential to demonstrate safety and efficacy.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86"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We may also be restricted under future collaboration agreements from entering into additional agreements on certain terms with potential collaborators.</w:t>
      </w:r>
    </w:p>
    <w:p>
      <w:pPr>
        <w:spacing w:after="0" w:line="5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pharmaceutical companies that have resulted in a reduced number of potential future collaborators.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5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If conflicts arise between our academic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w:t>
      </w:r>
    </w:p>
    <w:p>
      <w:pPr>
        <w:spacing w:after="0" w:line="17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p>
    <w:p>
      <w:pPr>
        <w:spacing w:after="0" w:line="67" w:lineRule="exact"/>
        <w:rPr>
          <w:sz w:val="20"/>
          <w:szCs w:val="20"/>
          <w:color w:val="auto"/>
        </w:rPr>
      </w:pPr>
    </w:p>
    <w:p>
      <w:pPr>
        <w:ind w:right="80" w:firstLine="509"/>
        <w:spacing w:after="0" w:line="219" w:lineRule="exact"/>
        <w:rPr>
          <w:sz w:val="20"/>
          <w:szCs w:val="20"/>
          <w:color w:val="auto"/>
        </w:rPr>
      </w:pPr>
      <w:r>
        <w:rPr>
          <w:rFonts w:ascii="Times New Roman" w:cs="Times New Roman" w:eastAsia="Times New Roman" w:hAnsi="Times New Roman"/>
          <w:sz w:val="18"/>
          <w:szCs w:val="18"/>
          <w:color w:val="auto"/>
        </w:rPr>
        <w:t>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ALG-097558,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w:t>
      </w:r>
    </w:p>
    <w:p>
      <w:pPr>
        <w:spacing w:after="0" w:line="9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8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7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7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financially distressed;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1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w:t>
      </w:r>
    </w:p>
    <w:p>
      <w:pPr>
        <w:spacing w:after="0" w:line="18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p>
    <w:p>
      <w:pPr>
        <w:spacing w:after="0" w:line="6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nonclinical, clinical or commercial supplies of the drug candidates that we are developing or evaluating in our development programs. We have limited personnel with experience in drug manufacturing and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w:t>
      </w:r>
    </w:p>
    <w:p>
      <w:pPr>
        <w:spacing w:after="0" w:line="8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w:t>
      </w:r>
    </w:p>
    <w:p>
      <w:pPr>
        <w:spacing w:after="0" w:line="68"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w:t>
      </w:r>
    </w:p>
    <w:p>
      <w:pPr>
        <w:spacing w:after="0" w:line="7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5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w:t>
      </w:r>
    </w:p>
    <w:p>
      <w:pPr>
        <w:spacing w:after="0" w:line="72"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w:t>
      </w:r>
    </w:p>
    <w:p>
      <w:pPr>
        <w:spacing w:after="0" w:line="7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w:t>
      </w:r>
    </w:p>
    <w:p>
      <w:pPr>
        <w:spacing w:after="0" w:line="5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U.S. House of Representatives has passed the BIOSECURE Act and the Senate has advanced a substantially similar bill, which legislation, if passed and enacted into law, would have the potential to restrict the ability of U.S. biopharmaceutical companies like us to purchase services or products from, or otherwise collaborate with, certain Chinese biotechnology companies “of concern” without losing the ability to contract with, or otherwise receive funding from, the U.S. government. We do business with companies in China and it is possible some of our contractual counterparties could be impacted by this legislation.</w:t>
      </w:r>
    </w:p>
    <w:p>
      <w:pPr>
        <w:spacing w:after="0" w:line="7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If the third parties that we engage to supply any materials or manufacture product for our nonclinical studies and clinical trials should cease to continue to do so for any reason, we likely would experience delays in advancing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w:t>
      </w:r>
    </w:p>
    <w:p>
      <w:pPr>
        <w:spacing w:after="0" w:line="17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will play a primary role in the recommendation and prescription of any drug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sell, market and distribute any products for which we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w:t>
      </w:r>
    </w:p>
    <w:p>
      <w:pPr>
        <w:spacing w:after="0" w:line="81" w:lineRule="exact"/>
        <w:rPr>
          <w:sz w:val="20"/>
          <w:szCs w:val="20"/>
          <w:color w:val="auto"/>
        </w:rPr>
      </w:pPr>
    </w:p>
    <w:p>
      <w:pPr>
        <w:ind w:left="1020" w:right="100" w:hanging="503"/>
        <w:spacing w:after="0" w:line="25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w:t>
      </w:r>
    </w:p>
    <w:p>
      <w:pPr>
        <w:spacing w:after="0" w:line="80" w:lineRule="exact"/>
        <w:rPr>
          <w:rFonts w:ascii="Times New Roman" w:cs="Times New Roman" w:eastAsia="Times New Roman" w:hAnsi="Times New Roman"/>
          <w:sz w:val="18"/>
          <w:szCs w:val="18"/>
          <w:color w:val="auto"/>
        </w:rPr>
      </w:pPr>
    </w:p>
    <w:p>
      <w:pPr>
        <w:ind w:left="1020" w:right="80" w:hanging="503"/>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75" w:lineRule="exact"/>
        <w:rPr>
          <w:rFonts w:ascii="Times New Roman" w:cs="Times New Roman" w:eastAsia="Times New Roman" w:hAnsi="Times New Roman"/>
          <w:sz w:val="18"/>
          <w:szCs w:val="18"/>
          <w:color w:val="auto"/>
        </w:rPr>
      </w:pPr>
    </w:p>
    <w:p>
      <w:pPr>
        <w:ind w:left="1020" w:right="40" w:hanging="503"/>
        <w:spacing w:after="0" w:line="255"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6" w:lineRule="exact"/>
        <w:rPr>
          <w:sz w:val="20"/>
          <w:szCs w:val="20"/>
          <w:color w:val="auto"/>
        </w:rPr>
      </w:pPr>
    </w:p>
    <w:p>
      <w:pPr>
        <w:ind w:left="1020" w:right="160" w:hanging="503"/>
        <w:spacing w:after="0" w:line="274" w:lineRule="auto"/>
        <w:tabs>
          <w:tab w:leader="none" w:pos="10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specialists, certified nurse anesthetists, anesthesiology assistants and certified nurse-midwives) and teaching hospitals, as well as ownership and investment interests held by physicians and their immediate family members;</w:t>
      </w:r>
    </w:p>
    <w:p>
      <w:pPr>
        <w:spacing w:after="0" w:line="64" w:lineRule="exact"/>
        <w:rPr>
          <w:rFonts w:ascii="Times New Roman" w:cs="Times New Roman" w:eastAsia="Times New Roman" w:hAnsi="Times New Roman"/>
          <w:sz w:val="17"/>
          <w:szCs w:val="17"/>
          <w:color w:val="auto"/>
        </w:rPr>
      </w:pPr>
    </w:p>
    <w:p>
      <w:pPr>
        <w:ind w:left="1020" w:right="2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8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p>
    <w:p>
      <w:pPr>
        <w:spacing w:after="0" w:line="6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ours, and our ability to successfully commercialize our drug candidates and other drug candidates that we may pursue may be impaired. While we own some issued or allowed patents with respect to our programs, including our CHB and MASH programs, we do not own or in-license any issued patents with claims that specifically recite our ALG-097558 or ALG-125755 drug candidates.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party’s patents and patent applications have an earlier priority date, and if such challenges are successful, we may be required to obtain one or more licenses from such third parties, or be prohibited from commercializing our drug candidates.</w:t>
      </w:r>
    </w:p>
    <w:p>
      <w:pPr>
        <w:spacing w:after="0" w:line="8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w:t>
      </w:r>
    </w:p>
    <w:p>
      <w:pPr>
        <w:spacing w:after="0" w:line="8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8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8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8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to patent and other intellectual property rights we own or co-own, we have licensed, and may in the future license, patent and other intellectual property rights to and from other parties. In particular, we have in-licensed significant intellectual property rights from Emory and Luxna.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w:t>
      </w:r>
    </w:p>
    <w:p>
      <w:pPr>
        <w:spacing w:after="0" w:line="7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Luxna Agreement, we obtained a license from Luxna under patents relevant to certain aspects of our HBV programs as well as to various potential therapies, which we are pursuing to address SARS-CoV-2. Although we have review and comment rights regarding prosecution of patents that we license under the Luxna Agreement, Luxna retains ultimate decision-making control with respect to the prosecution of these patents. Additionally, under the Emory License Agreement, we obtained a license from Emory University under patents relevant to certain aspects of our small molecule CHB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prosecution of these patents.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7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If we fail to comply with our obligations, including the obligation to make various milestone payments and royalty payments, under any of the agreements under which we license intellectual property rights from third parties, such as the Emory License Agreement or Luxna Agreement, the licensor may have the right to terminate the license. Under some of our in-license agreements, as a sublicensee, we may be obligated to comply with applicable requirements, limitations or obligations of our sublicensors to other third parties. For example, the Luxna Agreement includes rights that Luxna in-licensed from Osaka University (Osaka), which are in turn sublicensed to us. Prior to granting such rights to Luxna, Osaka granted certain rights to third parties and therefore the rights we in-license from Luxna are subject to such third-party rights. Although we understand that these rights granted to such third parties are for uses outside the scope of our business, license agreements are complex, subject to multiple interpretations and disputes may arise regarding scope of such licensed rights. Further, under the Luxna Agreement and other in-licenses under which we sublicense certain rights, we rely on Luxna and our other sublicensors to comply with their obligations under their upstream license agreements, where we may have no relationship with the original licensor of such rights. If our sublicensors fail to comply with their obligations under their upstream license agreements, and the upstream license agreements are consequently terminated, such termination may result in the termination of our sublicenses.</w:t>
      </w:r>
    </w:p>
    <w:p>
      <w:pPr>
        <w:spacing w:after="0" w:line="8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80"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68" w:lineRule="exact"/>
        <w:rPr>
          <w:sz w:val="20"/>
          <w:szCs w:val="20"/>
          <w:color w:val="auto"/>
        </w:rPr>
      </w:pPr>
    </w:p>
    <w:p>
      <w:pPr>
        <w:ind w:left="5540" w:right="3420" w:hanging="5023"/>
        <w:spacing w:after="0" w:line="783" w:lineRule="auto"/>
        <w:tabs>
          <w:tab w:leader="none" w:pos="103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2" w:name="page73"/>
    <w:bookmarkEnd w:id="72"/>
    <w:p>
      <w:pPr>
        <w:spacing w:after="0" w:line="86" w:lineRule="exact"/>
        <w:rPr>
          <w:sz w:val="20"/>
          <w:szCs w:val="20"/>
          <w:color w:val="auto"/>
        </w:rPr>
      </w:pPr>
    </w:p>
    <w:p>
      <w:pPr>
        <w:ind w:left="1020" w:right="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technology and processes of one party infringe intellectual property of the other party that are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sublicense patent and other rights to third parties;</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diligence obligations with respect to the use of the licensed technology in relation to development and commercialization of our drug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transfer or assign the license;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termination.</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w:t>
      </w:r>
    </w:p>
    <w:p>
      <w:pPr>
        <w:spacing w:after="0" w:line="8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at all, our business could be harmed.</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with respect to all fields except for the treatment and prevention of HBV. For more information regarding our license agreements, see the section titled “Business—License agreements and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collaborations” of this report. Any of the foregoing could harm our competitive position, business, financial condition, results of operations and prospects.</w:t>
      </w:r>
    </w:p>
    <w:p>
      <w:pPr>
        <w:spacing w:after="0" w:line="22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drug candidates.</w:t>
      </w:r>
    </w:p>
    <w:p>
      <w:pPr>
        <w:spacing w:after="0" w:line="5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w:t>
      </w:r>
    </w:p>
    <w:p>
      <w:pPr>
        <w:spacing w:after="0" w:line="89" w:lineRule="exact"/>
        <w:rPr>
          <w:sz w:val="20"/>
          <w:szCs w:val="20"/>
          <w:color w:val="auto"/>
        </w:rPr>
      </w:pPr>
    </w:p>
    <w:p>
      <w:pPr>
        <w:ind w:right="40" w:firstLine="509"/>
        <w:spacing w:after="0" w:line="219" w:lineRule="exact"/>
        <w:rPr>
          <w:sz w:val="20"/>
          <w:szCs w:val="20"/>
          <w:color w:val="auto"/>
        </w:rPr>
      </w:pPr>
      <w:r>
        <w:rPr>
          <w:rFonts w:ascii="Times New Roman" w:cs="Times New Roman" w:eastAsia="Times New Roman" w:hAnsi="Times New Roman"/>
          <w:sz w:val="18"/>
          <w:szCs w:val="18"/>
          <w:color w:val="auto"/>
        </w:rPr>
        <w:t>We are aware of certain third-party issued patents and pending patent applications, including those of our competitors, that, if issued with their current claim scope, may be construed to cover our drug candidates, including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and ALG-125755. In the event that any of these patents were asserted against us, we believe that we would have defenses against any such action, including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w:t>
      </w:r>
    </w:p>
    <w:p>
      <w:pPr>
        <w:spacing w:after="0" w:line="9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establish our competitive position on our drug candidates for an adequate amount of time.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4" w:name="page75"/>
    <w:bookmarkEnd w:id="74"/>
    <w:p>
      <w:pPr>
        <w:spacing w:after="0" w:line="86"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w:t>
      </w:r>
    </w:p>
    <w:p>
      <w:pPr>
        <w:spacing w:after="0" w:line="79"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8"/>
          <w:szCs w:val="18"/>
          <w:color w:val="auto"/>
        </w:rPr>
        <w:t>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8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8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inadequate to obtain a significant commercial advantage from the intellectual property that we develop or license, which could adversely affect our business, financial condition, results of operations and prospects.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Moreover, 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w:t>
      </w:r>
    </w:p>
    <w:p>
      <w:pPr>
        <w:spacing w:after="0" w:line="81"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The USPTO has developed new regulations and procedures to govern administration of the Leahy-Smith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w:t>
      </w:r>
    </w:p>
    <w:p>
      <w:pPr>
        <w:spacing w:after="0" w:line="7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86"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19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infringed, misappropriated or otherwise violated their intellectual property rights, or claiming ownership of what we regard as our own intellectual property.</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w:t>
      </w:r>
    </w:p>
    <w:p>
      <w:pPr>
        <w:spacing w:after="0" w:line="7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8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claims, litigation could result in substantial costs, delay development of our drug candidates and be a distraction to management. Any of the foregoing events would harm our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if any,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right="3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issued patent or pending patent application that we license or may own in the future;</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or those that we may own or license in the future will not lead to issued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directed to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51"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we had 70 full-time employees, including 54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2"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drug candidates and any other drug candidate we develop,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our operational, financial and management controls, reporting systems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8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substantially all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w:t>
      </w:r>
    </w:p>
    <w:p>
      <w:pPr>
        <w:spacing w:after="0" w:line="8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w:t>
      </w:r>
    </w:p>
    <w:p>
      <w:pPr>
        <w:spacing w:after="0" w:line="172"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240" w:firstLine="509"/>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corporate headquarters and other facilities are located in the San Francisco Bay Area, which in the past has experienced both severe earthquakes and wildfires. We are also conducting clinical trials in New Zealand, an area also known for earthquakes.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8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prospects. 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consultants and collaborators may engage in misconduct or other improper activities, including non-compliance with regulatory standards and requirements and insider trading.</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fluctuate substantially, which could result in substantial losses for investors.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68" w:lineRule="exact"/>
        <w:rPr>
          <w:sz w:val="20"/>
          <w:szCs w:val="20"/>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and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nonclinical studies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drug candidates or clinical development programs;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86"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overall fluctuations in the financial markets in the United States and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public health pandemics or epidemics;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us and our business.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spacing w:after="0" w:line="6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In the absence of an active trading market common stock, investors may not be able to sell their common stock at a price or at the time that they would like to sell.</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An inactive market may also impair our ability to raise capital by selling shares and may impair our ability to acquire other drug candidates, businesses, or technologies using our shares as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investors are not likely to receive any dividends on common stock owned by them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w:t>
      </w:r>
    </w:p>
    <w:p>
      <w:pPr>
        <w:spacing w:after="0" w:line="17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For as long as we continue to be an emerging growth company, we may take advantage of exemptions from various reporting requirements that are applicable to other public companies that are not emerging growth companies, including the auditor attestation requirements of Section 404 of the Sarbanes-Oxley Act, certain disclosure obligations regarding executive compensation and the requirements of holding nonbinding advisory votes on executive compensation and stockholder approval of any golden parachute payments not previously approved. We could be an emerging growth company for up to five years following the year of our IPO, although circumstances could cause us to lose that status earlier. We will remain an emerging growth company until the earlier of (1) the last day of the fiscal year (a) following the fifth anniversary of the completion of our IPO, i.e., December 31, 2025, (b) in which we have total annual gross revenue of at least $1.235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3" w:name="page84"/>
    <w:bookmarkEnd w:id="83"/>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75" w:lineRule="exact"/>
        <w:rPr>
          <w:sz w:val="20"/>
          <w:szCs w:val="20"/>
          <w:color w:val="auto"/>
        </w:rPr>
      </w:pPr>
    </w:p>
    <w:p>
      <w:pPr>
        <w:ind w:right="20" w:firstLine="509"/>
        <w:spacing w:after="0" w:line="277" w:lineRule="auto"/>
        <w:rPr>
          <w:sz w:val="20"/>
          <w:szCs w:val="20"/>
          <w:color w:val="auto"/>
        </w:rPr>
      </w:pPr>
      <w:r>
        <w:rPr>
          <w:rFonts w:ascii="Times New Roman" w:cs="Times New Roman" w:eastAsia="Times New Roman" w:hAnsi="Times New Roman"/>
          <w:sz w:val="17"/>
          <w:szCs w:val="17"/>
          <w:color w:val="auto"/>
        </w:rPr>
        <w:t>Even after we no longer qualify as an emerging growth company, we may continue to qualify as a smaller reporting company, which would allow us to rely on certain reduced disclosure requirements, such as an exemption from providing selected financial data and executive compensation information. We are also exempt from the requirement to obtain an external audit on the effectiveness of internal control over financial reporting provided in Section 404(b) of the Sarbanes-Oxley Act. These exemptions and reduced disclosures due to our status as a smaller reporting company mean that our auditors do not review our internal controls over financial reporting and may make it harder for investors to analyze our results of operations and financial prospects.</w:t>
      </w:r>
    </w:p>
    <w:p>
      <w:pPr>
        <w:spacing w:after="0" w:line="6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as an emerging growth company and a smaller reporting company.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have significant influence over our company, which will limit an investor’s ability to influence corporate matters and could delay or prevent a change in corporate control.</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their affiliates beneficially own, in the aggregate, approximately 57% of our outstanding common stock (assuming all shares of non-voting common stock are converted into voting common stock in accordance with the terms of our amended and restated certificate of incorporation), and 26%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7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2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the ability to influence corporate matters and may limit the visibility with respect to certain transactions.</w:t>
      </w:r>
    </w:p>
    <w:p>
      <w:pPr>
        <w:spacing w:after="0" w:line="5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common stock, which may limit an investor’s ability to influence corporate matters. As of December 31, 2024, we had 123,693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Securities Exchange Act), and may not be subject to the short-swing profit provisions of Section 16(b) of the Exchange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w:t>
      </w:r>
    </w:p>
    <w:p>
      <w:pPr>
        <w:spacing w:after="0" w:line="54"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2024, approximately 0.7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w:t>
      </w:r>
    </w:p>
    <w:p>
      <w:pPr>
        <w:spacing w:after="0" w:line="7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the holders of approximately 3.9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2023 and determined there was an ownership change that resulted in Section 382 limitations. The ownership change limited our ability to utilize NOLs against future taxable income but will not result in the expiration of any NOLs.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 404 of Sarbanes-Oxley, our management is required to report upon the effectiveness of our internal control over financial reporting for our fiscal year ended December 31, 2024. When we lose our status as an “emerging growth company,” our independent registered public accounting firm will be required to attest to the effectiveness of our internal control over financial reporting. The rules governing the standards that must be met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management to assess our internal control over financial reporting are complex and require significant documentation, testing and possible remediation. To comply with the requirements of being a reporting company under the Exchange Act, we will need to implement additional financial and management controls, reporting systems and procedures and hire additional accounting and finance staff, all of which will entail additional expense.</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54" w:lineRule="exact"/>
        <w:rPr>
          <w:sz w:val="20"/>
          <w:szCs w:val="20"/>
          <w:color w:val="auto"/>
        </w:rPr>
      </w:pPr>
    </w:p>
    <w:p>
      <w:pPr>
        <w:ind w:left="1020" w:right="26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20" w:right="1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amended and restated bylaws without obtaining stockholder approval;</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67"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68"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6" w:name="page87"/>
    <w:bookmarkEnd w:id="86"/>
    <w:p>
      <w:pPr>
        <w:spacing w:after="0" w:line="19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20" w:right="12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20" w:right="200" w:hanging="503"/>
        <w:spacing w:after="0" w:line="312" w:lineRule="auto"/>
        <w:tabs>
          <w:tab w:leader="none" w:pos="10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1020" w:right="38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w:t>
      </w:r>
    </w:p>
    <w:p>
      <w:pPr>
        <w:spacing w:after="0" w:line="53"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and have entered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To date, we have primarily financed our operations through the sale of common stock, preferred stock, convertible notes, revenue from customer and collaboration agreements, and warrants. We will be required to seek additional funding in the future and may to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Attempting to secure additional financing may also divert our management’s attention from our day-to-day activities, which may adversely affect our ability to develop our drug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spacing w:after="0" w:line="8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Further, Russia began a full-scale invasion of Ukraine in February 2022 which is the largest conventional military attack in Europe since World II and has triggered unprecedented sanctions against Russia. While the situation remains highly fluid and the outlook of such war in Ukraine is subject to extraordinary uncertainty, the ongoing war and associated sanctions will likely have a severe impact on the global economy. A severe or prolonged economic downturn, such as the 2008 global financial crisis, and one that could be caused by the war in Ukraine,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economic climate and financial market conditions could adversely impact our business. Furthermore, our stock price may decline due in part to the volatility of the stock market and any general economic downturn.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w:t>
      </w:r>
    </w:p>
    <w:p>
      <w:pPr>
        <w:spacing w:after="0" w:line="75"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violations of which can have serious negative consequences for our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w:t>
      </w:r>
    </w:p>
    <w:p>
      <w:pPr>
        <w:spacing w:after="0" w:line="190"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p>
    <w:p>
      <w:pPr>
        <w:spacing w:after="0" w:line="6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w:t>
      </w:r>
    </w:p>
    <w:p>
      <w:pPr>
        <w:spacing w:after="0" w:line="86"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0" w:name="page91"/>
    <w:bookmarkEnd w:id="90"/>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5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out-licensing or in-licensing of intellectual property, products or technologies.</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Such potential transactions that we may consider in the future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pandemics or epidemics, political instability, terrorist attacks, other acts of violence or war, or other unexpected events could materially and adversely impact us.</w:t>
      </w:r>
    </w:p>
    <w:p>
      <w:pPr>
        <w:spacing w:after="0" w:line="5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w:t>
      </w:r>
    </w:p>
    <w:p>
      <w:pPr>
        <w:spacing w:after="0" w:line="17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or future litigation or administrative proceedings could have a material adverse effect on our business, our financial condition and our results of operations.</w:t>
      </w:r>
    </w:p>
    <w:p>
      <w:pPr>
        <w:spacing w:after="0" w:line="5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w:t>
      </w:r>
    </w:p>
    <w:p>
      <w:pPr>
        <w:spacing w:after="0" w:line="16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is required to devote substantial time to new compliance initiatives and corporate governance practices.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previously incur as a private company.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the IPO. We intend to take advantage of this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8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new regulations and disclosure obligations, which may lead to additional compliance costs and impact the manner in which we operate our business in ways we cannot currently anticipate.</w:t>
      </w:r>
    </w:p>
    <w:p>
      <w:pPr>
        <w:spacing w:after="0" w:line="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tax obligations and effective tax rate, which could materially and adversely affect our results of operations.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p>
    <w:p>
      <w:pPr>
        <w:spacing w:after="0" w:line="67" w:lineRule="exact"/>
        <w:rPr>
          <w:sz w:val="20"/>
          <w:szCs w:val="20"/>
          <w:color w:val="auto"/>
        </w:rPr>
      </w:pPr>
    </w:p>
    <w:p>
      <w:pPr>
        <w:ind w:right="200" w:firstLine="509"/>
        <w:spacing w:after="0" w:line="263"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our common stockholders would experience additional dilution, such dilutive impact may be difficult to compute, and our stock price may decline.</w:t>
      </w:r>
    </w:p>
    <w:p>
      <w:pPr>
        <w:spacing w:after="0" w:line="17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2" w:name="page93"/>
    <w:bookmarkEnd w:id="92"/>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pacing w:after="0" w:line="117"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security team principally responsible for managing (1) our cybersecurity risk assessment processes, (2) our security controls, and (3) our response to cybersecurity incidents;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processes;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suppliers, and vendors based on our assessment of their criticality to our operations and respective risk profile.</w:t>
      </w:r>
    </w:p>
    <w:p>
      <w:pPr>
        <w:spacing w:after="0" w:line="5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For more information , see the section titled “Risk Factor— Risks related to product development and regulatory process—Our business and operations may suffer in the event that our information technology systems, or those used by our CROs or other contractors or consultants, fail or suffer security breaches.”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(Committee) oversight of cybersecurity risks, including oversight of management’s implementation of our cybersecurity risk management program. The Committee receives reports from management on our cybersecurity risks, at a minimum annually and as needed. In addition, management updates the Committee, where it deems appropriate, regarding any cybersecurity incidents it considers to be significant or potentially significant. The Committee reports to the full Board regarding its activities, including those related to cybersecurity.</w:t>
      </w:r>
    </w:p>
    <w:p>
      <w:pPr>
        <w:spacing w:after="0" w:line="75"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management team, lead by our Executive Director, Information Technology, is responsible for assessing and managing our material risks from cybersecurity threats. The team has primary responsibility for our overall cybersecurity risk management program and supervises our retained external cybersecurity consultants. Our Executive Director, Information Technology's experience includes 25 years of experience in managing IT environments including assessing the overall risk management program and material risks, as well as building our cybersecurity framework over the past six years.</w:t>
      </w:r>
    </w:p>
    <w:p>
      <w:pPr>
        <w:spacing w:after="0" w:line="72"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threat intelligence and other information obtained from governmental, public or private sources, including external consultants engaged by us; and alerts and reports produced by security tools deployed in the IT environment.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corporate headquarters are located in South San Francisco, California, where we lease and occupy space in two separate buildings. The total amount of space leased across both buildings equals approximately 51,000 square feet of office and laboratory space. The current term of each of our two South San Francisco leases expires in March 2027 and July 2027, with options to extend the terms through March 2035 and July 2032, respectively.</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also have an office in Leuven, Belgium, where we lease and occupy approximately 8,100 square feet of office and laboratory space. The current term of our Leuven, Belgium lease expires in August 2028.</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While the outcome of any such proceedings cannot be predicted with certainty, we are not currently involved in any legal proceedings that we believe are, individually or in the aggregate, material to our business, results of operations or financial condition. However, regardless of the outcome, litigation can have an adverse impact on our business, financial condition, results of operations and prospects because of associated costs and diversion of management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88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Our common stock was listed on The Nasdaq Global Select Market under the symbol “ALGS” from October 20, 2020 to March 5, 2024 and has been listed on The Nasdaq Capital Market since March 6, 2024. Prior to October 20, 2020, there was no public trading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As of March 6, 2025, there were 33 holders of record of our common stock, which consist of 31 holders of record of our voting common stock and 2 holders of record of our non-voting common stock. The actual number of stockholders is greater than this number of record holders, and includes stockholders who are beneficial owners, but whose shares are held in street name by brokers and other nominees.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common stock. We do not expect to declare or pay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2025 Annual Meeting of Stockholders, which will be filed with the SEC no later than 120 days after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In October 2024, an investor exercised a Pre-Funded Warrant to purchase an aggregate of 263,000 shares of Common stock for an aggregate purchase price of $657.50 and was issued 263,000 shares of Common Stock.</w:t>
      </w:r>
    </w:p>
    <w:p>
      <w:pPr>
        <w:spacing w:after="0" w:line="5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November 2024, an investor exercised a Pre-Funded Warrant to purchase an aggregate of 244,000 shares of Common stock for an aggregate purchase price of $610.00 and was issued 244,000 shares of Common Stock.</w:t>
      </w:r>
    </w:p>
    <w:p>
      <w:pPr>
        <w:spacing w:after="0" w:line="54"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In December 2024, an investor net exercised a Common Warrant to purchase an aggregate of 48,822 shares of Common stock and was issued 22,024 shares of Common Stock.</w:t>
      </w:r>
    </w:p>
    <w:p>
      <w:pPr>
        <w:spacing w:after="0" w:line="50" w:lineRule="exact"/>
        <w:rPr>
          <w:sz w:val="20"/>
          <w:szCs w:val="20"/>
          <w:color w:val="auto"/>
        </w:rPr>
      </w:pPr>
    </w:p>
    <w:p>
      <w:pPr>
        <w:jc w:val="center"/>
        <w:ind w:right="99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578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jc w:val="center"/>
        <w:ind w:right="97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8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“Special Note Regarding Forward-Looking Statements” and “Risk Factors” and elsewhere in this Annual Report on Form 10-K. Our fiscal year ends on December 31 each year.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firstLine="749"/>
        <w:spacing w:after="0" w:line="227" w:lineRule="exact"/>
        <w:rPr>
          <w:sz w:val="20"/>
          <w:szCs w:val="20"/>
          <w:color w:val="auto"/>
        </w:rPr>
      </w:pPr>
      <w:r>
        <w:rPr>
          <w:rFonts w:ascii="Times New Roman" w:cs="Times New Roman" w:eastAsia="Times New Roman" w:hAnsi="Times New Roman"/>
          <w:sz w:val="18"/>
          <w:szCs w:val="18"/>
          <w:color w:val="auto"/>
        </w:rPr>
        <w:t>We are a clinical-stage biotechnology company focused on developing novel therapeutics to address unmet medical needs in liver diseases and viral infections, including in the areas of chronic HBV infection, MASH, and coronavirus infections (e.g.,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MERS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 and other related infections). The Aligos team has a demonstrated track record of success in drug development and medicinal chemistry in liver and viral diseases, resulting in three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drug candidates.</w:t>
      </w:r>
    </w:p>
    <w:p>
      <w:pPr>
        <w:spacing w:after="0" w:line="24" w:lineRule="exact"/>
        <w:rPr>
          <w:sz w:val="20"/>
          <w:szCs w:val="20"/>
          <w:color w:val="auto"/>
        </w:rPr>
      </w:pPr>
    </w:p>
    <w:p>
      <w:pPr>
        <w:ind w:firstLine="749"/>
        <w:spacing w:after="0" w:line="225" w:lineRule="exact"/>
        <w:rPr>
          <w:sz w:val="20"/>
          <w:szCs w:val="20"/>
          <w:color w:val="auto"/>
        </w:rPr>
      </w:pPr>
      <w:r>
        <w:rPr>
          <w:rFonts w:ascii="Times New Roman" w:cs="Times New Roman" w:eastAsia="Times New Roman" w:hAnsi="Times New Roman"/>
          <w:sz w:val="18"/>
          <w:szCs w:val="18"/>
          <w:color w:val="auto"/>
        </w:rPr>
        <w:t>Our pipeline of drug candidates includes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for CHB,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for MASH,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coronavirus infections, and a portfolio of preclinical programs.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Capsid Assembly Modulator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for chronic HBV infection with enhanced pharmacologic properties vs. competitor CAM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 drugs and has demonstrated greater HBV DNA suppression compared to the standard of care, NAs, as well as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reductions in viral antigens in Phase 1 clinical studies conducted to date.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 for MASH with enhanced pharmacologic properties vs. competitor THR-β agonists. Phase 2a topline data demonstrated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met the primary endpoint with statistically significant reductions in liver fat at Week 12 as measured by MRI-PDFF.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is our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small molecule coronavirus 3CL PI which is at least 3-fold more potent in cell-based assays of coronavirus infection than other approved CoV PIs and can be dosed twice daily without the requirement for ritonavir co-dosing based on Phase 1 clinical studies conducted to date.</w:t>
      </w:r>
    </w:p>
    <w:p>
      <w:pPr>
        <w:spacing w:after="0" w:line="9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000184: Potential best</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class small molecule CAM</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E for chronic HBV infection</w:t>
      </w:r>
    </w:p>
    <w:p>
      <w:pPr>
        <w:spacing w:after="0" w:line="158" w:lineRule="exact"/>
        <w:rPr>
          <w:sz w:val="20"/>
          <w:szCs w:val="20"/>
          <w:color w:val="auto"/>
        </w:rPr>
      </w:pPr>
    </w:p>
    <w:p>
      <w:pPr>
        <w:ind w:firstLine="749"/>
        <w:spacing w:after="0" w:line="227" w:lineRule="exact"/>
        <w:rPr>
          <w:sz w:val="20"/>
          <w:szCs w:val="20"/>
          <w:color w:val="auto"/>
        </w:rPr>
      </w:pPr>
      <w:r>
        <w:rPr>
          <w:rFonts w:ascii="Times New Roman" w:cs="Times New Roman" w:eastAsia="Times New Roman" w:hAnsi="Times New Roman"/>
          <w:sz w:val="18"/>
          <w:szCs w:val="18"/>
          <w:color w:val="auto"/>
        </w:rPr>
        <w:t>Our primary area of focus seeks to enhance the viral suppression and rate of functional cure for chronic HBV infection, which often results in life-threatening conditions such as cirrhosis, end-stage liver disease, and the most common form of liver cancer, HCC. To achieve this, we are developing a portfolio of differentiated chronic HBV infection drug candidates, including a small molecule CAM that results in the production of empty viral capsids and small molecule inhibitors of the Programmed Cell Death Ligand 1 (PD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1/PD-L1) interaction.</w:t>
      </w:r>
    </w:p>
    <w:p>
      <w:pPr>
        <w:spacing w:after="0" w:line="65" w:lineRule="exact"/>
        <w:rPr>
          <w:sz w:val="20"/>
          <w:szCs w:val="20"/>
          <w:color w:val="auto"/>
        </w:rPr>
      </w:pPr>
    </w:p>
    <w:p>
      <w:pPr>
        <w:ind w:right="20" w:firstLine="794"/>
        <w:spacing w:after="0" w:line="219" w:lineRule="exact"/>
        <w:rPr>
          <w:sz w:val="20"/>
          <w:szCs w:val="20"/>
          <w:color w:val="auto"/>
        </w:rPr>
      </w:pPr>
      <w:r>
        <w:rPr>
          <w:rFonts w:ascii="Times New Roman" w:cs="Times New Roman" w:eastAsia="Times New Roman" w:hAnsi="Times New Roman"/>
          <w:sz w:val="18"/>
          <w:szCs w:val="18"/>
          <w:color w:val="auto"/>
        </w:rPr>
        <w:t>A multi-part Phase 1 study is ongoing, with the completed evaluation of the safety, tolerability, and pharmacokinetic profile of ALG-000184 in HVs. Additionally, a dose-ranging phase assessing the safety, pharmacokinetics, and antiviral activity of 10-300 mg doses of ALG-000184 administered over 28 days in untreated HBeAg+/- subjects with chronic HBV infection has also been completed. In these study phases,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was found to be well tolerated with a favorable PK profile and demonstrated potentially best-in-class multi-log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HBV DNA and RNA reductions at all doses tested, as well as HBV surface antigen (HBsAg) reductions in a subset of HBeAg+ subjects receiving 300 mg ALG000184 (Hou et. al, AASLD 2022). Based on the favorable profile observed with dosing up to 300 mg of ALG-000184 for 28 days, additional Phase 1 cohorts are currently underway to evaluate the risk-benefit profile of ALG-000184 at doses of 300 mg, with or without entecavir (ETV) therapy, for up to 96 weeks in HBeAg+ and HBeAg- subjects with chronic HBV infection. Preliminary data from several of these cohorts (Agarwal et al., EASL 2024; Yuen et al., AASLD 2024) have been presented, showing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administered for up to 92 weeks, was well tolerated, exhibited a favorable PK profile, and demonstrated potentially best-in-class antiviral activity.</w:t>
      </w:r>
    </w:p>
    <w:p>
      <w:pPr>
        <w:spacing w:after="0" w:line="57" w:lineRule="exact"/>
        <w:rPr>
          <w:sz w:val="20"/>
          <w:szCs w:val="20"/>
          <w:color w:val="auto"/>
        </w:rPr>
      </w:pPr>
    </w:p>
    <w:p>
      <w:pPr>
        <w:ind w:right="60" w:firstLine="509"/>
        <w:spacing w:after="0" w:line="228" w:lineRule="exact"/>
        <w:rPr>
          <w:sz w:val="20"/>
          <w:szCs w:val="20"/>
          <w:color w:val="auto"/>
        </w:rPr>
      </w:pPr>
      <w:r>
        <w:rPr>
          <w:rFonts w:ascii="Times New Roman" w:cs="Times New Roman" w:eastAsia="Times New Roman" w:hAnsi="Times New Roman"/>
          <w:sz w:val="17"/>
          <w:szCs w:val="17"/>
          <w:color w:val="auto"/>
        </w:rPr>
        <w:t>Data from the 300 mg ALG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000184 monotherapy cohort with up to 92 weeks in HBeAg+ and up to 84 weeks in HBeAg- subjects demonstrated sustained HBV DNA suppression (&lt;LLOQ &lt;10 IU/mL) in 7/7 (100%) HBeAg+ subjects with chronic HBV infection at week 84 and sustained HBV DNA suppression in all (11/11) HBeAg- subjects by Week 24. Importantly, no viral breakthrough was observed in any subject, and no known CAM resistant mutations were identified. At week 48, data from the 300 mg ALG-000184 monotherapy cohort demonstrated sustained HBV DNA suppression (&lt;LLOQ &lt;10 IU/mL) in 6/10 (60%) HBeAg+ subjects with chronic HBV infection and sustained HBV DNA suppression in all (11/11) HBeAg- subjects by Week</w:t>
      </w:r>
    </w:p>
    <w:p>
      <w:pPr>
        <w:spacing w:after="0" w:line="3" w:lineRule="exact"/>
        <w:rPr>
          <w:sz w:val="20"/>
          <w:szCs w:val="20"/>
          <w:color w:val="auto"/>
        </w:rPr>
      </w:pPr>
    </w:p>
    <w:p>
      <w:pPr>
        <w:ind w:left="5540" w:right="2160" w:hanging="5532"/>
        <w:spacing w:after="0" w:line="761" w:lineRule="auto"/>
        <w:tabs>
          <w:tab w:leader="none" w:pos="2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91% (10/11) HBeAg- subjects achieved HBV DNA below the lower limit of detection (LLOD &lt;4.29 IU/mL).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6" w:name="page97"/>
    <w:bookmarkEnd w:id="96"/>
    <w:p>
      <w:pPr>
        <w:spacing w:after="0" w:line="86" w:lineRule="exact"/>
        <w:rPr>
          <w:sz w:val="20"/>
          <w:szCs w:val="20"/>
          <w:color w:val="auto"/>
        </w:rPr>
      </w:pPr>
    </w:p>
    <w:p>
      <w:pPr>
        <w:ind w:right="20" w:firstLine="509"/>
        <w:spacing w:after="0" w:line="218" w:lineRule="exact"/>
        <w:rPr>
          <w:sz w:val="20"/>
          <w:szCs w:val="20"/>
          <w:color w:val="auto"/>
        </w:rPr>
      </w:pPr>
      <w:r>
        <w:rPr>
          <w:rFonts w:ascii="Times New Roman" w:cs="Times New Roman" w:eastAsia="Times New Roman" w:hAnsi="Times New Roman"/>
          <w:sz w:val="18"/>
          <w:szCs w:val="18"/>
          <w:color w:val="auto"/>
        </w:rPr>
        <w:t>Compared to Phase 3 studies with the current standard of care NAs, tenofovir disoproxil fumarate (TDF) and tenofovir alafenamide (TAF) (Buti et al., Lancet Gastro, 2016; Chen et al., Lancet Gastro 2016), these Phase 1 data to date indicate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treatment may be superior to NAs in HBeAg+/- subjects in achieving HBV DNA levels &lt; LLOQ (10 IU/mL) after 48 weeks on treatment, which is the approvable endpoint for chronic suppressive therapy in CHB (Food and Drug Administration (FDA) Guidance, Chronic Hepatitis B Virus Infection: Developing Drugs for Treatment Guidance for Industry, April 2022 – Section III.B.1.a). We have received supportive feedback from the FDA regarding chronic suppressive therapy with ALG-000184, along with the Committee for Medicinal Products for Human Use (CHMP; EU) and the National Medical Products Administration (NMPA; China). Subsequent clinical studies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will be conducted to show superiority to standard of care NA treatment (HBV DNA levels &lt; LLOQ ) after 48 weeks of treatment. Furthermore, when combined with other mechanisms of action, such as Amoytop’s mipeginterferon alfa-2b, a well-established immunomodulator, and other candidates in our chronic HBV infection portfolio (as described below), ALG-000184 dosing regimens have the potential to contribute to achieving higher rates of functional cure than with currently approved agents. Dosing of HBeAg+ and HBeAg- subjects with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000184 ± ETV in Phase 1 will continue through 2025 and 96-week safety, PK, and antiviral activity data will be presented at upcoming scientific conferences. In October 2024, Aligos announced that the FDA cleared the Company’s investigational new drug application (IND) for a Phase 1 drug-drug interaction study, and Phase 2 enabling activities are ongoing with the study expected to begin in mid-2025.</w:t>
      </w:r>
    </w:p>
    <w:p>
      <w:pPr>
        <w:spacing w:after="0" w:line="91" w:lineRule="exact"/>
        <w:rPr>
          <w:sz w:val="20"/>
          <w:szCs w:val="20"/>
          <w:color w:val="auto"/>
        </w:rPr>
      </w:pPr>
    </w:p>
    <w:p>
      <w:pPr>
        <w:ind w:right="80" w:firstLine="374"/>
        <w:spacing w:after="0" w:line="219" w:lineRule="exact"/>
        <w:rPr>
          <w:sz w:val="20"/>
          <w:szCs w:val="20"/>
          <w:color w:val="auto"/>
        </w:rPr>
      </w:pPr>
      <w:r>
        <w:rPr>
          <w:rFonts w:ascii="Times New Roman" w:cs="Times New Roman" w:eastAsia="Times New Roman" w:hAnsi="Times New Roman"/>
          <w:sz w:val="18"/>
          <w:szCs w:val="18"/>
          <w:color w:val="auto"/>
        </w:rPr>
        <w:t>We are also exploring additional ways to boost immune responses via small molecule inhibitors of the Programmed Cell Death Ligand 1 (PD-L1) transmembrane protein and its interaction with Programmed Cell Death Protein 1 (PD-1). We have rationally designed these T cell activating drug candidates to partition preferentially to the liver and thereby potentially mitigate systemic toxicity with the goal to develop better tolerated PD-1/PD-L1 inhibitors for CHB patients. Lead molecules developed to date show in vivo efficacy in tumor models similar to approved PD-1/PD-L1 antibodies. Our small molecule lead compounds also demonstrate greater PD-L1 target occupancy at a lower dose in a humanized PD-L1 subcutaneous tumor model compared to competitor small molecule PD-L1 inhibitors. We have recently selected a lead molecule,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093940, and are completing in vivo studies to enable further advancement towards clinical development.</w:t>
      </w:r>
    </w:p>
    <w:p>
      <w:pPr>
        <w:spacing w:after="0" w:line="5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055009: Potential best-in-class small molecule THR-β agonist for MASH</w:t>
      </w:r>
    </w:p>
    <w:p>
      <w:pPr>
        <w:spacing w:after="0" w:line="158" w:lineRule="exact"/>
        <w:rPr>
          <w:sz w:val="20"/>
          <w:szCs w:val="20"/>
          <w:color w:val="auto"/>
        </w:rPr>
      </w:pPr>
    </w:p>
    <w:p>
      <w:pPr>
        <w:ind w:right="200" w:firstLine="374"/>
        <w:spacing w:after="0" w:line="224" w:lineRule="exact"/>
        <w:rPr>
          <w:sz w:val="20"/>
          <w:szCs w:val="20"/>
          <w:color w:val="auto"/>
        </w:rPr>
      </w:pPr>
      <w:r>
        <w:rPr>
          <w:rFonts w:ascii="Times New Roman" w:cs="Times New Roman" w:eastAsia="Times New Roman" w:hAnsi="Times New Roman"/>
          <w:sz w:val="18"/>
          <w:szCs w:val="18"/>
          <w:color w:val="auto"/>
        </w:rPr>
        <w:t>MASH is a complex, chronic liver disease which is a leading cause of liver-related morbidity including cirrhosis, hepatocellular carcinoma, liver transplant, and end-stage liver disease. In 2024, the FDA approved resmetirom, a THR-β agonist, as the first drug for the treatment of MASH. However, additional therapies may address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an improved PK profile. We believe these advantages position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as a strong candidate to become a best-in-class THR-β agonist.</w:t>
      </w:r>
    </w:p>
    <w:p>
      <w:pPr>
        <w:spacing w:after="0" w:line="23" w:lineRule="exact"/>
        <w:rPr>
          <w:sz w:val="20"/>
          <w:szCs w:val="20"/>
          <w:color w:val="auto"/>
        </w:rPr>
      </w:pPr>
    </w:p>
    <w:p>
      <w:pPr>
        <w:ind w:firstLine="374"/>
        <w:spacing w:after="0" w:line="225" w:lineRule="exact"/>
        <w:rPr>
          <w:sz w:val="20"/>
          <w:szCs w:val="20"/>
          <w:color w:val="auto"/>
        </w:rPr>
      </w:pPr>
      <w:r>
        <w:rPr>
          <w:rFonts w:ascii="Times New Roman" w:cs="Times New Roman" w:eastAsia="Times New Roman" w:hAnsi="Times New Roman"/>
          <w:sz w:val="18"/>
          <w:szCs w:val="18"/>
          <w:color w:val="auto"/>
        </w:rPr>
        <w:t>A first-in-human Phase 1 study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in HVs (oral single ascending doses (SAD)) and in subjects with hyperlipidemia (14 oral daily multiple ascending doses (MAD)) has been completed. Clinical data after single doses up to 4 mg and multiple doses up to 1 mg showed that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was well tolerated, had dose proportional PK with low intersubject variability, and demonstrated expected thyromimetic effects (i.e., generally dose proportional increases in sex hormone binding globulin and decreases in various atherogenic lipids and thyroid hormones without any clinical evidence of thyroid dysfunction). In this same study,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w:t>
      </w:r>
    </w:p>
    <w:p>
      <w:pPr>
        <w:spacing w:after="0" w:line="91" w:lineRule="exact"/>
        <w:rPr>
          <w:sz w:val="20"/>
          <w:szCs w:val="20"/>
          <w:color w:val="auto"/>
        </w:rPr>
      </w:pPr>
    </w:p>
    <w:p>
      <w:pPr>
        <w:ind w:firstLine="374"/>
        <w:spacing w:after="0" w:line="219" w:lineRule="exact"/>
        <w:rPr>
          <w:sz w:val="20"/>
          <w:szCs w:val="20"/>
          <w:color w:val="auto"/>
        </w:rPr>
      </w:pPr>
      <w:r>
        <w:rPr>
          <w:rFonts w:ascii="Times New Roman" w:cs="Times New Roman" w:eastAsia="Times New Roman" w:hAnsi="Times New Roman"/>
          <w:sz w:val="18"/>
          <w:szCs w:val="18"/>
          <w:color w:val="auto"/>
        </w:rPr>
        <w:t>Based on these promising Phase 1 data, we initiated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β agonists. We announced positive topline data from this study in 2024, demonstrating that ALG-055009 dose groups were well-tolerated and met the primary endpoint. Specifically, doses of 0.5 mg to 0.9 mg ALG-055009 demonstrated statistically significant reductions in liver fat at Week 12, with placebo-adjusted median</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7" w:name="page98"/>
    <w:bookmarkEnd w:id="97"/>
    <w:p>
      <w:pPr>
        <w:spacing w:after="0" w:line="8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relative reductions up to 46.2% as measured by MRI-PDFF. Up to 70% of subjects achieved ≥30% relative reduction in liver fat compared to baseline. Eighteen subjects who were on stable GLP-1 agonist therapy qualified for enrollment in the study, with liver fat content meeting the inclusion criteria of ≥10% at baseline as measured by MRI-PDFF. Notably, 11 of 14 subjects on stable GLP-1 agonists treated with ALG-055009 had liver fat decreases, whereas 4 of 4 subjects on stable GLP-1 agonists treated with placebo had increases in liver fat over the 12-week dosing period.</w:t>
      </w:r>
    </w:p>
    <w:p>
      <w:pPr>
        <w:spacing w:after="0" w:line="31" w:lineRule="exact"/>
        <w:rPr>
          <w:sz w:val="20"/>
          <w:szCs w:val="20"/>
          <w:color w:val="auto"/>
        </w:rPr>
      </w:pPr>
    </w:p>
    <w:p>
      <w:pPr>
        <w:ind w:right="220" w:firstLine="374"/>
        <w:spacing w:after="0" w:line="226" w:lineRule="exact"/>
        <w:rPr>
          <w:sz w:val="20"/>
          <w:szCs w:val="20"/>
          <w:color w:val="auto"/>
        </w:rPr>
      </w:pPr>
      <w:r>
        <w:rPr>
          <w:rFonts w:ascii="Times New Roman" w:cs="Times New Roman" w:eastAsia="Times New Roman" w:hAnsi="Times New Roman"/>
          <w:sz w:val="18"/>
          <w:szCs w:val="18"/>
          <w:color w:val="auto"/>
        </w:rPr>
        <w:t>In the Phase 2a study,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demonstrated a favorable tolerability profile with no evidence of clinical hyper/hypothyroidism. Incidence of gastrointestinal-related treatment emergent adverse events were similar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Specifically, similar rates of diarrhea were observed in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055009 dose groups compared to placebo, with no dose-response. Significant reductions in atherogenic lipids, including LDL-C, lipoprotein (a), and apolipoprotein B, were also observed. Phase 2b enabling activities are underway, with expected completion in the middle of 2025. We are also assessing potential Phase 2b clinical trial study designs with key opinion leaders. We are evaluating a variety of options to fund continued development, including potential out-licensing.</w:t>
      </w:r>
    </w:p>
    <w:p>
      <w:pPr>
        <w:spacing w:after="0" w:line="9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ALG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097558: Potential best-in-class small molecule ritonavir-free pan-coronavirus protease inhibitor</w:t>
      </w:r>
    </w:p>
    <w:p>
      <w:pPr>
        <w:spacing w:after="0" w:line="158" w:lineRule="exact"/>
        <w:rPr>
          <w:sz w:val="20"/>
          <w:szCs w:val="20"/>
          <w:color w:val="auto"/>
        </w:rPr>
      </w:pPr>
    </w:p>
    <w:p>
      <w:pPr>
        <w:ind w:right="60" w:firstLine="374"/>
        <w:spacing w:after="0" w:line="220" w:lineRule="exact"/>
        <w:rPr>
          <w:sz w:val="20"/>
          <w:szCs w:val="20"/>
          <w:color w:val="auto"/>
        </w:rPr>
      </w:pPr>
      <w:r>
        <w:rPr>
          <w:rFonts w:ascii="Times New Roman" w:cs="Times New Roman" w:eastAsia="Times New Roman" w:hAnsi="Times New Roman"/>
          <w:sz w:val="18"/>
          <w:szCs w:val="18"/>
          <w:color w:val="auto"/>
        </w:rPr>
        <w:t>Another area of focus is to develop drug candidates with pan-coronavirus antiviral activity, including against Severe Acute Respiratory Syndrome coronavirus 2 (SARS-CoV-2), the virus responsible for COVID-19. In this area of focus, we are exploring small molecule coronavirus 3CL protease inhibitors (PIs) in collaboration with the Rega Institute at Katholieke Universiteit Leuven (KU Leuven), the Center for Innovation and Stimulation of Drug Discovery (CISTIM) and the Centre for Drug Design and Discovery (CD3). This collaboration led to the discovery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which has completed Phase 1 first-in-human evaluation in healthy volunteers and advanced into a clinical trial evaluating high-risk COVID-19 patients.</w:t>
      </w:r>
    </w:p>
    <w:p>
      <w:pPr>
        <w:spacing w:after="0" w:line="52" w:lineRule="exact"/>
        <w:rPr>
          <w:sz w:val="20"/>
          <w:szCs w:val="20"/>
          <w:color w:val="auto"/>
        </w:rPr>
      </w:pPr>
    </w:p>
    <w:p>
      <w:pPr>
        <w:ind w:firstLine="374"/>
        <w:spacing w:after="0" w:line="231"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has been shown to be at least 3-fold more potent than nirmatrelvir and other PIs in clinical development against a panel of SARS-CoV-2 variants (including Omicron). It also has demonstrated broad pan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coronavirus activity, including against SARS-CoV-1 and MERS-CoV. In the first-in-human Phase 1 clinical study, single doses up to 2000 mg and multiple doses up to 800 mg Q12H for 7 days were well tolerated with an acceptable PK profile that indicates ritonavir boosting is not required and absence of a clinically relevant DDI with midazolam, suggesting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can be co-administered with CYP3A4 substrates. Based on these Phase 1 data (Wilkes et al, RespiDart, 2024), the projected efficacious dose range to treat SARS-CoV-2 is 200-600 mg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Q12 x 5 days, without the need for ritonavir coadministration.</w:t>
      </w:r>
    </w:p>
    <w:p>
      <w:pPr>
        <w:spacing w:after="0" w:line="22" w:lineRule="exact"/>
        <w:rPr>
          <w:sz w:val="20"/>
          <w:szCs w:val="20"/>
          <w:color w:val="auto"/>
        </w:rPr>
      </w:pPr>
    </w:p>
    <w:p>
      <w:pPr>
        <w:ind w:right="160" w:firstLine="374"/>
        <w:spacing w:after="0" w:line="226" w:lineRule="exact"/>
        <w:rPr>
          <w:sz w:val="20"/>
          <w:szCs w:val="20"/>
          <w:color w:val="auto"/>
        </w:rPr>
      </w:pPr>
      <w:r>
        <w:rPr>
          <w:rFonts w:ascii="Times New Roman" w:cs="Times New Roman" w:eastAsia="Times New Roman" w:hAnsi="Times New Roman"/>
          <w:sz w:val="18"/>
          <w:szCs w:val="18"/>
          <w:color w:val="auto"/>
        </w:rPr>
        <w:t>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began three additional clinical trials in 2024. AGILE University of Liverpool, a UK government supported platform trial (MRC and Wellcome Trust funding), is sponsoring and performing a study in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risk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patients evaluating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as monotherapy or in combination with remdesivir. Additionally, clinical studies evaluating PK in special populations (renal and hepatic impairment subjects; NIAID contract) are on-going. NIAID is also sponsoring a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interaction and relative bioavailability study in healthy volunteers expected to start dosing in the second quarter of 2025. We expect that future development of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including ongoing Phase 2 enabling activities, will be funded by external sources, including public funding sources as described below.</w:t>
      </w:r>
    </w:p>
    <w:p>
      <w:pPr>
        <w:spacing w:after="0" w:line="94" w:lineRule="exact"/>
        <w:rPr>
          <w:sz w:val="20"/>
          <w:szCs w:val="20"/>
          <w:color w:val="auto"/>
        </w:rPr>
      </w:pPr>
    </w:p>
    <w:p>
      <w:pPr>
        <w:jc w:val="both"/>
        <w:ind w:right="20" w:firstLine="374"/>
        <w:spacing w:after="0" w:line="255" w:lineRule="auto"/>
        <w:rPr>
          <w:sz w:val="20"/>
          <w:szCs w:val="20"/>
          <w:color w:val="auto"/>
        </w:rPr>
      </w:pPr>
      <w:r>
        <w:rPr>
          <w:rFonts w:ascii="Times New Roman" w:cs="Times New Roman" w:eastAsia="Times New Roman" w:hAnsi="Times New Roman"/>
          <w:sz w:val="18"/>
          <w:szCs w:val="18"/>
          <w:color w:val="auto"/>
        </w:rPr>
        <w:t>Preclinical activities for our coronavirus program were partially funded through a grant from the National Institutes of Health (NIH) and the National Institute of Allergy and Infectious Diseases (NIAID) Antiviral Drug Discovery (AViDD) Centers for Pathogens of Pandemic Concern program through the Metropolitan AntiViral Drug Accelerator (MAVDA) consortium. Specific clinical and nonclinical studies for the ALG-097558 program and the follow up compound, are now also being funded with federal funds from the NIAID, NIH, Department of Health and Human Services, under Contract No.</w:t>
      </w:r>
    </w:p>
    <w:p>
      <w:pPr>
        <w:spacing w:after="0" w:line="3"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75N93023C00052. We filed an IND in the third quarter of 2024 and clinical studies in special populations were initiated in the second half of 2024 as part of this NIAID contract. We expect to receive approximately $13.8 million in funds across these two NIH awards and contracts to support these activities. We are also seeking additional external funding (e.g., from governmental agencies) to support future studies (e.g., Phase 2) as we advance ALG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097558 for the treatment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and future coronavirus pandemics.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consist of the following:</w:t>
      </w:r>
    </w:p>
    <w:p>
      <w:pPr>
        <w:spacing w:after="0" w:line="115"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Collaboration revenue </w:t>
      </w:r>
      <w:r>
        <w:rPr>
          <w:rFonts w:ascii="Times New Roman" w:cs="Times New Roman" w:eastAsia="Times New Roman" w:hAnsi="Times New Roman"/>
          <w:sz w:val="18"/>
          <w:szCs w:val="18"/>
          <w:color w:val="auto"/>
        </w:rPr>
        <w:t>includes recognition of our upfront payments pursuant to the Merck Original Agreement and First Amendment.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collaboration revenue, we utilize an input method to recognize revenue over time as costs are incurred.</w:t>
      </w:r>
    </w:p>
    <w:p>
      <w:pPr>
        <w:spacing w:after="0" w:line="50"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 revenue </w:t>
      </w:r>
      <w:r>
        <w:rPr>
          <w:rFonts w:ascii="Times New Roman" w:cs="Times New Roman" w:eastAsia="Times New Roman" w:hAnsi="Times New Roman"/>
          <w:sz w:val="18"/>
          <w:szCs w:val="18"/>
          <w:color w:val="auto"/>
        </w:rPr>
        <w:t>includes recognition of revenue generated from research and development services under third-party contracts with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record contract revenue, we utilize an input method to recognize revenue over time as costs are incurred.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costs and general and administrative costs.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rely substantially on third parties to conduct our discovery activities, nonclinical studies, clinical trials and manufacturing. We primarily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w:t>
      </w:r>
    </w:p>
    <w:p>
      <w:pPr>
        <w:spacing w:after="0" w:line="75" w:lineRule="exact"/>
        <w:rPr>
          <w:sz w:val="20"/>
          <w:szCs w:val="20"/>
          <w:color w:val="auto"/>
        </w:rPr>
      </w:pPr>
    </w:p>
    <w:p>
      <w:pPr>
        <w:ind w:left="1020" w:right="4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in-process research and development, including license fees and milestones paid to third-party collaborators for technologies with no alternative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production of clinical materials, including fees paid to contract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collaborators that perform nonclinical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 for rent and maintenance of facilities, insurance, and other supplies.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income, net comprises interest income, and other income, net. Interest income, net primarily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9" w:name="page100"/>
    <w:bookmarkEnd w:id="99"/>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consists of interest earned on our cash, cash equivalents, and investments. Other income, net consists primarily of accretion/amortization of investments and foreign currency exchange gains/losses.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Common Warrants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change in fair value of Common Warrants includes the remeasurement of the Common Warrants using the Black Scholes option pricing model at each reporting period, and the change in fair value is recorded in earnings.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Since our inception in 2018, we have not recorded any U.S. federal or state income tax benefits for the net losses we have incurred in any year or for our earned research and development tax credits, due to our uncertainty of realizing a benefit from those items. As of December 31, 2024, we had federal net operating loss (NOL) carryforwards of $41.8 million available to reduce taxable income and these NOLs can be carried forward indefinitely. We have state NOL carryforwards of $90.7 million as of December 31, 2024, available to reduce future state taxable income, which expire at various dates beginning in 2043. As of December 31, 2024, we also had federal and state research and development tax credit carryforwards of $1.9 million and $1.2 million, respectively. The federal research and development tax credit carryforwards begin to expire in 2043, while the state research and development tax credit carryforwards can be carried forward indefinitely. As of December 31, 2024, the Company had $8.4 million of Australian NOL carryforwards and $0.6 million of Australian research and development tax credit carryforwards available. The Australian NOL carryforwards and research and development tax credits have no expiration date.</w:t>
      </w:r>
    </w:p>
    <w:p>
      <w:pPr>
        <w:spacing w:after="0" w:line="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Under Sections 382 and 383 of the Code, and corresponding provisions of state law, if a corporation undergoes an “ownership change” (generally defined as a greater than 50 percentage point change (by value) in its equity ownership over a rolling three-year period), our ability to use our pre-change NOL carryforwards and other pre-change tax attributes to offset its post-change income may be limited. We performed a Code Section 382 analysis in 2023 and determined there was an ownership change that resulted in Section 382 limitations, the impact of which is reflected in the financial statements. We performed a Code Section 382 analysis in 2024 and determined no further ownership change.</w:t>
      </w:r>
    </w:p>
    <w:p>
      <w:pPr>
        <w:spacing w:after="0" w:line="75" w:lineRule="exact"/>
        <w:rPr>
          <w:sz w:val="20"/>
          <w:szCs w:val="20"/>
          <w:color w:val="auto"/>
        </w:rPr>
      </w:pPr>
    </w:p>
    <w:p>
      <w:pPr>
        <w:ind w:right="140" w:firstLine="554"/>
        <w:spacing w:after="0" w:line="258" w:lineRule="auto"/>
        <w:rPr>
          <w:sz w:val="20"/>
          <w:szCs w:val="20"/>
          <w:color w:val="auto"/>
        </w:rPr>
      </w:pPr>
      <w:r>
        <w:rPr>
          <w:rFonts w:ascii="Times New Roman" w:cs="Times New Roman" w:eastAsia="Times New Roman" w:hAnsi="Times New Roman"/>
          <w:sz w:val="18"/>
          <w:szCs w:val="18"/>
          <w:color w:val="auto"/>
        </w:rPr>
        <w:t>We may experience additional ownership changes as a result of subsequent shifts in our stock ownership, some of which may be outside of our control.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 In addition, under current tax law, federal NOL carryforwards generated in periods after December 31, 2017, may be carried forward indefinitely but, may only be used to offset 80% of our taxable income.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operating expenses for the years ended December 31, 2024 and 2023:</w:t>
      </w:r>
    </w:p>
    <w:p>
      <w:pPr>
        <w:spacing w:after="0" w:line="31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20" w:type="dxa"/>
            <w:vAlign w:val="bottom"/>
          </w:tcPr>
          <w:p>
            <w:pPr>
              <w:spacing w:after="0"/>
              <w:rPr>
                <w:sz w:val="13"/>
                <w:szCs w:val="13"/>
                <w:color w:val="auto"/>
              </w:rPr>
            </w:pPr>
          </w:p>
        </w:tc>
        <w:tc>
          <w:tcPr>
            <w:tcW w:w="148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(9,004 )</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(2,580 )</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(2,771 )</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(7,786 )</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103,656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(10,557 )</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(89,154 )</w:t>
            </w:r>
          </w:p>
        </w:tc>
        <w:tc>
          <w:tcPr>
            <w:tcW w:w="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(88,127 )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(1,027 )</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(2,627 )</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(885 )</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common warrants</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(46,132 )</w:t>
            </w:r>
          </w:p>
        </w:tc>
        <w:tc>
          <w:tcPr>
            <w:tcW w:w="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(2,169 )</w:t>
            </w:r>
          </w:p>
        </w:tc>
        <w:tc>
          <w:tcPr>
            <w:tcW w:w="3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(43,963 )</w:t>
            </w: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2027 %</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(130,880 )</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(86,884 )</w:t>
            </w:r>
          </w:p>
        </w:tc>
        <w:tc>
          <w:tcPr>
            <w:tcW w:w="3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(43,996 )</w:t>
            </w:r>
          </w:p>
        </w:tc>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(331 )</w:t>
            </w:r>
          </w:p>
        </w:tc>
        <w:tc>
          <w:tcPr>
            <w:tcW w:w="4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(795 )</w:t>
            </w: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(131,211 )</w:t>
            </w:r>
          </w:p>
        </w:tc>
        <w:tc>
          <w:tcPr>
            <w:tcW w:w="4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(87,679 )</w:t>
            </w:r>
          </w:p>
        </w:tc>
        <w:tc>
          <w:tcPr>
            <w:tcW w:w="3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(43,532 )</w:t>
            </w:r>
          </w:p>
        </w:tc>
        <w:tc>
          <w:tcPr>
            <w:tcW w:w="3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collaborations</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Revenue from collaborations was $0.3 million for the year ended December 31, 2024, compared to $9.3 million for the year ended December 31, 2023, a decrease of $9.0 million. This is due to the completion of the Original Agreement with Merck in the first quarter of 2023, leaving the Amended collaboration agreement with Merck to continue in the year ended December 2023. The Amended collaboration agreement with Merck ended in May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from customers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was $3.6 million for the year ended December 31, 2024, compared to $6.2 million for the year ended December 31, 2023, a decrease of $2.6 million, primarily due to the agreement with Amoytop, which was signed in 2023. Refer to footnote 12, Revenue from Contracts with Customers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track direct external research and development expenses on a program-specific basis (CHB, coronaviruses, MASH and early-stage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these research and development costs,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7200" w:type="dxa"/>
            <w:vAlign w:val="bottom"/>
          </w:tcPr>
          <w:p>
            <w:pPr>
              <w:spacing w:after="0"/>
              <w:rPr>
                <w:sz w:val="15"/>
                <w:szCs w:val="15"/>
                <w:color w:val="auto"/>
              </w:rPr>
            </w:pPr>
          </w:p>
        </w:tc>
        <w:tc>
          <w:tcPr>
            <w:tcW w:w="23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Direct research and development expenses by development program:</w:t>
            </w: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Chronic Hepatitis B program</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Metabolic dysfunction-associated steatohepatitis program</w:t>
            </w: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19,171</w:t>
            </w:r>
          </w:p>
        </w:tc>
        <w:tc>
          <w:tcPr>
            <w:tcW w:w="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7,899</w:t>
            </w:r>
          </w:p>
        </w:tc>
        <w:tc>
          <w:tcPr>
            <w:tcW w:w="1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Coronaviruses program</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early-stage programs</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34,810</w:t>
            </w: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40,162</w:t>
            </w: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0" w:type="dxa"/>
            <w:vAlign w:val="bottom"/>
            <w:vMerge w:val="restart"/>
          </w:tcPr>
          <w:p>
            <w:pPr>
              <w:ind w:left="5020"/>
              <w:spacing w:after="0"/>
              <w:rPr>
                <w:sz w:val="20"/>
                <w:szCs w:val="20"/>
                <w:color w:val="auto"/>
              </w:rPr>
            </w:pPr>
            <w:r>
              <w:rPr>
                <w:rFonts w:ascii="Times New Roman" w:cs="Times New Roman" w:eastAsia="Times New Roman" w:hAnsi="Times New Roman"/>
                <w:sz w:val="18"/>
                <w:szCs w:val="18"/>
                <w:color w:val="auto"/>
              </w:rPr>
              <w:t>95</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2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7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-1499235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-1499235</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-1216660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-1216660</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8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$70.3 million for the year ended December 31, 2024, compared to $73.0 million for the year ended December 31, 2023, a decrease of $2.8 million. This is primarily due to a decrease of $4.2 million in employee-related costs, of which $1.8 million related to stock-based compensation. There was also a decrease of $0.3 million in depreciation and a decrease of $0.7 million in facility expenses. Offsetting this was an increase of $2.4 million in third-party expenses mainly related to increases in our ongoing CAM and MASH clinical study activities and related expenditures.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$22.8 million for the year ended December 31, 2024, compared to $30.6 million for the year ended December 31, 2023, a decrease of $7.8 million. This is due to a decrease of $4.2 million of third-party expenses primarily due to reduced legal and IP spend, a decrease of $3.0 million of employee-related costs, of which $2.0 million related to stock-based compensation, and a decrease of $1.3 million in facility and depreciation expenses. This was partially offset by an increase of $0.7 million in travel and recruiting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was $1.7 million for the year ended December 31, 2024 compared to $4.3 million for the year ended December 31, 2023, a decrease of approximately $2.6 million, primarily due to an decrease in market interest rates and a lower average investment balance.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an income of $2.7 million for the year ended December 31, 2024 compared to expense of $0.9 million for the year ended December 31, 2023, a difference of $3.6 million. The difference was due to an increase in the accretion of short-term investments.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Warrants</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change in fair value of Common Warrants was an expense of $46.1 million for the year ended December 31, 2024 compared to an expense of $2.2 million for the year ended December 31, 2023, an increase of $44.0 million. The increase was due to a change in the fair value of the Common Warrants measured using the Black Scholes option pricing model remeasured at each reporting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in each year since our formation in February 2018. Our net losses were $131.2 million and $87.7 million for the years ended December 31, 2024 and 2023, respectively. We have had no revenue from product sales. We have not yet commercialized any products and we do not expect to generate revenue from sales of any drug candidates for at least several years, if ever.</w:t>
      </w:r>
    </w:p>
    <w:p>
      <w:pPr>
        <w:spacing w:after="0" w:line="6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operations have been financed primarily by net proceeds from the sale and issuance of our convertible preferred stock, net proceeds from our IPO, and the issuance of convertible debt.</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2023, we completed a PIPE offering and entered into a securities purchase agreement (the "2023 Securities Purchase Agreement") pursuant to which we issued 1,257,168 shares of our common stock, par value $0.001 per share, pre-funded warrants to purchase an aggregate of 3,242,018 shares of our common stock (the “2023 Pre-Funded Warrants”), and common warrants to purchase an aggregate of 2,249,680 shares of our common stock (the “2023 Common Warrants,” and together with the 2023 Pre-Funded Warrants, the "2023 Warrants"). Each 2023 Warrant is exercisable for one share of common stock. The Company received gross proceeds of $92.1 million, and after deducting the placement agent fees and expenses and offering costs, net proceeds were $86.2 million.</w:t>
      </w:r>
    </w:p>
    <w:p>
      <w:pPr>
        <w:spacing w:after="0" w:line="7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cash, cash equivalents and investments of $56.9 million. As of December 31, 2024, we had an accumulated deficit of $618.0 million.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We have no internal manufacturing capabilities or sales force and outsource a substantial portion of our clinical trial work to third parties.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86"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In February 2025, we entered into a securities purchase agreement (the Securities Purchase Agreement) with certain investors names therein (the Purchasers) pursuant to which we issued (i) 2,103,307 shares of Common Stock,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Pre-Funded Warrants) to purchase up to an aggregate of 1,922,511 shares of voting Common Stock, and (iii) accompanying common warrants (the Common Warrants and, together with the Pre-Funded Warrants, the Warrants) to purchase up to an aggregate of 2,012,909 shares of voting Common Stock. Each Warrant is exercisable for one share of common stock (the 2025 Private Placement). We received gross proceeds of approximately $105.0 million. In connection to the 2025 Private Placement, we also entered into a registration rights agreement with the Purchasers, pursuant to which we agreed to register for resale the shares of common stock sold to the Purchasers, as well as the shares of common stock underlying the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following demand by the Lead Investor to register the resale of shares of Common Stock and any Common Stock issued or issuable upon the exercise or conversion of non-voting Common Stock and any of our other securities held by the Lead Investor.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primary use of cash is to fund operating expenses, which consist primarily of research and development costs related to our drug candidates and our discovery programs, and to a lesser extent, general and administrative expenditures. We expect our expenses to increase substantially in connection with our ongoing clinical development activities related to our CHB drug candidate ALG-000184, which we have initiated clinical trials, as well as our research and development of our other drug candidates within our MASH and coronavirus programs.</w:t>
      </w:r>
    </w:p>
    <w:p>
      <w:pPr>
        <w:spacing w:after="0" w:line="1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addition, we continue to incur additional costs associated with operating as a public company following our IPO in October 2020. We expect that our expenses will increase substantially to the extent we:</w:t>
      </w:r>
    </w:p>
    <w:p>
      <w:pPr>
        <w:spacing w:after="0" w:line="54"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current and future clinical trials, and additional nonclinical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nonclinical and clinical development of other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drug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for any of our drug candidates that successfully complete clinical trials,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manufacture of larger quantities of our drug candidates for clinical development and potentially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expand, protect and enforce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milestones triggering payments by us under our current and potential future licensing and/or collaboration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out or expand existing facilities to support our ongoing development activity; and</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drug development, any future commercialization efforts and any additional requirement of being a public company.</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will enable us to fund our planned operating expenses and capital expenditure requirements through at least the twelve months from the date of issuing our financial statements. We have based this estimate on assumptions that may prove to be wrong, and we could exhaust our available capital resources sooner than we expect. Furthermore, we may elect to raise additional capital on an opportunistic basis to fund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3" w:name="page104"/>
    <w:bookmarkEnd w:id="103"/>
    <w:p>
      <w:pPr>
        <w:spacing w:after="0" w:line="8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w:t>
      </w:r>
    </w:p>
    <w:p>
      <w:pPr>
        <w:spacing w:after="0" w:line="72" w:lineRule="exact"/>
        <w:rPr>
          <w:sz w:val="20"/>
          <w:szCs w:val="20"/>
          <w:color w:val="auto"/>
        </w:rPr>
      </w:pPr>
    </w:p>
    <w:p>
      <w:pPr>
        <w:ind w:left="1020" w:right="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drug candidates and programs, and of conducting nonclinical studies and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drug candidates we develop if clinical trials are successful;</w:t>
      </w:r>
    </w:p>
    <w:p>
      <w:pPr>
        <w:spacing w:after="0" w:line="117" w:lineRule="exact"/>
        <w:rPr>
          <w:rFonts w:ascii="Times New Roman" w:cs="Times New Roman" w:eastAsia="Times New Roman" w:hAnsi="Times New Roman"/>
          <w:sz w:val="18"/>
          <w:szCs w:val="18"/>
          <w:color w:val="auto"/>
        </w:rPr>
      </w:pPr>
    </w:p>
    <w:p>
      <w:pPr>
        <w:jc w:val="both"/>
        <w:ind w:left="1020" w:right="380" w:hanging="503"/>
        <w:spacing w:after="0" w:line="266"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w:t>
      </w:r>
    </w:p>
    <w:p>
      <w:pPr>
        <w:spacing w:after="0" w:line="67" w:lineRule="exact"/>
        <w:rPr>
          <w:rFonts w:ascii="Times New Roman" w:cs="Times New Roman" w:eastAsia="Times New Roman" w:hAnsi="Times New Roman"/>
          <w:sz w:val="18"/>
          <w:szCs w:val="18"/>
          <w:color w:val="auto"/>
        </w:rPr>
      </w:pPr>
    </w:p>
    <w:p>
      <w:pPr>
        <w:ind w:left="1020" w:right="12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and future drug candidates for clinical trials in preparation for marketing approval and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licenses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profit share or royalties on, our future products,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therapies for hepatological indications and viral diseases and other adverse market developments;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in-licensing of other programs or technologies.</w:t>
      </w:r>
    </w:p>
    <w:p>
      <w:pPr>
        <w:spacing w:after="0" w:line="11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product revenues, if any, will be derived from sales of drugs that we do not expect to be commercially available for many years, if ever. Accordingly, we will need to obtain substantial additional funds to achieve our business objectives.</w:t>
      </w:r>
    </w:p>
    <w:p>
      <w:pPr>
        <w:spacing w:after="0" w:line="7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w:t>
      </w:r>
    </w:p>
    <w:p>
      <w:pPr>
        <w:spacing w:after="0" w:line="7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4" w:name="page105"/>
    <w:bookmarkEnd w:id="10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367"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8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-12065</wp:posOffset>
            </wp:positionV>
            <wp:extent cx="85725" cy="136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136525"/>
                    </a:xfrm>
                    <a:prstGeom prst="rect">
                      <a:avLst/>
                    </a:prstGeom>
                    <a:noFill/>
                  </pic:spPr>
                </pic:pic>
              </a:graphicData>
            </a:graphic>
          </wp:anchor>
        </w:drawing>
        <w:drawing>
          <wp:anchor simplePos="0" relativeHeight="251657728" behindDoc="1" locked="0" layoutInCell="0" allowOverlap="1">
            <wp:simplePos x="0" y="0"/>
            <wp:positionH relativeFrom="column">
              <wp:posOffset>6884670</wp:posOffset>
            </wp:positionH>
            <wp:positionV relativeFrom="paragraph">
              <wp:posOffset>-12065</wp:posOffset>
            </wp:positionV>
            <wp:extent cx="85725" cy="1365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13652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142"/>
        </w:trPr>
        <w:tc>
          <w:tcPr>
            <w:tcW w:w="73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900" w:type="dxa"/>
            <w:vAlign w:val="bottom"/>
            <w:shd w:val="clear" w:color="auto" w:fill="CFF0FC"/>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96"/>
              </w:rPr>
              <w:t>(80,743 )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(78,997 )</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cash and cash equivalents (used in) provided by investing activities</w:t>
            </w:r>
          </w:p>
        </w:tc>
        <w:tc>
          <w:tcPr>
            <w:tcW w:w="9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(18,279 )</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44,981</w:t>
            </w:r>
          </w:p>
        </w:tc>
        <w:tc>
          <w:tcPr>
            <w:tcW w:w="10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90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(98,667 )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54,312</w:t>
            </w:r>
          </w:p>
        </w:tc>
        <w:tc>
          <w:tcPr>
            <w:tcW w:w="10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-170815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-170815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During Fiscal 2024, operating activities used $80.7 million of cash, primarily resulting from our net loss of $131.2 million and cash used as a result of changes in our operating assets and liabilities of $5.0 million, partially offset by non-cash charges of $55.4 million. Net cash used as a result of changes in our operating assets and liabilities of $5.0 million consisted of a decrease of $2.7 million in operating lease liabilities, a decrease of $1.2 million in deferred revenue, and an increase in other current assets of $0.2 million, partially offset by an increase in accrued liabilities of $1.4 million, and an increase of $0.1 million in accounts payable.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During Fiscal 2023, operating activities used $79.0 million of cash, primarily resulting from our net loss of $87.7 million and cash used as a result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our operating assets and liabilities of $9.5 million, partially offset by non-cash charges of $18.2 million. Net cash used as a result of changes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assets and liabilities of $9.5 million consisted of an increase in accrued liabilities of $0.9 million, and a decrease in other current assets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million, offset by a decrease of $2.4 million in operating lease liabilities, a decrease of $2.2 million in accounts payable, and a decrease of $8.1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deferred revenue.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During Fiscal 2024, investing activities used $18.3 million of cash, consisting primarily of investment purchases of $108.1 million partially offset by investment maturities of $90.0 million.</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Fiscal 2023, investing activities provided $45.0 million of cash, consisting primarily of investment maturities.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During Fiscal 2024, net cash provided by financing activities was $0.4 million, primarily from share purchases through our employee stock purchase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9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Fiscal 2023, net cash provided by financing activities was $88.3 million, consisting primarily of $87.9 million from the issuance of common stock, common warrants and pre-funded warrants in the PIPE, the issuance of shares through our employee stock purchase plan, partially offset by payments of our finance leases.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Our principal commitments consist of obligations under our operating leases for office space in South San Francisco, California, and Belgium, and finance lease commitments representing obligations related to vehicle leases for employees and a lease for lab equipment. All of our finance leases are for assets in Belgium. We do not have any material purchase commitments for contracts with fixed or minimum service requirements. We also enter into contracts in the normal course of business with various vendors that generally provide for contract termination following a certain notice period. The Company enters into contracts in the normal course of business that includes arrangements with clinical research organizations, vendors for preclinical research and vendors for manufacturing. These agreements generally allow for cancellation with notice. As of December 31, 2024, the Company had no material non-cancellable purchase commitments.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7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consolidated financial statements included elsewhere in this Annual Report on Form 10-K, we believe that the following critical accounting policies are most important to understanding and evaluating our reported financial results and future performance, as these policies relate to the more significant areas involving management’s judgments and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the conduct of clinical trials and nonclinical studies. We record the estimated costs of research and development activities based upon the estimated amount of services provided but not yet invoiced and include these costs in accrued liabilities in the Consolidated Balance Sheets and within research and development expense in the Consolidated Statements of Operations and Comprehensive Loss. These expenses are a significant component of our research and development costs. We record accrued expenses for these costs based on factors such as estimates of the work completed and in accordance with agreements established with these third-party service providers. Any payments made in advance of services provided are recorded as prepaid expenses and other assets, which are expensed as the contracted services are performed.</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could vary from actuals and result in us reporting amounts that are too high or too low in any particular period. Our accrued expenses are dependent, in part, upon the receipt of timely and accurate reporting from clinical research organizations and other third-party service providers. For the periods presented, we have experienced no material differences between our accrued expenses and actual expenses.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(an EGC) can take advantage of the extended transition period provided in Section 7(a)(2)(B) of the Securities Act for complying with new or revised accounting standards. Thus, an EGC can delay the adoption of certain accounting standards until those standards would otherwise apply to private companies. We have elected to use the extended transition period for any new or revised accounting standards during the period in which we remain an EGC; however, we may adopt certain new or revised accounting standards early.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6" w:name="page107"/>
    <w:bookmarkEnd w:id="106"/>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will remain an EGC until the earliest to occur of: (1) the last day of the fiscal year in which we have more than $1.235 billion in annual revenue;</w:t>
      </w:r>
    </w:p>
    <w:p>
      <w:pPr>
        <w:spacing w:after="0" w:line="39" w:lineRule="exact"/>
        <w:rPr>
          <w:sz w:val="20"/>
          <w:szCs w:val="20"/>
          <w:color w:val="auto"/>
        </w:rPr>
      </w:pPr>
    </w:p>
    <w:p>
      <w:pPr>
        <w:ind w:right="160" w:firstLine="8"/>
        <w:spacing w:after="0" w:line="255" w:lineRule="auto"/>
        <w:tabs>
          <w:tab w:leader="none" w:pos="2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 i.e., December 31, 2025.</w:t>
      </w:r>
    </w:p>
    <w:p>
      <w:pPr>
        <w:spacing w:after="0" w:line="78"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to EGCs by the JOBS Act. Subject to certain conditions set forth in the JOBS Act, as an EGC, we are not required to, among other things, (i) 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or (iv) disclose certain executive compensation-related items such as the correlation between executive compensation and performance and comparisons of the Chief Executive Officer’s compensation to median employee compensation.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Our cash, cash equivalents and investments of $56.9 million as of December 31, 2024, consist of bank deposits, money market funds, and US Treasury available-for-sale securities. We are exposed to market risk related to changes in interest rates applicable to our investment portfolio of cash equivalents and short-term investments. Our primary exposure to market risk is interest income sensitivity, which is affected by changes in the general level of U.S. interest rates. Should U.S. interest rates decline, interest income would be reduced in future periods for short-term investments which mature and the proceeds of which are reinvested in similar instruments at lower interest rates. Additionally, the fair value of our short-term investments is subject to change as a result of potential changes in market interest rates. As of December 31, 2024, we estimate that a hypothetical 100 basis point adverse movement would not result in a material impact on our financial position or results of operations or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We have employees and operations, including contracts with third-party vendors, in Europe through our subsidiary Aligos Belgium BVBA. We have similar, but more limited, operations in Australia and China. Though the functional currency in these locations is the U.S. dollar, we remeasure transactions initially recorded in local currencies in these locations, the Euro, Australian dollar and Chinese Yuan, respectively, to the U.S. dollars periodically. As such, we are exposed to foreign currency exchange risk as the underlying contracts to pay employees or vendors in these locations are generally denominated in the local currencies. A decline in the value of the U.S. dollar relative to these currencies would increase our cost of doing business in these locations.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A 10% increase or decrease in current exchange rates would not have a material effect on our financial position or results of operations or cash flows.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800" w:type="dxa"/>
            <w:vAlign w:val="bottom"/>
          </w:tcPr>
          <w:p>
            <w:pPr>
              <w:spacing w:after="0"/>
              <w:rPr>
                <w:sz w:val="20"/>
                <w:szCs w:val="20"/>
                <w:color w:val="auto"/>
              </w:rPr>
            </w:pPr>
          </w:p>
        </w:tc>
      </w:tr>
      <w:tr>
        <w:trPr>
          <w:trHeight w:val="432"/>
        </w:trPr>
        <w:tc>
          <w:tcPr>
            <w:tcW w:w="84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Index to Financial Statements</w:t>
            </w:r>
          </w:p>
        </w:tc>
        <w:tc>
          <w:tcPr>
            <w:tcW w:w="280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0563C1"/>
              </w:rPr>
              <w:t>Report of Independent Registered Public Accounting Firm (PCAOB ID 42)</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6"/>
        </w:trPr>
        <w:tc>
          <w:tcPr>
            <w:tcW w:w="460" w:type="dxa"/>
            <w:vAlign w:val="bottom"/>
          </w:tcPr>
          <w:p>
            <w:pPr>
              <w:spacing w:after="0"/>
              <w:rPr>
                <w:sz w:val="17"/>
                <w:szCs w:val="17"/>
                <w:color w:val="auto"/>
              </w:rPr>
            </w:pPr>
          </w:p>
        </w:tc>
        <w:tc>
          <w:tcPr>
            <w:tcW w:w="2100" w:type="dxa"/>
            <w:vAlign w:val="bottom"/>
            <w:tcBorders>
              <w:top w:val="single" w:sz="8" w:color="0563C1"/>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9"/>
              </w:rPr>
              <w:t>Consolidated Balance Sheets</w:t>
            </w:r>
          </w:p>
        </w:tc>
        <w:tc>
          <w:tcPr>
            <w:tcW w:w="3340" w:type="dxa"/>
            <w:vAlign w:val="bottom"/>
            <w:tcBorders>
              <w:top w:val="single" w:sz="8" w:color="0563C1"/>
            </w:tcBorders>
            <w:gridSpan w:val="5"/>
          </w:tcPr>
          <w:p>
            <w:pPr>
              <w:spacing w:after="0"/>
              <w:rPr>
                <w:sz w:val="17"/>
                <w:szCs w:val="17"/>
                <w:color w:val="auto"/>
              </w:rPr>
            </w:pPr>
          </w:p>
        </w:tc>
        <w:tc>
          <w:tcPr>
            <w:tcW w:w="2540" w:type="dxa"/>
            <w:vAlign w:val="bottom"/>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460" w:type="dxa"/>
            <w:vAlign w:val="bottom"/>
          </w:tcPr>
          <w:p>
            <w:pPr>
              <w:spacing w:after="0"/>
              <w:rPr>
                <w:sz w:val="17"/>
                <w:szCs w:val="17"/>
                <w:color w:val="auto"/>
              </w:rPr>
            </w:pPr>
          </w:p>
        </w:tc>
        <w:tc>
          <w:tcPr>
            <w:tcW w:w="4680" w:type="dxa"/>
            <w:vAlign w:val="bottom"/>
            <w:tcBorders>
              <w:bottom w:val="single" w:sz="8" w:color="0563C1"/>
            </w:tcBorders>
            <w:gridSpan w:val="4"/>
          </w:tcPr>
          <w:p>
            <w:pPr>
              <w:spacing w:after="0" w:line="196" w:lineRule="exact"/>
              <w:rPr>
                <w:sz w:val="20"/>
                <w:szCs w:val="20"/>
                <w:color w:val="auto"/>
              </w:rPr>
            </w:pPr>
            <w:r>
              <w:rPr>
                <w:rFonts w:ascii="Times New Roman" w:cs="Times New Roman" w:eastAsia="Times New Roman" w:hAnsi="Times New Roman"/>
                <w:sz w:val="18"/>
                <w:szCs w:val="18"/>
                <w:color w:val="0563C1"/>
                <w:w w:val="99"/>
              </w:rPr>
              <w:t>Consolidated Statements of Operations and Comprehensive Loss</w:t>
            </w:r>
          </w:p>
        </w:tc>
        <w:tc>
          <w:tcPr>
            <w:tcW w:w="3300" w:type="dxa"/>
            <w:vAlign w:val="bottom"/>
            <w:gridSpan w:val="3"/>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460" w:type="dxa"/>
            <w:vAlign w:val="bottom"/>
          </w:tcPr>
          <w:p>
            <w:pPr>
              <w:spacing w:after="0"/>
              <w:rPr>
                <w:sz w:val="17"/>
                <w:szCs w:val="17"/>
                <w:color w:val="auto"/>
              </w:rPr>
            </w:pPr>
          </w:p>
        </w:tc>
        <w:tc>
          <w:tcPr>
            <w:tcW w:w="5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563C1"/>
              </w:rPr>
              <w:t>Consolidated Statements of Changes in Stockholders’ (Deficit) Equity</w:t>
            </w:r>
          </w:p>
        </w:tc>
        <w:tc>
          <w:tcPr>
            <w:tcW w:w="2880" w:type="dxa"/>
            <w:vAlign w:val="bottom"/>
            <w:gridSpan w:val="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460" w:type="dxa"/>
            <w:vAlign w:val="bottom"/>
          </w:tcPr>
          <w:p>
            <w:pPr>
              <w:spacing w:after="0"/>
              <w:rPr>
                <w:sz w:val="17"/>
                <w:szCs w:val="17"/>
                <w:color w:val="auto"/>
              </w:rPr>
            </w:pPr>
          </w:p>
        </w:tc>
        <w:tc>
          <w:tcPr>
            <w:tcW w:w="2880" w:type="dxa"/>
            <w:vAlign w:val="bottom"/>
            <w:tcBorders>
              <w:bottom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w w:val="99"/>
              </w:rPr>
              <w:t>Consolidated Statements of Cash Flows</w:t>
            </w:r>
          </w:p>
        </w:tc>
        <w:tc>
          <w:tcPr>
            <w:tcW w:w="5100" w:type="dxa"/>
            <w:vAlign w:val="bottom"/>
            <w:gridSpan w:val="5"/>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460" w:type="dxa"/>
            <w:vAlign w:val="bottom"/>
          </w:tcPr>
          <w:p>
            <w:pPr>
              <w:spacing w:after="0"/>
              <w:rPr>
                <w:sz w:val="17"/>
                <w:szCs w:val="17"/>
                <w:color w:val="auto"/>
              </w:rPr>
            </w:pPr>
          </w:p>
        </w:tc>
        <w:tc>
          <w:tcPr>
            <w:tcW w:w="3160" w:type="dxa"/>
            <w:vAlign w:val="bottom"/>
            <w:tcBorders>
              <w:bottom w:val="single" w:sz="8" w:color="0563C1"/>
            </w:tcBorders>
            <w:gridSpan w:val="3"/>
          </w:tcPr>
          <w:p>
            <w:pPr>
              <w:spacing w:after="0" w:line="196" w:lineRule="exact"/>
              <w:rPr>
                <w:sz w:val="20"/>
                <w:szCs w:val="20"/>
                <w:color w:val="auto"/>
              </w:rPr>
            </w:pPr>
            <w:r>
              <w:rPr>
                <w:rFonts w:ascii="Times New Roman" w:cs="Times New Roman" w:eastAsia="Times New Roman" w:hAnsi="Times New Roman"/>
                <w:sz w:val="18"/>
                <w:szCs w:val="18"/>
                <w:color w:val="0563C1"/>
                <w:w w:val="99"/>
              </w:rPr>
              <w:t>Notes to Consolidated Financial Statements</w:t>
            </w:r>
          </w:p>
        </w:tc>
        <w:tc>
          <w:tcPr>
            <w:tcW w:w="4820" w:type="dxa"/>
            <w:vAlign w:val="bottom"/>
            <w:gridSpan w:val="4"/>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884"/>
        </w:trPr>
        <w:tc>
          <w:tcPr>
            <w:tcW w:w="59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102</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Aligos 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Aligos Therapeutics, Inc. (the Company) as of December 31, 2024 and 2023, the related Consolidated Statements of Operations and Comprehensive Loss, Changes in Stockholders’ (Deficit)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Pr>
          <w:p>
            <w:pPr>
              <w:spacing w:after="0"/>
              <w:rPr>
                <w:sz w:val="18"/>
                <w:szCs w:val="18"/>
                <w:color w:val="auto"/>
              </w:rPr>
            </w:pPr>
          </w:p>
        </w:tc>
      </w:tr>
      <w:tr>
        <w:trPr>
          <w:trHeight w:val="209"/>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62,141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141,084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8"/>
                <w:szCs w:val="18"/>
                <w:color w:val="auto"/>
              </w:rPr>
            </w:pPr>
          </w:p>
        </w:tc>
      </w:tr>
      <w:tr>
        <w:trPr>
          <w:trHeight w:val="249"/>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tcPr>
          <w:p>
            <w:pPr>
              <w:spacing w:after="0"/>
              <w:rPr>
                <w:sz w:val="18"/>
                <w:szCs w:val="18"/>
                <w:color w:val="auto"/>
              </w:rPr>
            </w:pPr>
          </w:p>
        </w:tc>
      </w:tr>
      <w:tr>
        <w:trPr>
          <w:trHeight w:val="210"/>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21,737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Pr>
          <w:p>
            <w:pPr>
              <w:spacing w:after="0"/>
              <w:rPr>
                <w:sz w:val="18"/>
                <w:szCs w:val="18"/>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 liabilities, net of current portion</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warrant liability</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Pr>
          <w:p>
            <w:pPr>
              <w:spacing w:after="0"/>
              <w:rPr>
                <w:sz w:val="18"/>
                <w:szCs w:val="18"/>
                <w:color w:val="auto"/>
              </w:rPr>
            </w:pPr>
          </w:p>
        </w:tc>
      </w:tr>
      <w:tr>
        <w:trPr>
          <w:trHeight w:val="216"/>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 term liability</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99,067</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59,447</w:t>
            </w:r>
          </w:p>
        </w:tc>
        <w:tc>
          <w:tcPr>
            <w:tcW w:w="100" w:type="dxa"/>
            <w:vAlign w:val="bottom"/>
          </w:tcPr>
          <w:p>
            <w:pPr>
              <w:spacing w:after="0"/>
              <w:rPr>
                <w:sz w:val="18"/>
                <w:szCs w:val="18"/>
                <w:color w:val="auto"/>
              </w:rPr>
            </w:pPr>
          </w:p>
        </w:tc>
      </w:tr>
      <w:tr>
        <w:trPr>
          <w:trHeight w:val="210"/>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84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 December 31, 2024 and</w:t>
            </w: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 no shares issued and outstanding as of December 31, 2024 and</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198"/>
        </w:trPr>
        <w:tc>
          <w:tcPr>
            <w:tcW w:w="78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20,800,000 shares and 12,800,000 shares authorized as of</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 3,864,436 and 3,003,855 shares issued and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588,576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578,325</w:t>
            </w:r>
          </w:p>
        </w:tc>
        <w:tc>
          <w:tcPr>
            <w:tcW w:w="100" w:type="dxa"/>
            <w:vAlign w:val="bottom"/>
            <w:shd w:val="clear" w:color="auto" w:fill="CFF0FC"/>
          </w:tcPr>
          <w:p>
            <w:pPr>
              <w:spacing w:after="0"/>
              <w:rPr>
                <w:sz w:val="18"/>
                <w:szCs w:val="18"/>
                <w:color w:val="auto"/>
              </w:rPr>
            </w:pPr>
          </w:p>
        </w:tc>
      </w:tr>
      <w:tr>
        <w:trPr>
          <w:trHeight w:val="216"/>
        </w:trPr>
        <w:tc>
          <w:tcPr>
            <w:tcW w:w="7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(618,008 )</w:t>
            </w:r>
          </w:p>
        </w:tc>
        <w:tc>
          <w:tcPr>
            <w:tcW w:w="22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(486,797 )</w:t>
            </w:r>
          </w:p>
        </w:tc>
      </w:tr>
      <w:tr>
        <w:trPr>
          <w:trHeight w:val="216"/>
        </w:trPr>
        <w:tc>
          <w:tcPr>
            <w:tcW w:w="78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(28,973 )</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92,080</w:t>
            </w:r>
          </w:p>
        </w:tc>
        <w:tc>
          <w:tcPr>
            <w:tcW w:w="100" w:type="dxa"/>
            <w:vAlign w:val="bottom"/>
          </w:tcPr>
          <w:p>
            <w:pPr>
              <w:spacing w:after="0"/>
              <w:rPr>
                <w:sz w:val="18"/>
                <w:szCs w:val="18"/>
                <w:color w:val="auto"/>
              </w:rPr>
            </w:pPr>
          </w:p>
        </w:tc>
      </w:tr>
      <w:tr>
        <w:trPr>
          <w:trHeight w:val="250"/>
        </w:trPr>
        <w:tc>
          <w:tcPr>
            <w:tcW w:w="7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(deficit) equity</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151,527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-4508500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-4508500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-3942715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-3925570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-3925570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-2536825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-1979295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-316865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7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73,040</w:t>
            </w: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93,099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103,656</w:t>
            </w:r>
          </w:p>
        </w:tc>
        <w:tc>
          <w:tcPr>
            <w:tcW w:w="100" w:type="dxa"/>
            <w:vAlign w:val="bottom"/>
          </w:tcPr>
          <w:p>
            <w:pPr>
              <w:spacing w:after="0"/>
              <w:rPr>
                <w:sz w:val="18"/>
                <w:szCs w:val="18"/>
                <w:color w:val="auto"/>
              </w:rPr>
            </w:pPr>
          </w:p>
        </w:tc>
      </w:tr>
      <w:tr>
        <w:trPr>
          <w:trHeight w:val="210"/>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(89,154 )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(88,127 )</w:t>
            </w: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fair value of common warrants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(46,132 )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(2,169 )</w:t>
            </w:r>
          </w:p>
        </w:tc>
      </w:tr>
      <w:tr>
        <w:trPr>
          <w:trHeight w:val="20"/>
        </w:trPr>
        <w:tc>
          <w:tcPr>
            <w:tcW w:w="7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before income tax</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(130,880 )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(86,884 )</w:t>
            </w: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(331 )</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(795 )</w:t>
            </w:r>
          </w:p>
        </w:tc>
      </w:tr>
      <w:tr>
        <w:trPr>
          <w:trHeight w:val="20"/>
        </w:trPr>
        <w:tc>
          <w:tcPr>
            <w:tcW w:w="7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(131,211 )</w:t>
            </w:r>
          </w:p>
        </w:tc>
        <w:tc>
          <w:tcPr>
            <w:tcW w:w="3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(87,679 )</w:t>
            </w:r>
          </w:p>
        </w:tc>
      </w:tr>
      <w:tr>
        <w:trPr>
          <w:trHeight w:val="209"/>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16"/>
        </w:trPr>
        <w:tc>
          <w:tcPr>
            <w:tcW w:w="7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gain on pension plans</w:t>
            </w:r>
          </w:p>
        </w:tc>
        <w:tc>
          <w:tcPr>
            <w:tcW w:w="3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(103 )</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r>
      <w:tr>
        <w:trPr>
          <w:trHeight w:val="20"/>
        </w:trPr>
        <w:tc>
          <w:tcPr>
            <w:tcW w:w="78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(94 )</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r>
      <w:tr>
        <w:trPr>
          <w:trHeight w:val="20"/>
        </w:trPr>
        <w:tc>
          <w:tcPr>
            <w:tcW w:w="7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8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(131,305 )</w:t>
            </w: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(87,535 )</w:t>
            </w:r>
          </w:p>
        </w:tc>
      </w:tr>
      <w:tr>
        <w:trPr>
          <w:trHeight w:val="20"/>
        </w:trPr>
        <w:tc>
          <w:tcPr>
            <w:tcW w:w="78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7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(20.94 )</w:t>
            </w:r>
          </w:p>
        </w:tc>
        <w:tc>
          <w:tcPr>
            <w:tcW w:w="36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(34.20 )</w:t>
            </w:r>
          </w:p>
        </w:tc>
      </w:tr>
      <w:tr>
        <w:trPr>
          <w:trHeight w:val="216"/>
        </w:trPr>
        <w:tc>
          <w:tcPr>
            <w:tcW w:w="7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basic and diluted</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6,264,612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2,563,470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-2005330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-1439545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-1156335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-590550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-299085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-281940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(Deficit)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420" w:type="dxa"/>
            <w:vAlign w:val="bottom"/>
            <w:gridSpan w:val="3"/>
            <w:vMerge w:val="restart"/>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242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3"/>
                <w:szCs w:val="13"/>
                <w:color w:val="auto"/>
              </w:rPr>
            </w:pPr>
          </w:p>
        </w:tc>
        <w:tc>
          <w:tcPr>
            <w:tcW w:w="12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20" w:type="dxa"/>
            <w:vAlign w:val="bottom"/>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9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280" w:type="dxa"/>
            <w:vAlign w:val="bottom"/>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3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 Equity</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 as of December 31, 2022</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1,716,923</w:t>
            </w:r>
          </w:p>
        </w:tc>
        <w:tc>
          <w:tcPr>
            <w:tcW w:w="1200" w:type="dxa"/>
            <w:vAlign w:val="bottom"/>
            <w:gridSpan w:val="2"/>
            <w:shd w:val="clear" w:color="auto" w:fill="CFF0FC"/>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40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502,613</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(399,118 )</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103,900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29,084</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1,257,168</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18,641</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18,644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with PIPE offering, net of offering costs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pre-funded warrants in</w:t>
            </w:r>
          </w:p>
        </w:tc>
        <w:tc>
          <w:tcPr>
            <w:tcW w:w="1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connection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48,079</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48,079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with PIPE offering, net of offering costs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Costs related to the PIPE offering</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(4,300 )</w:t>
            </w: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(4,300 )</w:t>
            </w: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stock awards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Vesting of early exercised</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 options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(87,679 )</w:t>
            </w: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(87,679 )</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2023</w:t>
            </w: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3,003,855</w:t>
            </w:r>
          </w:p>
        </w:tc>
        <w:tc>
          <w:tcPr>
            <w:tcW w:w="220" w:type="dxa"/>
            <w:vAlign w:val="bottom"/>
          </w:tcPr>
          <w:p>
            <w:pPr>
              <w:spacing w:after="0"/>
              <w:rPr>
                <w:sz w:val="12"/>
                <w:szCs w:val="12"/>
                <w:color w:val="auto"/>
              </w:rPr>
            </w:pPr>
          </w:p>
        </w:tc>
        <w:tc>
          <w:tcPr>
            <w:tcW w:w="98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1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578,325</w:t>
            </w:r>
          </w:p>
        </w:tc>
        <w:tc>
          <w:tcPr>
            <w:tcW w:w="22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(486,797 )</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545</w:t>
            </w:r>
          </w:p>
        </w:tc>
        <w:tc>
          <w:tcPr>
            <w:tcW w:w="24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92,080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related</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32,958</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to ESPP purchase</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800,613</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22,024</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 of common warrants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 from RSU vesting</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4,986</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employee stock awards</w:t>
            </w:r>
          </w:p>
        </w:tc>
        <w:tc>
          <w:tcPr>
            <w:tcW w:w="1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Stock-based compensation expense related to</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purchases</w:t>
            </w: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1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(94 )</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(131,211 )</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(131,211 )</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as of December 31, 2024</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3,864,436</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588,576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(618,008 )</w:t>
            </w:r>
          </w:p>
        </w:tc>
        <w:tc>
          <w:tcPr>
            <w:tcW w:w="1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451</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(28,973 )</w:t>
            </w: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-1576705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-1576705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-1576705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-1576705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-1576705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-1576705</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-8255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9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(131,211 )</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(87,679 )</w:t>
            </w:r>
          </w:p>
        </w:tc>
      </w:tr>
      <w:tr>
        <w:trPr>
          <w:trHeight w:val="216"/>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Accretion of discount on investments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r>
      <w:tr>
        <w:trPr>
          <w:trHeight w:val="216"/>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1,595</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1,510</w:t>
            </w: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of right of use assets</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46,132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2,169</w:t>
            </w: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1,559</w:t>
            </w: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 including ESPP</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8,452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12,652</w:t>
            </w:r>
          </w:p>
        </w:tc>
      </w:tr>
      <w:tr>
        <w:trPr>
          <w:trHeight w:val="216"/>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2,297</w:t>
            </w:r>
          </w:p>
        </w:tc>
      </w:tr>
      <w:tr>
        <w:trPr>
          <w:trHeight w:val="216"/>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(2,219 )</w:t>
            </w:r>
          </w:p>
        </w:tc>
      </w:tr>
      <w:tr>
        <w:trPr>
          <w:trHeight w:val="216"/>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79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(2,680 )</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(2,432 )</w:t>
            </w:r>
          </w:p>
        </w:tc>
      </w:tr>
      <w:tr>
        <w:trPr>
          <w:trHeight w:val="216"/>
        </w:trPr>
        <w:tc>
          <w:tcPr>
            <w:tcW w:w="7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79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(8,135 )</w:t>
            </w:r>
          </w:p>
        </w:tc>
      </w:tr>
      <w:tr>
        <w:trPr>
          <w:trHeight w:val="209"/>
        </w:trPr>
        <w:tc>
          <w:tcPr>
            <w:tcW w:w="7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(80,743 )</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(78,997 )</w:t>
            </w:r>
          </w:p>
        </w:tc>
      </w:tr>
      <w:tr>
        <w:trPr>
          <w:trHeight w:val="210"/>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Activities in available-for-sale investments: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79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45,011</w:t>
            </w:r>
          </w:p>
        </w:tc>
      </w:tr>
      <w:tr>
        <w:trPr>
          <w:trHeight w:val="216"/>
        </w:trPr>
        <w:tc>
          <w:tcPr>
            <w:tcW w:w="7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(108,149 )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16"/>
        </w:trPr>
        <w:tc>
          <w:tcPr>
            <w:tcW w:w="7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10"/>
        </w:trPr>
        <w:tc>
          <w:tcPr>
            <w:tcW w:w="7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(used in) provided by investing activities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(18,279 )</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44,981</w:t>
            </w:r>
          </w:p>
        </w:tc>
      </w:tr>
      <w:tr>
        <w:trPr>
          <w:trHeight w:val="210"/>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PIPE Offering, net of costs</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17,443</w:t>
            </w:r>
          </w:p>
        </w:tc>
      </w:tr>
      <w:tr>
        <w:trPr>
          <w:trHeight w:val="216"/>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pre-funded warrants in connection with PIPE Offering, net of costs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44,980</w:t>
            </w: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warrants in connection with PIPE Offering, net of costs</w:t>
            </w:r>
          </w:p>
        </w:tc>
        <w:tc>
          <w:tcPr>
            <w:tcW w:w="340" w:type="dxa"/>
            <w:vAlign w:val="bottom"/>
          </w:tcPr>
          <w:p>
            <w:pPr>
              <w:spacing w:after="0"/>
              <w:rPr>
                <w:sz w:val="18"/>
                <w:szCs w:val="18"/>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25,427</w:t>
            </w:r>
          </w:p>
        </w:tc>
      </w:tr>
      <w:tr>
        <w:trPr>
          <w:trHeight w:val="216"/>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pre-funded warrants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16"/>
        </w:trPr>
        <w:tc>
          <w:tcPr>
            <w:tcW w:w="79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ESPP purchase</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7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common stock option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79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and cash equivalents provided by financing activities</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88,328</w:t>
            </w:r>
          </w:p>
        </w:tc>
      </w:tr>
      <w:tr>
        <w:trPr>
          <w:trHeight w:val="210"/>
        </w:trPr>
        <w:tc>
          <w:tcPr>
            <w:tcW w:w="79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(98,667 )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54,312</w:t>
            </w:r>
          </w:p>
        </w:tc>
      </w:tr>
      <w:tr>
        <w:trPr>
          <w:trHeight w:val="216"/>
        </w:trPr>
        <w:tc>
          <w:tcPr>
            <w:tcW w:w="7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135,774</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81,462</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37,107</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135,774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-2673985</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-1833880</wp:posOffset>
            </wp:positionV>
            <wp:extent cx="102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-436245</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-153670</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60" w:type="dxa"/>
            <w:vAlign w:val="bottom"/>
          </w:tcPr>
          <w:p>
            <w:pPr>
              <w:spacing w:after="0"/>
              <w:rPr>
                <w:sz w:val="15"/>
                <w:szCs w:val="15"/>
                <w:color w:val="auto"/>
              </w:rPr>
            </w:pPr>
          </w:p>
        </w:tc>
        <w:tc>
          <w:tcPr>
            <w:tcW w:w="3280" w:type="dxa"/>
            <w:vAlign w:val="bottom"/>
            <w:tcBorders>
              <w:bottom w:val="single" w:sz="8" w:color="auto"/>
            </w:tcBorders>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142"/>
        </w:trPr>
        <w:tc>
          <w:tcPr>
            <w:tcW w:w="79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to amounts on the Consolidated Balance Sheets:</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36,997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135,704</w:t>
            </w:r>
          </w:p>
        </w:tc>
      </w:tr>
      <w:tr>
        <w:trPr>
          <w:trHeight w:val="216"/>
        </w:trPr>
        <w:tc>
          <w:tcPr>
            <w:tcW w:w="79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9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37,107</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135,774</w:t>
            </w:r>
          </w:p>
        </w:tc>
      </w:tr>
      <w:tr>
        <w:trPr>
          <w:trHeight w:val="426"/>
        </w:trPr>
        <w:tc>
          <w:tcPr>
            <w:tcW w:w="79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16"/>
        </w:trPr>
        <w:tc>
          <w:tcPr>
            <w:tcW w:w="7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financing and investing activities:</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 to market adjustment for available-for-sale investments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7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right of use asset through operating lease obligation</w:t>
            </w:r>
          </w:p>
        </w:tc>
        <w:tc>
          <w:tcPr>
            <w:tcW w:w="9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 of early exercised options</w:t>
            </w:r>
          </w:p>
        </w:tc>
        <w:tc>
          <w:tcPr>
            <w:tcW w:w="90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 in pension obligation</w:t>
            </w:r>
          </w:p>
        </w:tc>
        <w:tc>
          <w:tcPr>
            <w:tcW w:w="900" w:type="dxa"/>
            <w:vAlign w:val="bottom"/>
            <w:shd w:val="clear" w:color="auto" w:fill="CFF0FC"/>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exercise of common warrants</w:t>
            </w:r>
          </w:p>
        </w:tc>
        <w:tc>
          <w:tcPr>
            <w:tcW w:w="90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1,361</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-1262380</wp:posOffset>
            </wp:positionV>
            <wp:extent cx="1028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Aligos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4"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indicated, financial information except share and per share data, including dollar values stated in the text of the notes to financial statements, is expressed in thousands of dollars.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Aligos Therapeutics, Inc. (Aligos-US) was incorporated in the state of Delaware on February 5, 2018 (inception). On September 10, 2018, the Company formed Aligos Belgium BVBA (the Subsidiary or Aligos-Belgium).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Aligos is a clinical-stage biotechnology company focused on developing novel therapeutics to address unmet medical needs in liver and viral diseases, including in the areas of chronic hepatitis B (CHB), metabolic dysfunction associated steatohepatitis (MASH), and coronavirus (e.g., SARS-CoV-2 and related infections).</w:t>
      </w:r>
    </w:p>
    <w:p>
      <w:pPr>
        <w:spacing w:after="0" w:line="6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preclinical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third-parties, product liability, and dependence on key individuals.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losses and negative cash flows from operations since its inception. As of December 31, 2024 and 2023, the Company had an accumulated deficit of approximately $618.0 million and $486.8 million, respectively. Management expects to continue to incur additional substantial losses in the foreseeable future as a result of expanded research and development activities.</w:t>
      </w:r>
    </w:p>
    <w:p>
      <w:pPr>
        <w:spacing w:after="0" w:line="6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has cash, cash equivalent and investments of approximately $56.9 million, which is available to fund future operations. The Company expects to continue to spend substantial amounts to continue the nonclinical and clinical development of its current and future programs. If the Company is able to gain marketing approval for drug candidates that are being developed, it will require significant additional amounts of cash in order to launch and commercialize such drug candidates. In addition, other unanticipated costs may arise. Because the design and outcome of the Company’s planned and anticipated clinical trials is highly uncertain, the Company cannot reasonably estimate the actual amounts necessary to successfully complete the development and commercialization of any drug candidate the Company may develop.</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expects to finance its cash needs through a combination of public or private equity offerings, debt financings, collaborations, strategic alliances, licensing arrangements and other marketing or distribution arrangements. Based on the Company’s research and development plans, it is expected that the Company’s existing cash, cash equivalents and investments, inclusive of the cash received from the PIPE financing in February 2025, will enable the Company to fund its operations for at least 12 months following the date the consolidated financial statements are issued. However, the Company’s operating plan may change as a result of many factors currently unknown, and the Company may need to seek additional funds sooner than planned. Moreover, it is particularly difficult to estimate with certainty the Company’s future expenses given the dynamic nature of its business, and the macro-economic environment generally.</w:t>
      </w:r>
    </w:p>
    <w:p>
      <w:pPr>
        <w:spacing w:after="0" w:line="81"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The Company’s ability to raise additional funds will depend on financial, economic and other factors, many of which are beyond its control. If additional funds are not available to the Company when needed, on terms that are acceptable to the Company, or at all, the Company may be required to: delay, limit, reduce or terminate nonclinical studies, clinical trials or other research and development activities or eliminate one or more of its development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programs altogether; or delay, limit, reduce or terminate its efforts to establish manufacturing and sales and marketing capabilities or other activities that may be necessary to commercialize any future approved products, or reduce the Company’s flexibility in developing or maintaining its sales and marketing strategy.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contemplates the continuity of operations, realization of assets and the satisfaction of liabilities and commitments in the normal course of business.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As a result, the Company is unable to predict the timing or amount of increased expenses or when or if the Company will be able to achieve or maintain profitability. Drug candidates currently under development will require significant additional research and development efforts, including extensive nonclinical and clinical testing and regulatory approval.</w:t>
      </w:r>
    </w:p>
    <w:p>
      <w:pPr>
        <w:spacing w:after="0" w:line="7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Moreover, it is particularly difficult to estimate with certainty the Company’s future expenses given the dynamic nature of its business, and the macro-economic environment generally.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(U.S. GAAP) and include all adjustments necessary for the fair presentation of the Company’s financial position for the periods presented. Any reference in these notes to applicable accounting guidance is meant to refer to the authoritative U.S. GAAP included in the Accounting Standards Codification (ASC), and Accounting Standards Update (ASU) issued by the Financial Accounting Standards Board (the FASB).</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Certain amount previously reported in 2023 Consolidated Statements of Operations and Comprehensive Loss has been reclassified to conform the 2024 presentation, with respect to the separate presentation of changes in fair value of common warrants in the amount of $2.2 million, previously included in interest and other income, net. The reclassification had no impact on our net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Aligos-US and its wholly owned subsidiaries Aligos-Belgium, Aligos-Australia and Aligos-Shanghai. All intercompany balances and transactions have been eliminated.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are believed to be reasonable under the circumstances. These estimates form the basis for making judgments about the carrying values of assets and liabilities when these values are not readily apparent from other sources. Accounting estimates and judgments are inherently uncertain, and the actual results could differ from these estimates.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Company’s foreign subsidiaries use the U.S. dollar as their functional currency, and they initially measure the foreign currency denominated assets and liabilities at the transaction date. Monetary assets and liabilities are then re-measured at exchange rates in effect at the end of each period, and non-monetary assets and liabilities are converted at historical rates. A re-measurement loss was recognized during the year ended December 31, 2024 of $3.4 thousand, and a re-measurement loss was recognized during the year ended December 31, 2023 of $45.7 thousand, and are reflected within interest and other income, net on the Consolidated Statements of Operations and Comprehensive Loss.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one reportable segment which is focused on discovering and developing drug candidates in both liver and viral diseases. The Company’s Chairman, President and Chief Executive Officer, who is the chief operating decision maker (CODM), assesses segment performance and decides how to allocate resources based on net loss that is also reported on the Consolidated Statements of Operations and Comprehensive Loss. See Note 17, Segment disclosure,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at acquisition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2024 and 2023, the restricted cash balance was $0.1 million and $0.1 million, respectively, and was used primarily to secure letters of credit in relation to the Company’s operating leases and deposits on rental assets (Note 6), as well as employee withholdings for the employee stock purchase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generally invests its excess cash in money market funds and investment grade short-to-intermediate-term fixed income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investments are included in cash, cash equivalents and investments on the Consolidated Balance Sheets.</w:t>
      </w:r>
    </w:p>
    <w:p>
      <w:pPr>
        <w:spacing w:after="0" w:line="9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determines the appropriate classification of securities at the time of purchase and re-evaluates such designation as of each balance sheet date. Available-for-sale debt securities are measured and reported at fair value using quoted prices in active markets for similar securities. Unrealized gains and losses on available-for-sale securities are reported as a separate component of stockholders’ (deficit) equity. Premiums or discounts from par value are amortized to investment income over the life of the underlying investment. The cost of securities sold is determined on a specific identification basis, and realized gains and losses are included in interest and other income, net within the Consolidated Statements of Operations and Comprehensive Loss.</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assesses available-for-sale debt securities on a quarterly basis to see whether any unrealized loss is due to credit-related factors. Factors considered in determining whether an impairment is credit-related include the extent to which the investment’s fair value is less than its cost basis, declines in published credit ratings, changes in interest rates, and any other adverse factors related to the security. If it is determined that a credit-related impairment exists, the Company will measure the credit loss based on a discounted cash flow model. Credit-related impairments on available-for-sale debt securities are recognized as an allowance for credit losses with a corresponding adjustment to other income, net in the Company’s consolidated statement of operations. The unrealized loss position that is not credit-related is recorded, net of any related tax effects, in other comprehensive income until realized. There were no credit-related losses recognized for the periods presented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Interest Receivable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Accrued interest receivable related to the Company’s available-for-sale debt securities is presented within prepaid expenses and other current assets on the Company’s consolidated balance sheets. The Company has elected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 offs of accrued interest receivable are recorded by reversing interest income, recognizing credit loss expense, or a combination of both. To date, the Company has not written off any accrued interest receivables associated with its available-for-sale debt securities.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suppliers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restricted cash and investments. 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commercial banking relationships. The Company generally invests its excess capital in money market funds, U.S. treasury bonds, U.S. treasury bills and certificates of deposit that are subject to minimal credit and market risks.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dependent on various third parties to manufacture compounds for the Company to conduct research and studies for its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programs would be adversely delayed by a significant interruption in the supply of active pharmaceutical ingredients.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Government Grants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2022, the Company was awarded a grant of $1.1 million by the National Institutes of Health (NIH) for research to target coronaviruses. The grant is for multiple years with the amount updated after each year of progress through 2025, subject to the annual reapplication and approval by the NIH. In 2023, the approved grant awarded was an additional $1.4 million. In 2024, the approved grant awarded was an additional $1.5 million.</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2023, the Company was awarded a contract of $8.5 million by the National Institute of Allergies and Infectious Diseases (NIAID) for research to target coronaviruses. In March 2024, the Company entered into an amendment to the above contract and was awarded an additional $1.3 million, making the total contract value $9.8 million. The contract will end in early 2026.</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U.S. GAAP does not contain authoritative accounting standards for grants or contracts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grants by analogy to International Accounting Standards 20 (“IAS 20”), Accounting for Government Grants and Disclosure of Government Assistance. Under this model, reimbursements the Company receives from the U.S. government for qualifying expenditures under the NIH grant will be recognized in earnings as a reduction to research and development expense when there is reasonable assurance that the Company will receive the grant. IAS 20 does not define “reasonable assurance”; however, the Company analogized this to “probable” as defined in FASB ASC 450-20-20 under U.S. GAAP, which is the definition the Company has applied. The grants and contracts will be recognized in earnings as a reduction of the related research and development (R&amp;D) expenses.</w:t>
      </w:r>
    </w:p>
    <w:p>
      <w:pPr>
        <w:spacing w:after="0" w:line="84"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$2.8 million was recognized as a reduction to R&amp;D expenses. During the year ended December 31, 2023, $1.6 million was recognized as a reduction to R&amp;D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Warrants liability</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7"/>
          <w:szCs w:val="17"/>
          <w:color w:val="auto"/>
        </w:rPr>
        <w:t>The Company accounts for certain warrants as liabilities at fair value and adjusts the instruments to fair value at each reporting period. The Company determined that its outstanding warrants are freestanding derivative instruments. The warrants are subject to remeasurement at each balance sheet date until exercised, and any change in fair value is recognized in the Consolidated Statements of Operations and Comprehensive Loss. The fair value of the warrants issued by the Company has been estimated and is remeasured at the end of each reporting period using a Black-Scholes option pricing model.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determines at the inception of the lease if an arrangement is a lease. Operating leases are included in operating lease right-of-use (ROU) assets and operating lease liabilities in the Consolidated Balance Sheets. Finance leases are included in property and equipment and finance lease liabilities in the Consolidated Balance Sheets.</w:t>
      </w:r>
    </w:p>
    <w:p>
      <w:pPr>
        <w:spacing w:after="0" w:line="68"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Operating lease ROU assets and liabilities are recognized at the lease commencement date based on the present value of lease payments over the lease term. When the Company’s leases do not provide an implicit rate, an incremental borrowing rate is used based on the information available at the commencement dates in determining the present value of lease payments. The Company uses the implicit rate when readily determinable. The operating lease ROU assets also include any lease payments made and excludes lease incentives when paid by the Company or on the Company’s behalf. The Company’s lease terms may include the period covered by options to extend or terminate the lease when it is reasonably certain that the Company will exercise that option. Lease expense for operating leases is recognized on a straight-line basis over the lease term.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8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elected to not separate lease and non-lease components for all of its building leases. For vehicle leases, lease and non-lease components are accounted for separately. The Company also made an accounting policy election to recognize lease expense for leases with a term of 12 months or less on a straight-line basis over the lease term and not recognize ROU assets or lease liabilities for such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is depreciated using the straight-line method over the estimated useful life of the asset, which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6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6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6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3-8 years</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4 years</w:t>
            </w:r>
          </w:p>
        </w:tc>
      </w:tr>
      <w:tr>
        <w:trPr>
          <w:trHeight w:val="198"/>
        </w:trPr>
        <w:tc>
          <w:tcPr>
            <w:tcW w:w="2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6000" w:type="dxa"/>
            <w:vAlign w:val="bottom"/>
            <w:shd w:val="clear" w:color="auto" w:fill="CFF0FC"/>
          </w:tcPr>
          <w:p>
            <w:pPr>
              <w:ind w:left="740"/>
              <w:spacing w:after="0" w:line="198" w:lineRule="exact"/>
              <w:rPr>
                <w:sz w:val="20"/>
                <w:szCs w:val="20"/>
                <w:color w:val="auto"/>
              </w:rPr>
            </w:pPr>
            <w:r>
              <w:rPr>
                <w:rFonts w:ascii="Times New Roman" w:cs="Times New Roman" w:eastAsia="Times New Roman" w:hAnsi="Times New Roman"/>
                <w:sz w:val="18"/>
                <w:szCs w:val="18"/>
                <w:color w:val="auto"/>
              </w:rPr>
              <w:t>Shorter of the useful life or</w:t>
            </w:r>
          </w:p>
        </w:tc>
      </w:tr>
      <w:tr>
        <w:trPr>
          <w:trHeight w:val="234"/>
        </w:trPr>
        <w:tc>
          <w:tcPr>
            <w:tcW w:w="2980" w:type="dxa"/>
            <w:vAlign w:val="bottom"/>
            <w:shd w:val="clear" w:color="auto" w:fill="CFF0FC"/>
          </w:tcPr>
          <w:p>
            <w:pPr>
              <w:spacing w:after="0"/>
              <w:rPr>
                <w:sz w:val="20"/>
                <w:szCs w:val="20"/>
                <w:color w:val="auto"/>
              </w:rPr>
            </w:pPr>
          </w:p>
        </w:tc>
        <w:tc>
          <w:tcPr>
            <w:tcW w:w="60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remaining lease term</w:t>
            </w:r>
          </w:p>
        </w:tc>
      </w:tr>
    </w:tbl>
    <w:p>
      <w:pPr>
        <w:spacing w:after="0" w:line="333"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regularly reviews the carrying amount of its property, equipment, other long-lived assets and intangible assets to determine whether indicators of impairment may exist which warrant adjustments to carrying values or estimated useful lives. If indications of impairment exist, projected future undiscounted cash flows associated with the asset are compared to the carrying amount to determine whether the asset’s value is recoverable. If the carrying value of the asset exceeds such projected undiscounted cash flows, the asset will be written down to its estimated fair value. During the year ended December 31, 2023, the Company vacated certain leased office space and, as a result, the Company recorded an impairment charge against right of use assets of $0.7 million, recorded in the Consolidated Statements of Operations and Comprehensive Loss as general and administrative (G&amp;A) expenses. No other impairment charges were recorded during the years ended December 31, 2024 or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and third-party license fees. Non-refundable prepayments for goods or services that will be used or rendered for future research and development activities are deferred and capitalized.</w:t>
      </w:r>
    </w:p>
    <w:p>
      <w:pPr>
        <w:spacing w:after="0" w:line="68"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expense represents the costs to acquire technologies to be used in research and development that have not reached technological feasibility or have no alternative future uses and thus are expensed as incurred. IPR&amp;D expense also includes upfront license fees and milestones paid to collaborators for technologies with no alternative use.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Company enters into collaboration arrangements with pharmaceutical and other partners, under which the Company may grant licenses to its collaboration partners to research and develop potential drug candidates. Consideration under these contracts may include an upfront payment, development, regulatory, sales and other milestone payments. Contractual payments received for research and development activities performed are recognized on a gross basis in revenue from collaboration arrangements.</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may also perform research and development activities under the collaboration agreements where the Company may be granted licenses from its collaboration partners. Contractual payments to the other party in collaboration agreements and costs incurred by the Company are recognized on a gross basis in research and development expenses. Development and regulatory milestones payments to collaboration partners are recorded as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9" w:name="page120"/>
    <w:bookmarkEnd w:id="119"/>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when such payments become probable. Royalties and sales-based milestone payments are recorded when the related sales occur.</w:t>
      </w:r>
    </w:p>
    <w:p>
      <w:pPr>
        <w:spacing w:after="0" w:line="5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When the Company enters into collaboration arrangements, the Company assesses whether the arrangement falls within the scope of ASC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based on whether the arrangement involves joint operating activities and whether both parties would be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participants and would be exposed to significant risks and rewards of the arrangement. To the extent that the arrangement falls within the scope of ASC 808, the Company assesses whether the payments between the parties fall within the scope of other accounting literature such as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21"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Company enters into revenue arrangements with certain partners. Consideration under these contracts may include an upfront payment, development, regulatory, sales and other milestone payments. Contractual payments received for research and development activities performed are recognized on a gross basis in Revenue from Customers.</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may also perform research and development activities under the revenue agreements where the Company may be granted licenses from its partners. Contractual payments to the other party in revenue agreements and costs incurred by the Company are recognized on a gross basis in research and development expenses. For arrangements that include royalties and sales-based milestone payments, the license is deemed to be the predominant item to which such payments relate and the Company recognizes revenue at the later of when the related sales occur or when the performance obligation to which the royalty has been allocated has been satisfied.</w:t>
      </w:r>
    </w:p>
    <w:p>
      <w:pPr>
        <w:spacing w:after="0" w:line="7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When the Company enters into revenue arrangements, the Company assesses whether the arrangement first falls within the scope of ASC 808, </w:t>
      </w:r>
      <w:r>
        <w:rPr>
          <w:rFonts w:ascii="Times New Roman" w:cs="Times New Roman" w:eastAsia="Times New Roman" w:hAnsi="Times New Roman"/>
          <w:sz w:val="18"/>
          <w:szCs w:val="18"/>
          <w:i w:val="1"/>
          <w:iCs w:val="1"/>
          <w:color w:val="auto"/>
        </w:rPr>
        <w:t xml:space="preserve">Collaborative Arrangements </w:t>
      </w:r>
      <w:r>
        <w:rPr>
          <w:rFonts w:ascii="Times New Roman" w:cs="Times New Roman" w:eastAsia="Times New Roman" w:hAnsi="Times New Roman"/>
          <w:sz w:val="18"/>
          <w:szCs w:val="18"/>
          <w:color w:val="auto"/>
        </w:rPr>
        <w:t>(ASC 808) based on whether the arrangement involves joint operating activities and whether both parties would be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participants and would be exposed to significant risks and rewards of the arrangement. If the arrangement does not fall into this literature, the Company then looks to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to see whether the partner is considered a customer.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20" w:right="2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quoted prices), such as quoted prices in active markets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for identical or similar assets or liabilities, or other inputs that are observable or can be corroborated by observable market data.</w:t>
      </w:r>
    </w:p>
    <w:p>
      <w:pPr>
        <w:spacing w:after="0" w:line="65" w:lineRule="exact"/>
        <w:rPr>
          <w:sz w:val="20"/>
          <w:szCs w:val="20"/>
          <w:color w:val="auto"/>
        </w:rPr>
      </w:pPr>
    </w:p>
    <w:p>
      <w:pPr>
        <w:ind w:left="520" w:right="38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Company’s stock-based awards consist of restricted stock awards and stock options. For stock-based awards issued to employees and nonemployees, the Company measures the estimated fair value of the stock-based awards on the date of grant and recognizes compensation expense for those awards over the requisite service period, which is generally the vesting period of the respective awards. The Company records expense for awards with service-based vesting using the straight-line method. The Company accounts for forfeitures as they occur.</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0" w:name="page121"/>
    <w:bookmarkEnd w:id="120"/>
    <w:p>
      <w:pPr>
        <w:spacing w:after="0" w:line="8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each restricted stock award is the closing price of the Company’s common stock on the date of grant. The fair value of each stock option award is estimated on the date of grant using the Black-Scholes option pricing model. The Black-Scholes option-pricing model requires the use of a number of assumptions including the fair value of the common stock, expected volatility, risk-free interest rate, expected dividends, and expected term of the option.</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determined the expected stock volatility using a weighted-average of the historical volatility of a group of guideline companies that issued options with substantially similar terms, and expects to continue to do so until such time as the Company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fair value of the Company’s 2020 Employee Stock Purchase Plan (the ESPP) is determined on the date the offering period begins using a Black-Scholes option-pricing model and similar assumptions for stock options as described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determined on the basis of the differences between the consolidated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75"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interest and penalties.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Comprehensive loss comprises net loss and other comprehensive loss. Other comprehensive (loss) income consists of foreign currency translation adjustments, unrealized gain on marketable securities and unrealized (loss) gain on pension plans.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The weighted-average number of shares of common stock outstanding includes the shares subject to the pre-funded warrants as per ASC 260, shares issuable for little or no cash consideration upon the satisfaction of certain conditions, shall be considered outstanding common shares.</w:t>
      </w:r>
    </w:p>
    <w:p>
      <w:pPr>
        <w:spacing w:after="0" w:line="7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stock options, common stock subject to repurchase related to early exercise of stock options, unvested restricted stock subject to repurchase, common stock warrants and convertible notes are considered to be potentially dilutive securities.</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Accordingly, in periods in which the Company reports a net loss, diluted net loss per share is the same as basic net loss per share, since dilutive common shares are not assumed to have been issued if their effect is anti-dilutive.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established a defined contribution savings plan for its employees in Aligos-US under Section 401(k) of the Internal Revenue Code, and a defined benefits plan for its employees in Aligos-Belgium.</w:t>
      </w:r>
    </w:p>
    <w:p>
      <w:pPr>
        <w:spacing w:after="0" w:line="54"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Company uses the standard method for the recognition of the actuarial results as described in ASC 715. This means application of a 10% corridor and amortization over the expected average remaining working lives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employees. The plan contains benefits to the plan participant on the normal plan retirement date and benefits to the partner after death of the plan participant. This plan is recognized under ASC 715.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Company’s stockholders approved a reverse stock split of its authorized, issued and outstanding voting and non-voting common stock at a range of ratios between 1-for-5 to 1-for-30, and the Company’s board of directors subsequently approved the implementation of the reverse stock split at a ratio of 1-for-25 (the Reverse Stock Split). The Reverse Stock Split was effective as of August 19, 2024.</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the effective time of the Reverse Stock Split, every 25 issued and outstanding shares of the Company’s common stock was automatically reclassified into one issued and outstanding share of the Company’s common stock. This reduced the number of shares outstanding from 79.9 million shares to 3.3 million shares. The Reverse Stock Split did not affect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prior period share and per share amounts of the Company's common stock presented have been retroactively adjusted to reflect the 1-for-25 Reverse Stock Split.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is effective for fiscal years beginning after December 15, 2026, and interim periods beginning after December 15, 2027. Early adoption is permitted. The Company is evaluating the potential impact of this standard on its consolidated financial statements.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 Income Taxes (Topic 740): Improvements to Income Tax Disclosures. The standard is effective for fiscal years beginning after December 15, 2024. The Company is evaluating the potential impact of this standard on its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property and equipment were as follows as of December 31, 2024 and 2023:</w:t>
      </w:r>
    </w:p>
    <w:p>
      <w:pPr>
        <w:spacing w:after="0" w:line="20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Vehicles and equipment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Asset under construction</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0"/>
        </w:trPr>
        <w:tc>
          <w:tcPr>
            <w:tcW w:w="5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at cost</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14,014</w:t>
            </w:r>
          </w:p>
        </w:tc>
        <w:tc>
          <w:tcPr>
            <w:tcW w:w="10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(11,782 )</w:t>
            </w: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(10,755 )</w:t>
            </w:r>
          </w:p>
        </w:tc>
      </w:tr>
      <w:tr>
        <w:trPr>
          <w:trHeight w:val="250"/>
        </w:trPr>
        <w:tc>
          <w:tcPr>
            <w:tcW w:w="5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depreciation expense was $1.0 million and $1.6 million, respectively. Finance leases for vehicles and lab equipment are also included in property and equipment on the Consolidated Balance Sheets (Note 6).</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Short-term investments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amortized cost, gross unrealized gains and losses, and estimated fair values of total fixed-maturity securities were as follows:</w:t>
      </w:r>
    </w:p>
    <w:p>
      <w:pPr>
        <w:spacing w:after="0" w:line="263"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6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85"/>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bonds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19,933</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short-term investments are in an unrealized loss position. The Company had no available-for-sale securities as of December 31, 2023.</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Changes in fair value are related to changes in market interest rates. The Company expects to collect all contractual principal and interest payments and does not intend to sell the investments before recovery of their amortized cost bases. As of December 31, 2024, all investments had a remaining maturity of less than one year.</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interest income of $1.7 million and $4.3 million, respectively, during the years ended December 31, 2024 and 2023, as a component of interest and other income, net on the Company’s Consolidated Statement of Operations and Comprehensive Loss.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liabilities consisted of the following as of December 31:</w:t>
      </w:r>
    </w:p>
    <w:p>
      <w:pPr>
        <w:spacing w:after="0" w:line="233"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R&amp;D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8"/>
                <w:szCs w:val="18"/>
                <w:color w:val="auto"/>
              </w:rPr>
            </w:pPr>
          </w:p>
        </w:tc>
      </w:tr>
      <w:tr>
        <w:trPr>
          <w:trHeight w:val="249"/>
        </w:trPr>
        <w:tc>
          <w:tcPr>
            <w:tcW w:w="7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operating and finance leases for corporate offices, research and development facilities, and certain vehicles and lab equipment. These leases have remaining lease terms of three to five years, some of which include options to extend the leases for five to eight years. The Company has determined that it is not reasonably certain to exercise the options under any leases. The lease of research and development facilities includes costs for utilities and common area maintenance which have been included in the calculation of lease payments. Differences between lease payments as measured at lease inception and variations in monthly payments will be recognized as operating expenses in the period in which the obligation is incurred.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3" w:name="page124"/>
    <w:bookmarkEnd w:id="123"/>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0" w:type="dxa"/>
            <w:vAlign w:val="bottom"/>
          </w:tcPr>
          <w:p>
            <w:pPr>
              <w:spacing w:after="0"/>
              <w:rPr>
                <w:sz w:val="13"/>
                <w:szCs w:val="13"/>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173"/>
        </w:trPr>
        <w:tc>
          <w:tcPr>
            <w:tcW w:w="5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Lease</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3,792</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1"/>
        </w:trPr>
        <w:tc>
          <w:tcPr>
            <w:tcW w:w="5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9,052</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6"/>
                <w:szCs w:val="16"/>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(835 )</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(3,422 )</w:t>
            </w:r>
          </w:p>
        </w:tc>
        <w:tc>
          <w:tcPr>
            <w:tcW w:w="2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49"/>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-736600</wp:posOffset>
            </wp:positionV>
            <wp:extent cx="603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-736600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years ended December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5393055</wp:posOffset>
            </wp:positionH>
            <wp:positionV relativeFrom="paragraph">
              <wp:posOffset>158750</wp:posOffset>
            </wp:positionV>
            <wp:extent cx="93980" cy="1365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158750</wp:posOffset>
            </wp:positionV>
            <wp:extent cx="93980" cy="1365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13652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156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10"/>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560" w:type="dxa"/>
            <w:vAlign w:val="bottom"/>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900" w:type="dxa"/>
            <w:vAlign w:val="bottom"/>
            <w:gridSpan w:val="3"/>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shd w:val="clear" w:color="auto" w:fill="CFF0FC"/>
          </w:tcPr>
          <w:p>
            <w:pPr>
              <w:spacing w:after="0"/>
              <w:rPr>
                <w:sz w:val="18"/>
                <w:szCs w:val="18"/>
                <w:color w:val="auto"/>
              </w:rPr>
            </w:pPr>
          </w:p>
        </w:tc>
      </w:tr>
      <w:tr>
        <w:trPr>
          <w:trHeight w:val="209"/>
        </w:trPr>
        <w:tc>
          <w:tcPr>
            <w:tcW w:w="6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60" w:type="dxa"/>
            <w:vAlign w:val="bottom"/>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00" w:type="dxa"/>
            <w:vAlign w:val="bottom"/>
            <w:gridSpan w:val="3"/>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10"/>
        </w:trPr>
        <w:tc>
          <w:tcPr>
            <w:tcW w:w="62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560" w:type="dxa"/>
            <w:vAlign w:val="bottom"/>
            <w:tcBorders>
              <w:bottom w:val="single" w:sz="8" w:color="auto"/>
            </w:tcBorders>
            <w:shd w:val="clear" w:color="auto" w:fill="CFF0FC"/>
          </w:tcPr>
          <w:p>
            <w:pPr>
              <w:jc w:val="right"/>
              <w:ind w:right="137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bottom w:val="single" w:sz="8" w:color="CFF0FC"/>
            </w:tcBorders>
            <w:gridSpan w:val="2"/>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-573405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made payments of $3.6 million and $3.4 million during the years ended December 31, 2024 and 2023, respectively, which are included as cash flow from operations on the Consolidated Statements of Cash Flows.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and 2023, $0.6 million and $0.7 million of finance lease ROU assets, respectively, were presented as part of property and equipment on the Consolidated Balance Sheets with accumulated amortization of $0.5 million and $0.4 million,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Additional information related to the Company’s leases was as follows as of December 31:</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5"/>
        </w:trPr>
        <w:tc>
          <w:tcPr>
            <w:tcW w:w="6000" w:type="dxa"/>
            <w:vAlign w:val="bottom"/>
          </w:tcPr>
          <w:p>
            <w:pPr>
              <w:spacing w:after="0"/>
              <w:rPr>
                <w:sz w:val="16"/>
                <w:szCs w:val="16"/>
                <w:color w:val="auto"/>
              </w:rPr>
            </w:pPr>
          </w:p>
        </w:tc>
        <w:tc>
          <w:tcPr>
            <w:tcW w:w="12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2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6"/>
                <w:szCs w:val="16"/>
                <w:color w:val="auto"/>
              </w:rPr>
            </w:pPr>
          </w:p>
        </w:tc>
      </w:tr>
      <w:tr>
        <w:trPr>
          <w:trHeight w:val="21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18"/>
                <w:szCs w:val="18"/>
                <w:color w:val="auto"/>
              </w:rPr>
            </w:pPr>
          </w:p>
        </w:tc>
        <w:tc>
          <w:tcPr>
            <w:tcW w:w="12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tcPr>
          <w:p>
            <w:pPr>
              <w:spacing w:after="0"/>
              <w:rPr>
                <w:sz w:val="18"/>
                <w:szCs w:val="18"/>
                <w:color w:val="auto"/>
              </w:rPr>
            </w:pP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8.90 %</w:t>
            </w:r>
          </w:p>
        </w:tc>
        <w:tc>
          <w:tcPr>
            <w:tcW w:w="1440" w:type="dxa"/>
            <w:vAlign w:val="bottom"/>
            <w:gridSpan w:val="2"/>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7"/>
              </w:rPr>
              <w:t>7.94 %</w:t>
            </w: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FF0FC"/>
          </w:tcPr>
          <w:p>
            <w:pPr>
              <w:spacing w:after="0"/>
              <w:rPr>
                <w:sz w:val="18"/>
                <w:szCs w:val="18"/>
                <w:color w:val="auto"/>
              </w:rPr>
            </w:pPr>
          </w:p>
        </w:tc>
      </w:tr>
      <w:tr>
        <w:trPr>
          <w:trHeight w:val="234"/>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3.59 %</w:t>
            </w:r>
          </w:p>
        </w:tc>
        <w:tc>
          <w:tcPr>
            <w:tcW w:w="14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7"/>
              </w:rPr>
              <w:t>5.57 %</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20, 2020, the Company amended its certificate of incorporation to increase the total shares of common stock authorized for issuance to 12,800,000 and decrease the total shares of preferred stock authorized for issuance to 10,000,000 with a par value of $0.0001 per share. 12,000,000 shares of the common stock were designated as “Voting Common Stock” and 800,000 shares of the common stock were designated as “Non-Voting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8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On June 27, 2024, the Company amended its certificate of incorporation to increase the total shares of voting common stock authorized for issuance from 12,000,000 to 20,000,000.</w:t>
      </w:r>
    </w:p>
    <w:p>
      <w:pPr>
        <w:spacing w:after="0" w:line="54" w:lineRule="exact"/>
        <w:rPr>
          <w:sz w:val="20"/>
          <w:szCs w:val="20"/>
          <w:color w:val="auto"/>
        </w:rPr>
      </w:pPr>
    </w:p>
    <w:p>
      <w:pPr>
        <w:ind w:right="1040" w:firstLine="509"/>
        <w:spacing w:after="0" w:line="407" w:lineRule="auto"/>
        <w:rPr>
          <w:sz w:val="20"/>
          <w:szCs w:val="20"/>
          <w:color w:val="auto"/>
        </w:rPr>
      </w:pPr>
      <w:r>
        <w:rPr>
          <w:rFonts w:ascii="Times New Roman" w:cs="Times New Roman" w:eastAsia="Times New Roman" w:hAnsi="Times New Roman"/>
          <w:sz w:val="18"/>
          <w:szCs w:val="18"/>
          <w:color w:val="auto"/>
        </w:rPr>
        <w:t xml:space="preserve">The holders of shares of voting common stock are entitled to one vote for each share of common stock at all meetings of stockholders. </w:t>
      </w:r>
      <w:r>
        <w:rPr>
          <w:rFonts w:ascii="Times New Roman" w:cs="Times New Roman" w:eastAsia="Times New Roman" w:hAnsi="Times New Roman"/>
          <w:sz w:val="18"/>
          <w:szCs w:val="18"/>
          <w:b w:val="1"/>
          <w:bCs w:val="1"/>
          <w:i w:val="1"/>
          <w:iCs w:val="1"/>
          <w:color w:val="auto"/>
        </w:rPr>
        <w:t>Preferred stock</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2024 and 2023, there were 10,000,000 shares of preferred stock authorized and no preferred stock issued.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Common Warrants and Pre-Funded Warrants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Company completed a private investment in public equity offering and entered into a securities purchase agreement (the Securities Purchase Agreement) with certain institutional and accredited investors, pursuant to which the Company agreed to offer, issue and sell to these investors 1,257,168 shares of common stock, par value $0.0001 per share (the Common Stock), pre-funded warrants to purchase an aggregate of 3,242,018 shares of Common Stock (the Pre-Funded Warrants), and warrants to purchase an aggregate of 2,249,680 shares of Common Stock (the Common Warrants, and together with the Pre-Funded Warrants, the Warrants). Each Pre-Funded Warrant has an exercise price of $0.0025 per share of common stock, was immediately exercisable and is exercisable until exercised in full. Each accompanying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spacing w:after="0" w:line="80"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measured the fair value of the Common Stock and the Pre-Funded Warrants based on the $18.92 per share purchase price stated in the Securities Purchase Agreement. The Company measured the fair value of the Common Warrants using the Black-Scholes option pricing model.</w:t>
      </w:r>
    </w:p>
    <w:p>
      <w:pPr>
        <w:spacing w:after="0" w:line="54"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Company used the with-and-without method to allocate the net proceeds received from the sale of the Common Stock, the Pre-Funded Warrants, and the Common Warrants on the Consolidated Balance Sheets as follows:</w:t>
      </w:r>
    </w:p>
    <w:p>
      <w:pPr>
        <w:spacing w:after="0" w:line="317"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2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As of October 25, 2023</w:t>
            </w: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18,641</w:t>
            </w:r>
          </w:p>
        </w:tc>
        <w:tc>
          <w:tcPr>
            <w:tcW w:w="100" w:type="dxa"/>
            <w:vAlign w:val="bottom"/>
            <w:shd w:val="clear" w:color="auto" w:fill="CFF0FC"/>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900" w:type="dxa"/>
            <w:vAlign w:val="bottom"/>
          </w:tcPr>
          <w:p>
            <w:pPr>
              <w:spacing w:after="0"/>
              <w:rPr>
                <w:sz w:val="18"/>
                <w:szCs w:val="18"/>
                <w:color w:val="auto"/>
              </w:rPr>
            </w:pPr>
          </w:p>
        </w:tc>
        <w:tc>
          <w:tcPr>
            <w:tcW w:w="3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48,079</w:t>
            </w:r>
          </w:p>
        </w:tc>
        <w:tc>
          <w:tcPr>
            <w:tcW w:w="100" w:type="dxa"/>
            <w:vAlign w:val="bottom"/>
          </w:tcPr>
          <w:p>
            <w:pPr>
              <w:spacing w:after="0"/>
              <w:rPr>
                <w:sz w:val="18"/>
                <w:szCs w:val="18"/>
                <w:color w:val="auto"/>
              </w:rPr>
            </w:pPr>
          </w:p>
        </w:tc>
      </w:tr>
      <w:tr>
        <w:trPr>
          <w:trHeight w:val="216"/>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900" w:type="dxa"/>
            <w:vAlign w:val="bottom"/>
            <w:tcBorders>
              <w:bottom w:val="single" w:sz="8" w:color="auto"/>
            </w:tcBorders>
            <w:shd w:val="clear" w:color="auto" w:fill="CFF0FC"/>
          </w:tcPr>
          <w:p>
            <w:pPr>
              <w:spacing w:after="0"/>
              <w:rPr>
                <w:sz w:val="18"/>
                <w:szCs w:val="18"/>
                <w:color w:val="auto"/>
              </w:rPr>
            </w:pPr>
          </w:p>
        </w:tc>
        <w:tc>
          <w:tcPr>
            <w:tcW w:w="3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net proceeds</w:t>
            </w: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92,147</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6760210</wp:posOffset>
            </wp:positionH>
            <wp:positionV relativeFrom="paragraph">
              <wp:posOffset>-153670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Pre-Funded Warrants outstanding at December 31, 2024 and 2023:</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 w:type="dxa"/>
            <w:vAlign w:val="bottom"/>
          </w:tcPr>
          <w:p>
            <w:pPr>
              <w:spacing w:after="0"/>
              <w:rPr>
                <w:sz w:val="15"/>
                <w:szCs w:val="15"/>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Pre-funded warrant shares outstanding</w:t>
            </w:r>
          </w:p>
        </w:tc>
        <w:tc>
          <w:tcPr>
            <w:tcW w:w="25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36"/>
        </w:trPr>
        <w:tc>
          <w:tcPr>
            <w:tcW w:w="520" w:type="dxa"/>
            <w:vAlign w:val="bottom"/>
          </w:tcPr>
          <w:p>
            <w:pPr>
              <w:spacing w:after="0"/>
              <w:rPr>
                <w:sz w:val="20"/>
                <w:szCs w:val="20"/>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360" w:type="dxa"/>
            <w:vAlign w:val="bottom"/>
            <w:shd w:val="clear" w:color="auto" w:fill="CFF0FC"/>
          </w:tcPr>
          <w:p>
            <w:pPr>
              <w:spacing w:after="0"/>
              <w:rPr>
                <w:sz w:val="20"/>
                <w:szCs w:val="20"/>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r>
      <w:tr>
        <w:trPr>
          <w:trHeight w:val="243"/>
        </w:trPr>
        <w:tc>
          <w:tcPr>
            <w:tcW w:w="520" w:type="dxa"/>
            <w:vAlign w:val="bottom"/>
          </w:tcPr>
          <w:p>
            <w:pPr>
              <w:spacing w:after="0"/>
              <w:rPr>
                <w:sz w:val="21"/>
                <w:szCs w:val="21"/>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30"/>
        </w:trPr>
        <w:tc>
          <w:tcPr>
            <w:tcW w:w="5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(800,613 )</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500" w:type="dxa"/>
            <w:vAlign w:val="bottom"/>
          </w:tcPr>
          <w:p>
            <w:pPr>
              <w:spacing w:after="0"/>
              <w:rPr>
                <w:sz w:val="19"/>
                <w:szCs w:val="19"/>
                <w:color w:val="auto"/>
              </w:rPr>
            </w:pPr>
          </w:p>
        </w:tc>
      </w:tr>
      <w:tr>
        <w:trPr>
          <w:trHeight w:val="223"/>
        </w:trPr>
        <w:tc>
          <w:tcPr>
            <w:tcW w:w="520" w:type="dxa"/>
            <w:vAlign w:val="bottom"/>
          </w:tcPr>
          <w:p>
            <w:pPr>
              <w:spacing w:after="0"/>
              <w:rPr>
                <w:sz w:val="19"/>
                <w:szCs w:val="19"/>
                <w:color w:val="auto"/>
              </w:rPr>
            </w:pPr>
          </w:p>
        </w:tc>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360" w:type="dxa"/>
            <w:vAlign w:val="bottom"/>
            <w:tcBorders>
              <w:top w:val="single" w:sz="8" w:color="CFF0FC"/>
            </w:tcBorders>
          </w:tcPr>
          <w:p>
            <w:pPr>
              <w:spacing w:after="0"/>
              <w:rPr>
                <w:sz w:val="19"/>
                <w:szCs w:val="19"/>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100" w:type="dxa"/>
            <w:vAlign w:val="bottom"/>
            <w:tcBorders>
              <w:top w:val="single" w:sz="8" w:color="CFF0FC"/>
            </w:tcBorders>
          </w:tcPr>
          <w:p>
            <w:pPr>
              <w:spacing w:after="0"/>
              <w:rPr>
                <w:sz w:val="19"/>
                <w:szCs w:val="19"/>
                <w:color w:val="auto"/>
              </w:rPr>
            </w:pPr>
          </w:p>
        </w:tc>
        <w:tc>
          <w:tcPr>
            <w:tcW w:w="500" w:type="dxa"/>
            <w:vAlign w:val="bottom"/>
          </w:tcPr>
          <w:p>
            <w:pPr>
              <w:spacing w:after="0"/>
              <w:rPr>
                <w:sz w:val="19"/>
                <w:szCs w:val="19"/>
                <w:color w:val="auto"/>
              </w:rPr>
            </w:pPr>
          </w:p>
        </w:tc>
      </w:tr>
      <w:tr>
        <w:trPr>
          <w:trHeight w:val="237"/>
        </w:trPr>
        <w:tc>
          <w:tcPr>
            <w:tcW w:w="520" w:type="dxa"/>
            <w:vAlign w:val="bottom"/>
          </w:tcPr>
          <w:p>
            <w:pPr>
              <w:spacing w:after="0"/>
              <w:rPr>
                <w:sz w:val="20"/>
                <w:szCs w:val="20"/>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2,441,405</w:t>
            </w:r>
          </w:p>
        </w:tc>
        <w:tc>
          <w:tcPr>
            <w:tcW w:w="360" w:type="dxa"/>
            <w:vAlign w:val="bottom"/>
            <w:shd w:val="clear" w:color="auto" w:fill="CFF0FC"/>
          </w:tcPr>
          <w:p>
            <w:pPr>
              <w:spacing w:after="0"/>
              <w:rPr>
                <w:sz w:val="20"/>
                <w:szCs w:val="20"/>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3,242,018</w:t>
            </w:r>
          </w:p>
        </w:tc>
        <w:tc>
          <w:tcPr>
            <w:tcW w:w="100" w:type="dxa"/>
            <w:vAlign w:val="bottom"/>
            <w:shd w:val="clear" w:color="auto" w:fill="CFF0FC"/>
          </w:tcPr>
          <w:p>
            <w:pPr>
              <w:spacing w:after="0"/>
              <w:rPr>
                <w:sz w:val="20"/>
                <w:szCs w:val="20"/>
                <w:color w:val="auto"/>
              </w:rPr>
            </w:pPr>
          </w:p>
        </w:tc>
        <w:tc>
          <w:tcPr>
            <w:tcW w:w="500" w:type="dxa"/>
            <w:vAlign w:val="bottom"/>
          </w:tcPr>
          <w:p>
            <w:pPr>
              <w:spacing w:after="0"/>
              <w:rPr>
                <w:sz w:val="20"/>
                <w:szCs w:val="20"/>
                <w:color w:val="auto"/>
              </w:rPr>
            </w:pPr>
          </w:p>
        </w:tc>
      </w:tr>
      <w:tr>
        <w:trPr>
          <w:trHeight w:val="864"/>
        </w:trPr>
        <w:tc>
          <w:tcPr>
            <w:tcW w:w="5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560" w:type="dxa"/>
            <w:vAlign w:val="bottom"/>
          </w:tcPr>
          <w:p>
            <w:pPr>
              <w:jc w:val="right"/>
              <w:ind w:right="1853"/>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-1362075</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-1362075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39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activities of the Company’s warrant liability, which represents a recurring measurement that is classified with Level 3 of the fair value hierarchy:</w:t>
      </w:r>
    </w:p>
    <w:p>
      <w:pPr>
        <w:spacing w:after="0" w:line="304"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7"/>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liability as of January 1</w:t>
            </w:r>
          </w:p>
        </w:tc>
        <w:tc>
          <w:tcPr>
            <w:tcW w:w="1480" w:type="dxa"/>
            <w:vAlign w:val="bottom"/>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2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 issued</w:t>
            </w:r>
          </w:p>
        </w:tc>
        <w:tc>
          <w:tcPr>
            <w:tcW w:w="14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25,427</w:t>
            </w:r>
          </w:p>
        </w:tc>
        <w:tc>
          <w:tcPr>
            <w:tcW w:w="100" w:type="dxa"/>
            <w:vAlign w:val="bottom"/>
          </w:tcPr>
          <w:p>
            <w:pPr>
              <w:spacing w:after="0"/>
              <w:rPr>
                <w:sz w:val="21"/>
                <w:szCs w:val="21"/>
                <w:color w:val="auto"/>
              </w:rPr>
            </w:pPr>
          </w:p>
        </w:tc>
      </w:tr>
      <w:tr>
        <w:trPr>
          <w:trHeight w:val="24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 exercised</w:t>
            </w:r>
          </w:p>
        </w:tc>
        <w:tc>
          <w:tcPr>
            <w:tcW w:w="1480" w:type="dxa"/>
            <w:vAlign w:val="bottom"/>
            <w:shd w:val="clear" w:color="auto" w:fill="CFF0FC"/>
          </w:tcPr>
          <w:p>
            <w:pPr>
              <w:spacing w:after="0"/>
              <w:rPr>
                <w:sz w:val="21"/>
                <w:szCs w:val="21"/>
                <w:color w:val="auto"/>
              </w:rPr>
            </w:pPr>
          </w:p>
        </w:tc>
        <w:tc>
          <w:tcPr>
            <w:tcW w:w="1960" w:type="dxa"/>
            <w:vAlign w:val="bottom"/>
            <w:gridSpan w:val="2"/>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(1,361 )</w:t>
            </w:r>
          </w:p>
        </w:tc>
        <w:tc>
          <w:tcPr>
            <w:tcW w:w="4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liability</w:t>
            </w:r>
          </w:p>
        </w:tc>
        <w:tc>
          <w:tcPr>
            <w:tcW w:w="14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46,132</w:t>
            </w:r>
          </w:p>
        </w:tc>
        <w:tc>
          <w:tcPr>
            <w:tcW w:w="1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Ending liability as of December 31</w:t>
            </w:r>
          </w:p>
        </w:tc>
        <w:tc>
          <w:tcPr>
            <w:tcW w:w="1480" w:type="dxa"/>
            <w:vAlign w:val="bottom"/>
            <w:tcBorders>
              <w:bottom w:val="single" w:sz="8" w:color="auto"/>
            </w:tcBorders>
            <w:shd w:val="clear" w:color="auto" w:fill="CFF0FC"/>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72,367</w:t>
            </w:r>
          </w:p>
        </w:tc>
        <w:tc>
          <w:tcPr>
            <w:tcW w:w="1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27,596</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-7620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6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Common Warrants was measured using the Black Scholes option pricing model and will be remeasured each reporting period, and the change in fair value will be recorded in earnings. The assumptions that the Company used to determine the fair value at issuance and the reporting date of the Common Warrants granted to participants were as follows: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20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0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5"/>
                <w:szCs w:val="15"/>
                <w:color w:val="auto"/>
              </w:rPr>
            </w:pPr>
          </w:p>
        </w:tc>
      </w:tr>
      <w:tr>
        <w:trPr>
          <w:trHeight w:val="209"/>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480" w:type="dxa"/>
            <w:vAlign w:val="bottom"/>
            <w:shd w:val="clear" w:color="auto" w:fill="CFF0FC"/>
          </w:tcPr>
          <w:p>
            <w:pPr>
              <w:spacing w:after="0"/>
              <w:rPr>
                <w:sz w:val="18"/>
                <w:szCs w:val="18"/>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FF0FC"/>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4.43 %</w:t>
            </w:r>
          </w:p>
        </w:tc>
        <w:tc>
          <w:tcPr>
            <w:tcW w:w="2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3.88 %</w:t>
            </w:r>
          </w:p>
        </w:tc>
      </w:tr>
      <w:tr>
        <w:trPr>
          <w:trHeight w:val="216"/>
        </w:trPr>
        <w:tc>
          <w:tcPr>
            <w:tcW w:w="62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r>
      <w:tr>
        <w:trPr>
          <w:trHeight w:val="234"/>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84.62 %</w:t>
            </w:r>
          </w:p>
        </w:tc>
        <w:tc>
          <w:tcPr>
            <w:tcW w:w="2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82.80 %</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summarizes information about shares issuable under the Common Warrants outstanding at December 31, 2024 and 2023:</w:t>
      </w:r>
    </w:p>
    <w:p>
      <w:pPr>
        <w:spacing w:after="0" w:line="38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warrant shares outstanding</w:t>
            </w:r>
          </w:p>
        </w:tc>
        <w:tc>
          <w:tcPr>
            <w:tcW w:w="25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5"/>
                <w:szCs w:val="15"/>
                <w:color w:val="auto"/>
              </w:rPr>
            </w:pPr>
          </w:p>
        </w:tc>
        <w:tc>
          <w:tcPr>
            <w:tcW w:w="258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3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360" w:type="dxa"/>
            <w:vAlign w:val="bottom"/>
            <w:shd w:val="clear" w:color="auto" w:fill="CFF0FC"/>
          </w:tcPr>
          <w:p>
            <w:pPr>
              <w:spacing w:after="0"/>
              <w:rPr>
                <w:sz w:val="20"/>
                <w:szCs w:val="20"/>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4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100" w:type="dxa"/>
            <w:vAlign w:val="bottom"/>
          </w:tcPr>
          <w:p>
            <w:pPr>
              <w:spacing w:after="0"/>
              <w:rPr>
                <w:sz w:val="21"/>
                <w:szCs w:val="21"/>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29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(48,822 )</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r>
      <w:tr>
        <w:trPr>
          <w:trHeight w:val="223"/>
        </w:trPr>
        <w:tc>
          <w:tcPr>
            <w:tcW w:w="4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December 31</w:t>
            </w:r>
          </w:p>
        </w:tc>
        <w:tc>
          <w:tcPr>
            <w:tcW w:w="2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360" w:type="dxa"/>
            <w:vAlign w:val="bottom"/>
            <w:tcBorders>
              <w:top w:val="single" w:sz="8" w:color="CFF0FC"/>
            </w:tcBorders>
          </w:tcPr>
          <w:p>
            <w:pPr>
              <w:spacing w:after="0"/>
              <w:rPr>
                <w:sz w:val="19"/>
                <w:szCs w:val="19"/>
                <w:color w:val="auto"/>
              </w:rPr>
            </w:pPr>
          </w:p>
        </w:tc>
        <w:tc>
          <w:tcPr>
            <w:tcW w:w="2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100" w:type="dxa"/>
            <w:vAlign w:val="bottom"/>
            <w:tcBorders>
              <w:top w:val="single" w:sz="8" w:color="CFF0FC"/>
            </w:tcBorders>
          </w:tcPr>
          <w:p>
            <w:pPr>
              <w:spacing w:after="0"/>
              <w:rPr>
                <w:sz w:val="19"/>
                <w:szCs w:val="19"/>
                <w:color w:val="auto"/>
              </w:rPr>
            </w:pPr>
          </w:p>
        </w:tc>
      </w:tr>
      <w:tr>
        <w:trPr>
          <w:trHeight w:val="237"/>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December 31</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2,200,858</w:t>
            </w:r>
          </w:p>
        </w:tc>
        <w:tc>
          <w:tcPr>
            <w:tcW w:w="360" w:type="dxa"/>
            <w:vAlign w:val="bottom"/>
            <w:shd w:val="clear" w:color="auto" w:fill="CFF0FC"/>
          </w:tcPr>
          <w:p>
            <w:pPr>
              <w:spacing w:after="0"/>
              <w:rPr>
                <w:sz w:val="20"/>
                <w:szCs w:val="20"/>
                <w:color w:val="auto"/>
              </w:rPr>
            </w:pP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2,249,680</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-316865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-316865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Following the Company's IPO in October 2020, the remaining shares from the 2018 Equity Incentive Plan (the 2018 Plan) were made available for issuance under the 2020 Incentive Award Plan (the 2020 Plan). As of December 31, 2024, there are 58,023 options outstanding under the 2018 Plan and the Company had granted 131,086 options to employees under the 2018 Plan.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Incentive award plan</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Company adopted the 2020 Plan effective October 15, 2020. The 2020 Plan provides for a variety of stock-based compensation awards, including stock options, stock appreciation rights, or SARs, restricted stock awards, restricted stock unit awards, performance bonus awards, performance stock unit awards, dividend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8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equivalents, or other stock or cash-based awards. The Company has granted 778,025 shares subject to awards as of December 31, 2024 with 116,859 remaining available for future grant.</w:t>
      </w:r>
    </w:p>
    <w:p>
      <w:pPr>
        <w:spacing w:after="0" w:line="54"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Following the effectiveness of the 2020 Plan, the Company will not make any further grants under the 2018 Plan. However, the 2018 Plan will continue to govern the terms and conditions of the outstanding awards granted under this plan. Shares of common stock subject to awards granted under the 2018 Plan that are forfeited or lapse unexercised and which following the effective date of the 2020 Plan are not issued under the 2018 Plan will be available for issuance under the 2020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Employment inducement award plan</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adopted the 2024 Employment Inducement Award Plan (the 2024 Plan) in September 2024 as an inducement material to entering employment in accordance with Nasdaq Listing Rule 5635(c)(4). The 2024 Plan is used exclusively for the grant of equity awards to individuals who were not previously employed by the Company. The 2024 Plan provides for issuance of non-qualified stock options only. The Company has granted 104,000 shares subject to awards as of December 31, 2024 with 496,000 remaining available for future grant.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adopted the 2020 Employee Stock Purchase Plan (the 2020 ESPP) effective on October 15, 2020. The 2020 ESPP enables eligible employees of the Company to purchase shares of common stock at a discount to fair market value. The Company has initially reserved for issuance 14,756 shares of common stock pursuant to the 2020 ESPP. As of December 31, 2024, 72,561 grants of awards under this plan have been made.</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Company's 2020 ESPP compensation expense was $0.5 million and $0.9 million, respectively. The assumptions that the Company used to determine the grant-date fair value of shares granted to participants were as follows, disclosed on a grant date basis:</w:t>
      </w:r>
    </w:p>
    <w:p>
      <w:pPr>
        <w:spacing w:after="0" w:line="331"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7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34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7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0.5 - 2.0 years</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0.5 - 2.0 years</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- 5.38%</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 - 5.38%</w:t>
            </w:r>
          </w:p>
        </w:tc>
        <w:tc>
          <w:tcPr>
            <w:tcW w:w="10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 - 73.67%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50.36% - 64.26%</w:t>
            </w:r>
          </w:p>
        </w:tc>
        <w:tc>
          <w:tcPr>
            <w:tcW w:w="100" w:type="dxa"/>
            <w:vAlign w:val="bottom"/>
          </w:tcPr>
          <w:p>
            <w:pPr>
              <w:spacing w:after="0"/>
              <w:rPr>
                <w:sz w:val="18"/>
                <w:szCs w:val="18"/>
                <w:color w:val="auto"/>
              </w:rPr>
            </w:pPr>
          </w:p>
        </w:tc>
      </w:tr>
      <w:tr>
        <w:trPr>
          <w:trHeight w:val="216"/>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estimated fair value of purchase rights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 $15.14</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$4.00 - $60.68</w:t>
            </w:r>
          </w:p>
        </w:tc>
        <w:tc>
          <w:tcPr>
            <w:tcW w:w="1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exercise price for incentive stock options is at least 100% of the fair market value on the date of grant for stockholders owning less than 10% of the voting power of all classes of stock, or at least 110% of the fair market value for stockholders owning more than 10% of the voting power of all classes of stock. Options generally expire in 10 years and vest over periods determined by the Board, generally 48 months. Certain stock options referred to as “early exercise stock options” permit the holders to exercise the option in whole or in part prior to the full vesting of the option in exchange for unvested shares of Restricted Stock with respect to any unvested portion of the option so exercised.</w:t>
      </w:r>
    </w:p>
    <w:p>
      <w:pPr>
        <w:spacing w:after="0" w:line="7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December 31, 2023, the Company’s stock option compensation expense was approximately $7.9 million and $11.8 million, respectively, and there was no recognized tax benefit in either year. As of December 31, 2024, unrecognized stock-based compensation expense related to stock options was $5.9 million, to be recognized over a weighted-average period of 2.63 years.</w:t>
      </w:r>
    </w:p>
    <w:p>
      <w:pPr>
        <w:spacing w:after="0" w:line="6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Participants were as follows, presented on a weighted-average basis: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3.98 %</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87.35 %</w:t>
            </w: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76.65 %</w:t>
            </w:r>
          </w:p>
        </w:tc>
        <w:tc>
          <w:tcPr>
            <w:tcW w:w="0" w:type="dxa"/>
            <w:vAlign w:val="bottom"/>
          </w:tcPr>
          <w:p>
            <w:pPr>
              <w:spacing w:after="0"/>
              <w:rPr>
                <w:sz w:val="1"/>
                <w:szCs w:val="1"/>
                <w:color w:val="auto"/>
              </w:rPr>
            </w:pPr>
          </w:p>
        </w:tc>
      </w:tr>
      <w:tr>
        <w:trPr>
          <w:trHeight w:val="500"/>
        </w:trPr>
        <w:tc>
          <w:tcPr>
            <w:tcW w:w="7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 option activity during the year ended December 31, 2024 and 2023 was as follows:</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80" w:type="dxa"/>
            <w:vAlign w:val="bottom"/>
          </w:tcPr>
          <w:p>
            <w:pPr>
              <w:spacing w:after="0"/>
              <w:rPr>
                <w:sz w:val="12"/>
                <w:szCs w:val="12"/>
                <w:color w:val="auto"/>
              </w:rPr>
            </w:pPr>
          </w:p>
        </w:tc>
        <w:tc>
          <w:tcPr>
            <w:tcW w:w="10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 options</w:t>
            </w:r>
          </w:p>
        </w:tc>
        <w:tc>
          <w:tcPr>
            <w:tcW w:w="180" w:type="dxa"/>
            <w:vAlign w:val="bottom"/>
          </w:tcPr>
          <w:p>
            <w:pPr>
              <w:spacing w:after="0"/>
              <w:rPr>
                <w:sz w:val="15"/>
                <w:szCs w:val="15"/>
                <w:color w:val="auto"/>
              </w:rPr>
            </w:pPr>
          </w:p>
        </w:tc>
        <w:tc>
          <w:tcPr>
            <w:tcW w:w="10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414,898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359,135</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tcBorders>
              <w:top w:val="single" w:sz="8" w:color="CFF0FC"/>
            </w:tcBorders>
          </w:tcPr>
          <w:p>
            <w:pPr>
              <w:spacing w:after="0"/>
              <w:rPr>
                <w:sz w:val="18"/>
                <w:szCs w:val="18"/>
                <w:color w:val="auto"/>
              </w:rPr>
            </w:pPr>
          </w:p>
        </w:tc>
        <w:tc>
          <w:tcPr>
            <w:tcW w:w="52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Replacement options from Exchange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76,147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(67,340 )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Cancelled options from Exchange</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(155,155 )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260.63</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627,685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627,685</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172,072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4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-1130935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-1130935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-290830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-290830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was $12.88 per share during the year ended December 31, 2024. The weighted-average grant date fair value of stock options granted was $20.67 per share during the year ended December 31, 2023. The total intrinsic value of stock options exercised during the years ended December 31, 2024 and 2023 were not material.</w:t>
      </w:r>
    </w:p>
    <w:p>
      <w:pPr>
        <w:spacing w:after="0" w:line="5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did not issue shares for unvested stock options. As of December 31, 2024 and 2023, there were no shares of Common Stock held by employees subject to repurchase.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may grant restricted stock purchase awards to the Participants to purchase restricted stock under the Company’s Plan, which are subject to vesting conditions. The purchase prices of the restricted stock are determined by the Board. The Company has a right to repurchase the shares if the Participant’s service period is not fulfilled or upon termination of service at the original per share issuance price. The right of repurchase lapses over a service period which is typically four years with 25% vesting on the first anniversary of the vesting commencement date and 1/48 each month thereafter.</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Before the adoption of the Company’s Plan, the Company granted 20,118 restricted stock awards to employees and founders. These restricted stock awards have similar characteristics to the restricted stock awards granted under the Company’s Plan, other than the right of repurchase, which typically lapses over three years with 33% vesting on the first anniversary of the vesting commencement date and 1/36 each month thereafter.</w:t>
      </w:r>
    </w:p>
    <w:p>
      <w:pPr>
        <w:spacing w:after="0" w:line="6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2024 and 2023, the Company recorded a total stock-based compensation expense of $73.0 thousand and $31.0 thousand, respectively, related to the restricted stock awards. During the years ended December 31, 2024 and 2023, total fair value of restricted stock awards vested was $0.1 million and zero, respectively. The number of restricted stock awards vested includes shares of common stock that the Company withheld on behalf of employees or sold to cover to satisfy the minimum statutory tax withholding requirements. As of December 31, 2024, there was $0.1 million unrecognized stock-based compensation costs related to outstanding unvested restricted stock awards that are expected to vest over 3.27 years.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activity for years ended December 31, 2024 and 2023:</w:t>
      </w:r>
    </w:p>
    <w:p>
      <w:pPr>
        <w:spacing w:after="0" w:line="31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of Awards</w:t>
            </w:r>
          </w:p>
        </w:tc>
        <w:tc>
          <w:tcPr>
            <w:tcW w:w="180" w:type="dxa"/>
            <w:vAlign w:val="bottom"/>
          </w:tcPr>
          <w:p>
            <w:pPr>
              <w:spacing w:after="0"/>
              <w:rPr>
                <w:sz w:val="15"/>
                <w:szCs w:val="15"/>
                <w:color w:val="auto"/>
              </w:rPr>
            </w:pPr>
          </w:p>
        </w:tc>
        <w:tc>
          <w:tcPr>
            <w:tcW w:w="10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and unvested as of December 31, 2023</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released</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(4,874 )</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0"/>
        </w:trPr>
        <w:tc>
          <w:tcPr>
            <w:tcW w:w="598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Issued and unvested as of December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-436245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-436245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-153670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-153670</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 for the years ended December 31, 2024 and December 31, 2023:</w:t>
      </w:r>
    </w:p>
    <w:p>
      <w:pPr>
        <w:spacing w:after="0" w:line="313"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616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160" w:type="dxa"/>
            <w:vAlign w:val="bottom"/>
          </w:tcPr>
          <w:p>
            <w:pPr>
              <w:spacing w:after="0"/>
              <w:rPr>
                <w:sz w:val="17"/>
                <w:szCs w:val="17"/>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0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80" w:type="dxa"/>
            <w:vAlign w:val="bottom"/>
          </w:tcPr>
          <w:p>
            <w:pPr>
              <w:spacing w:after="0"/>
              <w:rPr>
                <w:sz w:val="18"/>
                <w:szCs w:val="18"/>
                <w:color w:val="auto"/>
              </w:rPr>
            </w:pPr>
          </w:p>
        </w:tc>
      </w:tr>
      <w:tr>
        <w:trPr>
          <w:trHeight w:val="250"/>
        </w:trPr>
        <w:tc>
          <w:tcPr>
            <w:tcW w:w="61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-24765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-24765</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-7620</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257"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jc w:val="right"/>
        <w:ind w:right="1940"/>
        <w:spacing w:after="0"/>
        <w:rPr>
          <w:sz w:val="20"/>
          <w:szCs w:val="20"/>
          <w:color w:val="auto"/>
        </w:rPr>
      </w:pPr>
      <w:r>
        <w:rPr>
          <w:rFonts w:ascii="Times New Roman" w:cs="Times New Roman" w:eastAsia="Times New Roman" w:hAnsi="Times New Roman"/>
          <w:sz w:val="14"/>
          <w:szCs w:val="14"/>
          <w:b w:val="1"/>
          <w:bCs w:val="1"/>
          <w:color w:val="auto"/>
        </w:rPr>
        <w:t>as of December 31, 2024</w:t>
      </w:r>
    </w:p>
    <w:tbl>
      <w:tblPr>
        <w:tblLayout w:type="fixed"/>
        <w:tblInd w:w="1140" w:type="dxa"/>
        <w:tblCellMar>
          <w:top w:w="0" w:type="dxa"/>
          <w:left w:w="0" w:type="dxa"/>
          <w:bottom w:w="0" w:type="dxa"/>
          <w:right w:w="0" w:type="dxa"/>
        </w:tblCellMar>
      </w:tblPr>
      <w:tr>
        <w:trPr>
          <w:trHeight w:val="142"/>
        </w:trPr>
        <w:tc>
          <w:tcPr>
            <w:tcW w:w="5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(72,367 )</w:t>
            </w:r>
          </w:p>
        </w:tc>
      </w:tr>
      <w:tr>
        <w:trPr>
          <w:trHeight w:val="20"/>
        </w:trPr>
        <w:tc>
          <w:tcPr>
            <w:tcW w:w="5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56,939</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(72,367 )</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0"/>
        </w:trPr>
        <w:tc>
          <w:tcPr>
            <w:tcW w:w="5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6"/>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r>
      <w:tr>
        <w:trPr>
          <w:trHeight w:val="209"/>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(27,596 )</w:t>
            </w:r>
          </w:p>
        </w:tc>
      </w:tr>
      <w:tr>
        <w:trPr>
          <w:trHeight w:val="20"/>
        </w:trPr>
        <w:tc>
          <w:tcPr>
            <w:tcW w:w="5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(27,596 )</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-1327785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-1327785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-1327785</wp:posOffset>
            </wp:positionV>
            <wp:extent cx="596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51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514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Merck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December 2020, the Company and Merck Sharp &amp; Dohme Corp. (Merck), a subsidiary of Merck &amp; Co., Inc., entered into an exclusive License and Research Collaboration Agreement (Original Agreement) under which Merck and the Company agreed to apply the Company’s oligonucleotide platform technology to discover, research,</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29" w:name="page130"/>
    <w:bookmarkEnd w:id="129"/>
    <w:p>
      <w:pPr>
        <w:spacing w:after="0" w:line="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optimize and develop oligonucleotides directed against a MASH target and up to one additional liver-targeted cardiometabolic and/or fibrosis target. Under the terms of the Original Agreement, the Company received an upfront payment of $12 million from Merck. With respect to the collaboration target, the Company is eligible to receive up to $458.0 million in development and commercialization milestones as well as tiered royalties on net sales of licensed products.</w:t>
      </w:r>
    </w:p>
    <w:p>
      <w:pPr>
        <w:spacing w:after="0" w:line="7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January 2022, the Company and Merck entered into an amendment to the exclusive License and Research Collaboration Agreement (the First Amendment, together with the Original Agreement, the Expanded Arrangement). As a result of the First Amendment, our collaboration with Merck was expanded to include our grant of rights to Merck of an early-stage program with respect to a second undisclosed MASH target, on which the Company had previously been working independently. In addition, under this Expanded Arrangement, Merck has the ability to add an additional third target of interest in the cardiometabolic/fibrosis space to the collaboration. This right to add an additional third target expired in January 2023. Under the Expanded Arrangement, the Company received an upfront payment of $15 million from Merck for our grant of rights to the program directed at a second undisclosed MASH target. Moreover, the Company may receive an additional payment of $15 million from Merck if Merck elects to designate a third target for collaboration. With respect to the second target in the collaboration, the Company is eligible to receive up to approximately $460.0 million in development and commercialization milestones as well as tiered royalties on net sales.</w:t>
      </w:r>
    </w:p>
    <w:p>
      <w:pPr>
        <w:spacing w:after="0" w:line="8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February 2023 and May 2024, Merck provided us written notice of termination for both of the targets in the collaboration. There was no effect on the income statements as a result as all deferred revenue had been fully recognized prior to the termination notice provided.</w:t>
      </w:r>
    </w:p>
    <w:p>
      <w:pPr>
        <w:spacing w:after="0" w:line="54" w:lineRule="exact"/>
        <w:rPr>
          <w:sz w:val="20"/>
          <w:szCs w:val="20"/>
          <w:color w:val="auto"/>
        </w:rPr>
      </w:pPr>
    </w:p>
    <w:p>
      <w:pPr>
        <w:jc w:val="both"/>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Company determined that the Original Agreement and First Amendment fall within the scope of ASC 808, Collaborative Arrangements (ASC 808), due to Merck and the Company being joint active participants, as well as both parties having significant risks and rewards. The Company analogized to ASC 606, Revenue from Contracts with Customers (ASC 606), for the accounting of payments including upfront payments and other milestones.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Management of the Company determined that there was one performance obligation for each of the agreements given the deliverables are not distinct. The Company evaluated the performance obligation within each agreement and determined the performance obligations are satisfied over time as Merck jointly owns any collaboration intellectual property that is developed during the research term. Given the nature of the arrangements, the Company believes that the satisfaction of its performance obligations is best measured by the progress of its efforts. As such, the Company has used an input method based on costs incurred to recognize revenue associated with the upfront payments. This assessment is performed separately for each of the Original Agreement and the First Amendment,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milestones is remote, and therefore determined to be constrained and excluded from the transaction price.</w:t>
      </w:r>
    </w:p>
    <w:p>
      <w:pPr>
        <w:spacing w:after="0" w:line="86" w:lineRule="exact"/>
        <w:rPr>
          <w:sz w:val="20"/>
          <w:szCs w:val="20"/>
          <w:color w:val="auto"/>
        </w:rPr>
      </w:pPr>
    </w:p>
    <w:p>
      <w:pPr>
        <w:ind w:right="400" w:firstLine="509"/>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2024 and 2023, the Company recognized $0.3 million and $9.3 million in revenue from collaborative arrangements related to upfront payments. During the twelve months ended December 31, 2024 and 2023, the Company recognized no revenue from collaborative arrangements related to milestone payments. The unrecognized portion of the upfront payments received during the twelve months ended December 31, 2024 and 2023 is recorded on the Consolidated Balance Sheets as “Deferred revenue, current”.</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collaborative arrangements during the periods below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8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1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4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from collaborations as of January 1</w:t>
            </w:r>
          </w:p>
        </w:tc>
        <w:tc>
          <w:tcPr>
            <w:tcW w:w="3800" w:type="dxa"/>
            <w:vAlign w:val="bottom"/>
            <w:gridSpan w:val="2"/>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Pr>
          <w:p>
            <w:pPr>
              <w:spacing w:after="0"/>
              <w:rPr>
                <w:sz w:val="24"/>
                <w:szCs w:val="24"/>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27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FF0FC"/>
          </w:tcPr>
          <w:p>
            <w:pPr>
              <w:spacing w:after="0"/>
              <w:rPr>
                <w:sz w:val="18"/>
                <w:szCs w:val="18"/>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collaborations recognized in the period</w:t>
            </w:r>
          </w:p>
        </w:tc>
        <w:tc>
          <w:tcPr>
            <w:tcW w:w="2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(334 )</w:t>
            </w: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(9,338 )</w:t>
            </w:r>
          </w:p>
        </w:tc>
      </w:tr>
      <w:tr>
        <w:trPr>
          <w:trHeight w:val="250"/>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from collaborations as of December 31</w:t>
            </w:r>
          </w:p>
        </w:tc>
        <w:tc>
          <w:tcPr>
            <w:tcW w:w="27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844"/>
        </w:trPr>
        <w:tc>
          <w:tcPr>
            <w:tcW w:w="4820" w:type="dxa"/>
            <w:vAlign w:val="bottom"/>
          </w:tcPr>
          <w:p>
            <w:pPr>
              <w:spacing w:after="0"/>
              <w:rPr>
                <w:sz w:val="24"/>
                <w:szCs w:val="24"/>
                <w:color w:val="auto"/>
              </w:rPr>
            </w:pPr>
          </w:p>
        </w:tc>
        <w:tc>
          <w:tcPr>
            <w:tcW w:w="270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124</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-1070610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-1053465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Emory University (Emory)</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spacing w:after="0" w:line="8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In connection with the research plan, the Company will provide Emory funding up to $0.3 million per year.</w:t>
      </w:r>
    </w:p>
    <w:p>
      <w:pPr>
        <w:spacing w:after="0" w:line="8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agreed to pay Emory up to an aggregate of $125.0 million upon the achievement of specified development, regulatory, and commercial milestones, and all ongoing patent costs.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span a range of percentage rates within the mid-single digits if a Phase 1 clinical trial is initiated for the product within three years of the effective date of the Emory License Agreement, and range from a low-single digit to a mid-single digit rate if a Phase 1 clinical trial is initiated more than three years after the effective date.</w:t>
      </w:r>
    </w:p>
    <w:p>
      <w:pPr>
        <w:spacing w:after="0" w:line="8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2024 and 2023, the Company had no expenses related to milestone payments. During the twelve months ended December 31, 2024 and 2023, the Company made no payments associated with royalties but did recognize general expenses of $0.1 million and $0.4 million,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Luxna Biotech Co., Ltd. (Luxna)</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 December 19, 2018, the Company entered into a license agreement with Luxna, pursuant to which Luxna granted the Company an exclusive, worldwide, sublicensable license under certain of Luxna’s intellectual property rights to research, develop make, have made and commercialize for all therapeutic and prophylactic uses, (i) products containing oligonucleotides targeting the hepatitis B virus genome, (ii) products containing certain oligonucleotides targeting up to three genes which contribute to MASH, which the Company may select at any time during the first eight years of the term, to the extent not licensed to a third party, and (iii) products containing oligonucleotides targeting up to three genes which contribute to hepatocellular carcinoma, which the Company may select at any time during the first three years of the term, which expired in December 2021. As consideration for this agreement, the Company paid an upfront license fee of $0.6 million.</w:t>
      </w:r>
    </w:p>
    <w:p>
      <w:pPr>
        <w:spacing w:after="0" w:line="8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April 2020, the Company amended the license agreement with Luxna. Pursuant to the amended license agreement, Luxna granted the Company an exclusive, worldwide license under the licensed patents to research, develop, make, have made and commercialize products containing oligonucleotides targeting three families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8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viruses: Orthomyxoviridae, Paramyxoviridae, and Coronaviridae (a family which includes SARS-CoV-2). As consideration for the amended license agreement, the Company paid Luxna a one-time non-refundable fee of $0.2 million in April 2020. The Company is obligated to make payments to Luxna, in aggregate, totaling up to but no more than $55.5 million upon the achievement of specified development, regulatory, and commercial milestones.</w:t>
      </w:r>
    </w:p>
    <w:p>
      <w:pPr>
        <w:spacing w:after="0" w:line="5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recognized no expenses related to milestone payments. The Company is also required to pay Luxna a low-single digit royalty percentage on net sale of applicable products, if any. During the twelve months ended December 31, 2024 and 2023, the Company made no payments associated with royalties.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Katholieke Universiteit Leuven (KU Leuven)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June 25, 2020, the Company entered into a Research, Licensing and Commercialization Agreement (KU Leuven Agreement) with KU Leuven, under which the Company is collaborating with KU Leuven’s Rega Institute for Medical Research, as well as its CD3, to research and develop potential protease inhibitors for the treatment, diagnosis or prevention of coronaviruses, including of SARS-CoV-2. Unless terminated earlier by either party in accordance with provisions in the agreement, the collaboration period will terminate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has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percentage, subject to certain adjustments, on net sales of applicable products, if any. The Company is also required to pay a share of upfront transaction consideration received to KU Leuven should the program be partnered with an external party. Unless terminated earlier by either party, the agreement shall continue until the expiration of the last to expire royalty term, which is the later of the expiration or termination of the last valid patent claim covering the manufacture, use, sale or importation of the licensed product in a particular country or 10 years after the first commercial sale of a licensed product.</w:t>
      </w:r>
    </w:p>
    <w:p>
      <w:pPr>
        <w:spacing w:after="0" w:line="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recognized and paid $2.0 million related to milestone payments due to the first dosing of the first patient in a Phase 1 clinical trial. No milestone payments were made in the year ended December 31,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with Amoytop</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May 2023, the Company and Amoytop Biotech Co., Ltd (Amoytop) entered into an exclusive Development Agreement and Research Collaboration Agreement with a focus on nucleic acid technology for HBV treatment, with the Company granting to Amoytop an exclusive option to enter into an exclusive license to develop and commercialize such compounds. Under the terms of the agreement, the Company received an upfront payment of $7.0 million, less withholding taxes of $1.1 million from Amoytop. With respect to the agreement, the Company will be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2" w:name="page133"/>
    <w:bookmarkEnd w:id="132"/>
    <w:p>
      <w:pPr>
        <w:spacing w:after="0" w:line="86"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Amoytop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with ADCT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determined that the ADC Therapeutics (ADCT) agreement falls within the scope of ASC 606. The agreement did not fall under the ASC 808 guidance due to ADCT and the Company not being joint active participants, nor both parties having significant risks and rewards. Management of the Company determined that there was one performance obligation for the agreements given the deliverables are not distinct. The Company evaluated the performance obligation and determined the performance obligations are satisfied over time. Given the nature of the arrangement, the Company believes that the satisfaction of its performance obligations is best measured by the progress of its efforts.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milestones is remote, and therefore determined to be constrained and excluded from the transaction price.</w:t>
      </w:r>
    </w:p>
    <w:p>
      <w:pPr>
        <w:spacing w:after="0" w:line="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2024 and 2023, the Company recognized $3.6 million and $6.2 million, respectively, in revenue from customers related to upfront payments. During the twelve months ended December 31, 2024 and 2023, the Company recognized no revenue from customers related to milestone payments. The unrecognized portion of the upfront payments received during the twelve months ended December 31, 2024 and 2023 is recorded on the Consolidated Balance Sheets as “Deferred revenue from customers”.</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Changes in deferred revenue balances arose as a result of the Company recognizing the following revenue from customers during the periods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520" w:type="dxa"/>
            <w:vAlign w:val="bottom"/>
          </w:tcPr>
          <w:p>
            <w:pPr>
              <w:spacing w:after="0"/>
              <w:rPr>
                <w:sz w:val="17"/>
                <w:szCs w:val="17"/>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7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 from customers as of January 1</w:t>
            </w:r>
          </w:p>
        </w:tc>
        <w:tc>
          <w:tcPr>
            <w:tcW w:w="1100" w:type="dxa"/>
            <w:vAlign w:val="bottom"/>
            <w:shd w:val="clear" w:color="auto" w:fill="CFF0FC"/>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3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in the period</w:t>
            </w:r>
          </w:p>
        </w:tc>
        <w:tc>
          <w:tcPr>
            <w:tcW w:w="1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customers recognized in the period</w:t>
            </w:r>
          </w:p>
        </w:tc>
        <w:tc>
          <w:tcPr>
            <w:tcW w:w="1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(3,611 )</w:t>
            </w: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(6,191 )</w:t>
            </w:r>
          </w:p>
        </w:tc>
      </w:tr>
      <w:tr>
        <w:trPr>
          <w:trHeight w:val="210"/>
        </w:trPr>
        <w:tc>
          <w:tcPr>
            <w:tcW w:w="7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revenue from customers as of December 31</w:t>
            </w: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Borders>
              <w:top w:val="single" w:sz="8" w:color="CFF0FC"/>
            </w:tcBorders>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current provision for income taxes were as follows for the years ended December 31, 2024 and 2023:</w:t>
      </w:r>
    </w:p>
    <w:p>
      <w:pPr>
        <w:spacing w:after="0" w:line="243"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600" w:type="dxa"/>
            <w:vAlign w:val="bottom"/>
            <w:tcBorders>
              <w:bottom w:val="single" w:sz="8" w:color="CFF0FC"/>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18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r>
      <w:tr>
        <w:trPr>
          <w:trHeight w:val="210"/>
        </w:trPr>
        <w:tc>
          <w:tcPr>
            <w:tcW w:w="4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1800" w:type="dxa"/>
            <w:vAlign w:val="bottom"/>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3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FF0FC"/>
          </w:tcPr>
          <w:p>
            <w:pPr>
              <w:spacing w:after="0"/>
              <w:rPr>
                <w:sz w:val="18"/>
                <w:szCs w:val="18"/>
                <w:color w:val="auto"/>
              </w:rPr>
            </w:pPr>
          </w:p>
        </w:tc>
      </w:tr>
      <w:tr>
        <w:trPr>
          <w:trHeight w:val="209"/>
        </w:trPr>
        <w:tc>
          <w:tcPr>
            <w:tcW w:w="4600" w:type="dxa"/>
            <w:vAlign w:val="bottom"/>
            <w:tcBorders>
              <w:top w:val="single" w:sz="8" w:color="CFF0FC"/>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18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180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18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deferred provision for income taxes</w:t>
            </w:r>
          </w:p>
        </w:tc>
        <w:tc>
          <w:tcPr>
            <w:tcW w:w="1800" w:type="dxa"/>
            <w:vAlign w:val="bottom"/>
            <w:shd w:val="clear" w:color="auto" w:fill="CFF0FC"/>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-1687830</wp:posOffset>
            </wp:positionV>
            <wp:extent cx="5969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-1687830</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-847725</wp:posOffset>
            </wp:positionV>
            <wp:extent cx="596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-847725</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have any deferred provision for income taxes for the years ended December 31, 2024 and 2023.</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computed using the federal statutory income tax rate to the Company’s effective income tax rate is as follows for the years ended December 31, 2024 and 2023:</w:t>
      </w:r>
    </w:p>
    <w:p>
      <w:pPr>
        <w:spacing w:after="0" w:line="158"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9"/>
        </w:trPr>
        <w:tc>
          <w:tcPr>
            <w:tcW w:w="4620" w:type="dxa"/>
            <w:vAlign w:val="bottom"/>
          </w:tcPr>
          <w:p>
            <w:pPr>
              <w:spacing w:after="0"/>
              <w:rPr>
                <w:sz w:val="18"/>
                <w:szCs w:val="18"/>
                <w:color w:val="auto"/>
              </w:rPr>
            </w:pPr>
          </w:p>
        </w:tc>
        <w:tc>
          <w:tcPr>
            <w:tcW w:w="256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21.00%</w:t>
            </w:r>
          </w:p>
        </w:tc>
        <w:tc>
          <w:tcPr>
            <w:tcW w:w="3040" w:type="dxa"/>
            <w:vAlign w:val="bottom"/>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4.49%</w:t>
            </w:r>
          </w:p>
        </w:tc>
        <w:tc>
          <w:tcPr>
            <w:tcW w:w="304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8"/>
              </w:rPr>
              <w:t>6.71%</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tax credits</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0.79%</w:t>
            </w:r>
          </w:p>
        </w:tc>
        <w:tc>
          <w:tcPr>
            <w:tcW w:w="3040" w:type="dxa"/>
            <w:vAlign w:val="bottom"/>
            <w:gridSpan w:val="2"/>
            <w:shd w:val="clear" w:color="auto" w:fill="CFF0FC"/>
          </w:tcPr>
          <w:p>
            <w:pPr>
              <w:jc w:val="center"/>
              <w:ind w:left="610"/>
              <w:spacing w:after="0"/>
              <w:rPr>
                <w:sz w:val="20"/>
                <w:szCs w:val="20"/>
                <w:color w:val="auto"/>
              </w:rPr>
            </w:pPr>
            <w:r>
              <w:rPr>
                <w:rFonts w:ascii="Times New Roman" w:cs="Times New Roman" w:eastAsia="Times New Roman" w:hAnsi="Times New Roman"/>
                <w:sz w:val="18"/>
                <w:szCs w:val="18"/>
                <w:color w:val="auto"/>
                <w:w w:val="98"/>
              </w:rPr>
              <w:t>6.35%</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-17.04%</w:t>
            </w:r>
          </w:p>
        </w:tc>
        <w:tc>
          <w:tcPr>
            <w:tcW w:w="3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rPr>
              <w:t>86.68%</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-1.92%</w:t>
            </w:r>
          </w:p>
        </w:tc>
        <w:tc>
          <w:tcPr>
            <w:tcW w:w="3040" w:type="dxa"/>
            <w:vAlign w:val="bottom"/>
            <w:gridSpan w:val="2"/>
            <w:shd w:val="clear" w:color="auto" w:fill="CFF0FC"/>
          </w:tcPr>
          <w:p>
            <w:pPr>
              <w:jc w:val="center"/>
              <w:ind w:left="590"/>
              <w:spacing w:after="0"/>
              <w:rPr>
                <w:sz w:val="20"/>
                <w:szCs w:val="20"/>
                <w:color w:val="auto"/>
              </w:rPr>
            </w:pPr>
            <w:r>
              <w:rPr>
                <w:rFonts w:ascii="Times New Roman" w:cs="Times New Roman" w:eastAsia="Times New Roman" w:hAnsi="Times New Roman"/>
                <w:sz w:val="18"/>
                <w:szCs w:val="18"/>
                <w:color w:val="auto"/>
                <w:w w:val="98"/>
              </w:rPr>
              <w:t>-2.30%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c>
          <w:tcPr>
            <w:tcW w:w="3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-0.63%</w:t>
            </w: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382 limitation</w:t>
            </w:r>
          </w:p>
        </w:tc>
        <w:tc>
          <w:tcPr>
            <w:tcW w:w="2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3040" w:type="dxa"/>
            <w:vAlign w:val="bottom"/>
            <w:gridSpan w:val="2"/>
            <w:shd w:val="clear" w:color="auto" w:fill="CFF0FC"/>
          </w:tcPr>
          <w:p>
            <w:pPr>
              <w:jc w:val="center"/>
              <w:ind w:left="610"/>
              <w:spacing w:after="0"/>
              <w:rPr>
                <w:sz w:val="20"/>
                <w:szCs w:val="20"/>
                <w:color w:val="auto"/>
              </w:rPr>
            </w:pPr>
            <w:r>
              <w:rPr>
                <w:rFonts w:ascii="Times New Roman" w:cs="Times New Roman" w:eastAsia="Times New Roman" w:hAnsi="Times New Roman"/>
                <w:sz w:val="18"/>
                <w:szCs w:val="18"/>
                <w:color w:val="auto"/>
                <w:w w:val="99"/>
              </w:rPr>
              <w:t>-117.98%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Foreign tax</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-0.27%</w:t>
            </w:r>
          </w:p>
        </w:tc>
        <w:tc>
          <w:tcPr>
            <w:tcW w:w="3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-0.76%</w:t>
            </w: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marked to market</w:t>
            </w:r>
          </w:p>
        </w:tc>
        <w:tc>
          <w:tcPr>
            <w:tcW w:w="2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-7.41%</w:t>
            </w:r>
          </w:p>
        </w:tc>
        <w:tc>
          <w:tcPr>
            <w:tcW w:w="700" w:type="dxa"/>
            <w:vAlign w:val="bottom"/>
            <w:tcBorders>
              <w:bottom w:val="single" w:sz="8" w:color="CFF0FC"/>
            </w:tcBorders>
            <w:shd w:val="clear" w:color="auto" w:fill="CFF0FC"/>
          </w:tcPr>
          <w:p>
            <w:pPr>
              <w:spacing w:after="0"/>
              <w:rPr>
                <w:sz w:val="18"/>
                <w:szCs w:val="18"/>
                <w:color w:val="auto"/>
              </w:rPr>
            </w:pPr>
          </w:p>
        </w:tc>
        <w:tc>
          <w:tcPr>
            <w:tcW w:w="23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-0.26%</w:t>
            </w:r>
          </w:p>
        </w:tc>
        <w:tc>
          <w:tcPr>
            <w:tcW w:w="30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-0.93%</w:t>
            </w:r>
          </w:p>
        </w:tc>
      </w:tr>
      <w:tr>
        <w:trPr>
          <w:trHeight w:val="20"/>
        </w:trPr>
        <w:tc>
          <w:tcPr>
            <w:tcW w:w="4620" w:type="dxa"/>
            <w:vAlign w:val="bottom"/>
          </w:tcPr>
          <w:p>
            <w:pPr>
              <w:spacing w:after="0" w:line="20" w:lineRule="exact"/>
              <w:rPr>
                <w:sz w:val="1"/>
                <w:szCs w:val="1"/>
                <w:color w:val="auto"/>
              </w:rPr>
            </w:pPr>
          </w:p>
        </w:tc>
        <w:tc>
          <w:tcPr>
            <w:tcW w:w="2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-170815</wp:posOffset>
            </wp:positionV>
            <wp:extent cx="4457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were as follows at December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bookmarkStart w:id="134" w:name="page135"/>
    <w:bookmarkEnd w:id="134"/>
    <w:tbl>
      <w:tblPr>
        <w:tblLayout w:type="fixed"/>
        <w:tblInd w:w="5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17,625</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Tax credits</w:t>
            </w: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accruals and reserves</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5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Capitalized Sec 174 costs</w:t>
            </w: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31,848</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18"/>
                <w:szCs w:val="18"/>
                <w:color w:val="auto"/>
              </w:rPr>
            </w:pPr>
          </w:p>
        </w:tc>
      </w:tr>
      <w:tr>
        <w:trPr>
          <w:trHeight w:val="209"/>
        </w:trPr>
        <w:tc>
          <w:tcPr>
            <w:tcW w:w="46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58,274</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36,611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Pr>
          <w:p>
            <w:pPr>
              <w:spacing w:after="0"/>
              <w:rPr>
                <w:sz w:val="18"/>
                <w:szCs w:val="18"/>
                <w:color w:val="auto"/>
              </w:rPr>
            </w:pPr>
          </w:p>
        </w:tc>
        <w:tc>
          <w:tcPr>
            <w:tcW w:w="2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(56,517 )</w:t>
            </w:r>
          </w:p>
        </w:tc>
        <w:tc>
          <w:tcPr>
            <w:tcW w:w="5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(34,235 )</w:t>
            </w:r>
          </w:p>
        </w:tc>
      </w:tr>
      <w:tr>
        <w:trPr>
          <w:trHeight w:val="210"/>
        </w:trPr>
        <w:tc>
          <w:tcPr>
            <w:tcW w:w="4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800" w:type="dxa"/>
            <w:vAlign w:val="bottom"/>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use assets</w:t>
            </w:r>
          </w:p>
        </w:tc>
        <w:tc>
          <w:tcPr>
            <w:tcW w:w="580" w:type="dxa"/>
            <w:vAlign w:val="bottom"/>
          </w:tcPr>
          <w:p>
            <w:pPr>
              <w:spacing w:after="0"/>
              <w:rPr>
                <w:sz w:val="18"/>
                <w:szCs w:val="18"/>
                <w:color w:val="auto"/>
              </w:rPr>
            </w:pPr>
          </w:p>
        </w:tc>
        <w:tc>
          <w:tcPr>
            <w:tcW w:w="2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(1,520 )</w:t>
            </w:r>
          </w:p>
        </w:tc>
        <w:tc>
          <w:tcPr>
            <w:tcW w:w="5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(2,078 )</w:t>
            </w:r>
          </w:p>
        </w:tc>
      </w:tr>
      <w:tr>
        <w:trPr>
          <w:trHeight w:val="216"/>
        </w:trPr>
        <w:tc>
          <w:tcPr>
            <w:tcW w:w="46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580" w:type="dxa"/>
            <w:vAlign w:val="bottom"/>
          </w:tcPr>
          <w:p>
            <w:pPr>
              <w:spacing w:after="0"/>
              <w:rPr>
                <w:sz w:val="18"/>
                <w:szCs w:val="18"/>
                <w:color w:val="auto"/>
              </w:rPr>
            </w:pPr>
          </w:p>
        </w:tc>
        <w:tc>
          <w:tcPr>
            <w:tcW w:w="2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(237 )</w:t>
            </w:r>
          </w:p>
        </w:tc>
        <w:tc>
          <w:tcPr>
            <w:tcW w:w="52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(298 )</w:t>
            </w:r>
          </w:p>
        </w:tc>
      </w:tr>
      <w:tr>
        <w:trPr>
          <w:trHeight w:val="20"/>
        </w:trPr>
        <w:tc>
          <w:tcPr>
            <w:tcW w:w="4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70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(1,757 )</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(2,376 )</w:t>
            </w:r>
          </w:p>
        </w:tc>
      </w:tr>
      <w:tr>
        <w:trPr>
          <w:trHeight w:val="209"/>
        </w:trPr>
        <w:tc>
          <w:tcPr>
            <w:tcW w:w="460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80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4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deferred income taxes</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-307975</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-307975</wp:posOffset>
            </wp:positionV>
            <wp:extent cx="603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596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Management believes that, based on a number of factors, including the Company’s historical operating performance and accumulated deficit, it is more likely than not that the deferred tax assets will not be utilized, such that a full valuation allowance has been recorded against the Company’s deferred tax assets. In assessing the reliability of deferred tax assets, management considers whether it is more likely than not that some portion or all of the deferred tax assets will not be realized on a jurisdiction-by-jurisdiction basis. The ultimate realization of deferred tax assets is dependent upon the generation of future taxable income during the periods in which those temporary differences become deductible. The valuation allowance increased by $22.3 million during the year ended December 31, 2024, and decreased by $75.3 million during the year ended December 31, 2023.</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had $41.8 million of federal and $90.7 million of state net operating loss (NOL) carryforwards available to offset future taxable income. The Company’s federal NOL carryforwards can be carried forward indefinitely while state NOL carryforwards, if not utilized, will begin expiring in 2043. As of December 31, 2024, the Company had research and development credit carryforwards of $1.9 million and $1.2 million available to reduce future taxable income, if any, for federal and state income tax purposes, respectively. If not utilized, the federal credit carryforwards will begin expiring in 2043. The California credit carryforwards have no expiration date. The Company had $8.4 million of Australian NOL carryforwards and $0.6 million of Australian research and development tax credit carryforwards.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Under Sections 382 and 383 of the Code, and corresponding provisions of state law, if a corporation undergoes an “ownership change” (generally defined as a greater than 50 percentage point change (by value) in its equity ownership over a rolling three-year period), the Company’s ability to use its pre-change NOL carryforwards and other pre-change tax attributes to offset its post-change income may be limited. The Company performed a Code Section 382 analysis in 2023 and determined there was an ownership change that resulted in Section 382 limitations, the impact of which is reflected in the financial statements. The Company performed a Code Section 382 analysis in 2024, which resulted in no further ownership changes.</w:t>
      </w:r>
    </w:p>
    <w:p>
      <w:pPr>
        <w:spacing w:after="0" w:line="183" w:lineRule="exact"/>
        <w:rPr>
          <w:sz w:val="20"/>
          <w:szCs w:val="20"/>
          <w:color w:val="auto"/>
        </w:rPr>
      </w:pPr>
    </w:p>
    <w:p>
      <w:pPr>
        <w:ind w:right="120" w:firstLine="554"/>
        <w:spacing w:after="0" w:line="261" w:lineRule="auto"/>
        <w:rPr>
          <w:sz w:val="20"/>
          <w:szCs w:val="20"/>
          <w:color w:val="auto"/>
        </w:rPr>
      </w:pPr>
      <w:r>
        <w:rPr>
          <w:rFonts w:ascii="Times New Roman" w:cs="Times New Roman" w:eastAsia="Times New Roman" w:hAnsi="Times New Roman"/>
          <w:sz w:val="18"/>
          <w:szCs w:val="18"/>
          <w:color w:val="auto"/>
        </w:rPr>
        <w:t>We may experience additional ownership changes as a result of subsequent shifts in our stock ownership, some of which may be outside of our control. In the future, if we earn net taxable income, our ability to use our pre-change net operating loss carryforwards or other tax attributes to offset U.S. federal taxable income may be subject to limitations, which could potentially result in increased future tax liability to us and could adversely affect our business, results of operations, and cash flows. In addition, under current tax law, federal NOL carryforwards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5" w:name="page136"/>
    <w:bookmarkEnd w:id="13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generated in periods after December 31, 2017, may be carried forward indefinitely but, may only be used to offset 80% of our taxable income.</w:t>
      </w:r>
    </w:p>
    <w:p>
      <w:pPr>
        <w:spacing w:after="0" w:line="22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ASC 740-10 prescribes a comprehensive model for the recognition, measurement, presentation and disclosure in financial statements of any uncertain tax positions that have been taken or expected to be taken on a tax return. It is the Company’s policy to include penalties and interest expense related to income taxes as a component of other expense and interest expense, respectively, as necessary. During the years ended December 31, 2024 and 2023, the Company had not recognized any tax-related penalties or interest. No liability related to uncertain tax positions is recorded on the financial statements related to uncertain tax positions.</w:t>
      </w:r>
    </w:p>
    <w:p>
      <w:pPr>
        <w:spacing w:after="0" w:line="395"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439"/>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beginning of the period</w:t>
            </w:r>
          </w:p>
        </w:tc>
        <w:tc>
          <w:tcPr>
            <w:tcW w:w="1300" w:type="dxa"/>
            <w:vAlign w:val="bottom"/>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24"/>
                <w:szCs w:val="24"/>
                <w:color w:val="auto"/>
              </w:rPr>
            </w:pPr>
          </w:p>
        </w:tc>
      </w:tr>
      <w:tr>
        <w:trPr>
          <w:trHeight w:val="216"/>
        </w:trPr>
        <w:tc>
          <w:tcPr>
            <w:tcW w:w="6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 (Decrease) related to prior year positions</w:t>
            </w:r>
          </w:p>
        </w:tc>
        <w:tc>
          <w:tcPr>
            <w:tcW w:w="13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(3,100 )</w:t>
            </w:r>
          </w:p>
        </w:tc>
      </w:tr>
      <w:tr>
        <w:trPr>
          <w:trHeight w:val="216"/>
        </w:trPr>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 related to current year positions</w:t>
            </w:r>
          </w:p>
        </w:tc>
        <w:tc>
          <w:tcPr>
            <w:tcW w:w="13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r>
      <w:tr>
        <w:trPr>
          <w:trHeight w:val="209"/>
        </w:trPr>
        <w:tc>
          <w:tcPr>
            <w:tcW w:w="63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Balance, end of the period</w:t>
            </w:r>
          </w:p>
        </w:tc>
        <w:tc>
          <w:tcPr>
            <w:tcW w:w="1300" w:type="dxa"/>
            <w:vAlign w:val="bottom"/>
            <w:tcBorders>
              <w:bottom w:val="single" w:sz="8" w:color="auto"/>
            </w:tcBorders>
            <w:shd w:val="clear" w:color="auto" w:fill="CFF0FC"/>
          </w:tcPr>
          <w:p>
            <w:pPr>
              <w:jc w:val="right"/>
              <w:ind w:right="113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3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including California and Texas, Australia, Belgium, and China. The Company is not currently under examination by income tax authorities in federal, state or other jurisdictions. All income tax returns will remain open for examination by the federal, state and foreign authorities for three or four years, from the date of utilization of any NOLs or credits.</w:t>
      </w:r>
    </w:p>
    <w:p>
      <w:pPr>
        <w:spacing w:after="0" w:line="68"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Organization for Economic Co-operation and Development (OECD)/G20 finalized the significant components of a two-pillar global tax reform plan, which has now been agreed to by the majority of OECD members. Pillar Two requires multinational enterprises with annual global revenue exceeding €750 million to pay a global minimum tax of 15%. The Company does not currently expect to meet the €750 million revenue threshold. The Company will continue to evaluate the potential impact on future periods of the Pillar Two framework and the implementation of the Pillar Two rules in the jurisdictions in which it operates.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December 31, 2024 and December 31, 2023. The Company enters into contracts in the normal course of business that includes arrangements with clinical research organizations, vendors for preclinical research and vendors for manufacturing. These agreements generally allow for cancellation with notice. As of December 31, 2024, the Company had no material non-cancelable purchase commitments.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Benefit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The Company made matching contributions of $0.7 million and $0.8 million to the plan during the years ended December 31, 2024 and 2023, respectively.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plans—regular pension plan</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 xml:space="preserve">ASC Topic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requires an employer to: (a) recognize in its statement of financial position an asset for a plan’s overfunded status or a liability for a plan’s under-funded status; (b) measure a plan’s assets and its obligations that determine its funded status as of the end of the employer’s fiscal year; and (c) recognize changes in the funded status of a defined benefit post retirement plan in the year in which the changes occur. Accordingly, the Company is required to report changes in its funded status on its Consolidated Statement of Changes in Stockholders’ (Deficit) Equity and Consolidated Statement of Operations and Comprehensive Loss.</w:t>
      </w:r>
    </w:p>
    <w:p>
      <w:pPr>
        <w:spacing w:after="0" w:line="7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Aligos-Belgium offers its employees a regular pension plan in the form of a defined contribution plan (the Regular Pension Plan), which contains a 2.50% legally required minimum rate of return for the participants. The Regular Pension Plan does not meet all the requirements that are needed for recognition of the plans as a defined contribution plan. The Company therefore recognizes the Regular Pension Plan as a defined benefit plan.</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the Regular Plan assets by using Level 3 inputs, unobservable inputs that are supported by little or no market activity that are significant to determining the fair value of assets, including pricing models, discounted cash flow methodologies and similar techniques.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net periodic benefit cost of the Pension Plan was $0.1 million and $0.2 million, and is recognized in accrued liabilities on the Consolidated Balance Sheets as of December 31, 2024 and 2023, respectively. As of December 31, 2024, the projected benefit obligation was $1.3 million, the plan assets were $1.3 million and the net pension liability was $0.1 million. As of December 31, 2023, the projected benefit obligation was $1.2 million, the plan assets were $1.2 million, and the net pension liability was $0.1 million. The Company has recorded the unfunded amount as a liability in its Consolidated Balance Sheets at December 31, 2024 and 2023, under the accrued liabilities caption. The unrealized actuarial gain and loss on pension benefits, net of tax, at December 31, 2024 and 2023 was $62.0 thousand and $40.0 thousand, respectively. These amounts were reflected in other comprehensive loss under the caption gain (loss) on pension plans. The Company expects to make contributions to the Pension Plan of approximately $0.2 million during 2024. The Company estimates future benefit payments from 2025 to 2028 to be $0.3 million, and from 2029 thereafter to be $0.9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plans—Top Hat Plan</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In Aligos-Belgium, the Company established a pension bonus complementary plan (the Top Hat Plan), where the bonus payments to each participant are added to the Top Hat Plan. The annual contributions to this plan are based on performance and determined on a discretionary basis by the Company. The Top Hat Plan contains a legal yield guarantee of 1.75%. The Top Hat Plan became effective as of January 1, 2019.</w:t>
      </w:r>
    </w:p>
    <w:p>
      <w:pPr>
        <w:spacing w:after="0" w:line="54"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2019, the Company accounted for the Top Hat Plan in accordance with ASC 715, </w:t>
      </w:r>
      <w:r>
        <w:rPr>
          <w:rFonts w:ascii="Times New Roman" w:cs="Times New Roman" w:eastAsia="Times New Roman" w:hAnsi="Times New Roman"/>
          <w:sz w:val="18"/>
          <w:szCs w:val="18"/>
          <w:i w:val="1"/>
          <w:iCs w:val="1"/>
          <w:color w:val="auto"/>
        </w:rPr>
        <w:t>Compensation—Retirement Benefits</w:t>
      </w:r>
      <w:r>
        <w:rPr>
          <w:rFonts w:ascii="Times New Roman" w:cs="Times New Roman" w:eastAsia="Times New Roman" w:hAnsi="Times New Roman"/>
          <w:sz w:val="18"/>
          <w:szCs w:val="18"/>
          <w:color w:val="auto"/>
        </w:rPr>
        <w:t>, once it became effective. The Top Hat Plan does not meet all the requirements that are needed for recognition as a defined contribution plan. The Company therefore recognizes the Top Hat Plan as a defined benefit plan.</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net periodic benefit cost of the Top Hat Plan was $0.2 million and $0.2 million, and is recognized in accrued liabilities on the Consolidated Balance Sheets as of December 31, 2024 and 2023, respectively. As of December 31, 2024, the projected benefit obligation was $2.1 million, the plan assets were $1.9 million and the net pension liability was $0.2 million. As of December 31, 2023, the projected benefit obligation was $2.0 million, the plan assets were $1.8 million, and the net pension liability was $0.2 million. The Company has recorded the unfunded amount as a liability in its Consolidated Balance Sheets at December 31, 2024 and 2023, under the accrued liabilities caption. The unrealized actuarial gain and loss on pension benefits, net of tax, at December 31, 2024 and 2023 was $14.0 thousand and $3.0 thousand, respectively. These amounts were reflected in other comprehensive loss under the caption gain (loss) on pension plans. The Company expects to make contributions to the Pension Plan of approximately $0.2 million during 2024. The Company estimates future benefit payments from 2025 to 2028 to be $0.4 million, and from 2029 thereafter to be $1.2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7" w:name="page138"/>
    <w:bookmarkEnd w:id="137"/>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loss per share of the Company:</w:t>
      </w:r>
    </w:p>
    <w:p>
      <w:pPr>
        <w:spacing w:after="0" w:line="246"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1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20" w:type="dxa"/>
        <w:tblCellMar>
          <w:top w:w="0" w:type="dxa"/>
          <w:left w:w="0" w:type="dxa"/>
          <w:bottom w:w="0" w:type="dxa"/>
          <w:right w:w="0" w:type="dxa"/>
        </w:tblCellMar>
      </w:tblPr>
      <w:tr>
        <w:trPr>
          <w:trHeight w:val="142"/>
        </w:trPr>
        <w:tc>
          <w:tcPr>
            <w:tcW w:w="5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tcPr>
          <w:p>
            <w:pPr>
              <w:jc w:val="right"/>
              <w:ind w:right="76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Pr>
          <w:p>
            <w:pPr>
              <w:spacing w:after="0"/>
              <w:rPr>
                <w:sz w:val="18"/>
                <w:szCs w:val="18"/>
                <w:color w:val="auto"/>
              </w:rPr>
            </w:pPr>
          </w:p>
        </w:tc>
        <w:tc>
          <w:tcPr>
            <w:tcW w:w="1220" w:type="dxa"/>
            <w:vAlign w:val="bottom"/>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(131,211</w:t>
            </w:r>
          </w:p>
        </w:tc>
        <w:tc>
          <w:tcPr>
            <w:tcW w:w="3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(87,679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stock outstanding</w:t>
            </w:r>
          </w:p>
        </w:tc>
        <w:tc>
          <w:tcPr>
            <w:tcW w:w="42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6,264,612</w:t>
            </w:r>
          </w:p>
        </w:tc>
        <w:tc>
          <w:tcPr>
            <w:tcW w:w="3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2,563,470</w:t>
            </w:r>
          </w:p>
        </w:tc>
        <w:tc>
          <w:tcPr>
            <w:tcW w:w="100" w:type="dxa"/>
            <w:vAlign w:val="bottom"/>
          </w:tcPr>
          <w:p>
            <w:pPr>
              <w:spacing w:after="0"/>
              <w:rPr>
                <w:sz w:val="17"/>
                <w:szCs w:val="17"/>
                <w:color w:val="auto"/>
              </w:rPr>
            </w:pPr>
          </w:p>
        </w:tc>
      </w:tr>
      <w:tr>
        <w:trPr>
          <w:trHeight w:val="23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420" w:type="dxa"/>
            <w:vAlign w:val="bottom"/>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62"/>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FF0FC"/>
          </w:tcPr>
          <w:p>
            <w:pPr>
              <w:jc w:val="right"/>
              <w:ind w:right="29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596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596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-25400</wp:posOffset>
            </wp:positionV>
            <wp:extent cx="6032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-8255</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4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options to purchase common stock, unvested restricted stock and warrants to purchase common stock, have been excluded from the computation of diluted net loss per share as the effect would be to reduce the net loss per share. Therefore, the weighted-average number of shares of Common Stock outstanding used to calculate both basic and diluted net loss per share is the same. The Company excluded the following potential shares of Common Stock, presented based on amounts outstanding at each period end, from the computation of diluted net loss per share for the periods indicated because including them would have had an anti-dilutive effect:</w:t>
      </w:r>
    </w:p>
    <w:p>
      <w:pPr>
        <w:spacing w:after="0" w:line="20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8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20" w:type="dxa"/>
        <w:tblCellMar>
          <w:top w:w="0" w:type="dxa"/>
          <w:left w:w="0" w:type="dxa"/>
          <w:bottom w:w="0" w:type="dxa"/>
          <w:right w:w="0" w:type="dxa"/>
        </w:tblCellMar>
      </w:tblPr>
      <w:tr>
        <w:trPr>
          <w:trHeight w:val="142"/>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tcBorders>
              <w:top w:val="single" w:sz="8" w:color="auto"/>
            </w:tcBorders>
          </w:tcPr>
          <w:p>
            <w:pPr>
              <w:jc w:val="right"/>
              <w:ind w:right="84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340" w:type="dxa"/>
            <w:vAlign w:val="bottom"/>
            <w:tcBorders>
              <w:top w:val="single" w:sz="8" w:color="auto"/>
            </w:tcBorders>
            <w:gridSpan w:val="2"/>
          </w:tcPr>
          <w:p>
            <w:pPr>
              <w:jc w:val="right"/>
              <w:ind w:right="8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Options to purchase common stock</w:t>
            </w:r>
          </w:p>
        </w:tc>
        <w:tc>
          <w:tcPr>
            <w:tcW w:w="180" w:type="dxa"/>
            <w:vAlign w:val="bottom"/>
          </w:tcPr>
          <w:p>
            <w:pPr>
              <w:spacing w:after="0"/>
              <w:rPr>
                <w:sz w:val="18"/>
                <w:szCs w:val="18"/>
                <w:color w:val="auto"/>
              </w:rPr>
            </w:pPr>
          </w:p>
        </w:tc>
        <w:tc>
          <w:tcPr>
            <w:tcW w:w="2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441,113</w:t>
            </w:r>
          </w:p>
        </w:tc>
        <w:tc>
          <w:tcPr>
            <w:tcW w:w="260" w:type="dxa"/>
            <w:vAlign w:val="bottom"/>
            <w:shd w:val="clear" w:color="auto" w:fill="CFF0FC"/>
          </w:tcPr>
          <w:p>
            <w:pPr>
              <w:spacing w:after="0"/>
              <w:rPr>
                <w:sz w:val="18"/>
                <w:szCs w:val="18"/>
                <w:color w:val="auto"/>
              </w:rPr>
            </w:pP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415,073</w:t>
            </w:r>
          </w:p>
        </w:tc>
        <w:tc>
          <w:tcPr>
            <w:tcW w:w="100" w:type="dxa"/>
            <w:vAlign w:val="bottom"/>
            <w:shd w:val="clear" w:color="auto" w:fill="CFF0FC"/>
          </w:tcPr>
          <w:p>
            <w:pPr>
              <w:spacing w:after="0"/>
              <w:rPr>
                <w:sz w:val="18"/>
                <w:szCs w:val="18"/>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Unvested restricted stock</w:t>
            </w:r>
          </w:p>
        </w:tc>
        <w:tc>
          <w:tcPr>
            <w:tcW w:w="1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100" w:type="dxa"/>
            <w:vAlign w:val="bottom"/>
          </w:tcPr>
          <w:p>
            <w:pPr>
              <w:spacing w:after="0"/>
              <w:rPr>
                <w:sz w:val="18"/>
                <w:szCs w:val="18"/>
                <w:color w:val="auto"/>
              </w:rPr>
            </w:pPr>
          </w:p>
        </w:tc>
      </w:tr>
      <w:tr>
        <w:trPr>
          <w:trHeight w:val="208"/>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Warrants to purchase common stock</w:t>
            </w:r>
          </w:p>
        </w:tc>
        <w:tc>
          <w:tcPr>
            <w:tcW w:w="180" w:type="dxa"/>
            <w:vAlign w:val="bottom"/>
          </w:tcPr>
          <w:p>
            <w:pPr>
              <w:spacing w:after="0"/>
              <w:rPr>
                <w:sz w:val="18"/>
                <w:szCs w:val="18"/>
                <w:color w:val="auto"/>
              </w:rPr>
            </w:pP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2,200,858</w:t>
            </w:r>
          </w:p>
        </w:tc>
        <w:tc>
          <w:tcPr>
            <w:tcW w:w="260" w:type="dxa"/>
            <w:vAlign w:val="bottom"/>
            <w:tcBorders>
              <w:bottom w:val="single" w:sz="8" w:color="CFF0FC"/>
            </w:tcBorders>
            <w:shd w:val="clear" w:color="auto" w:fill="CFF0FC"/>
          </w:tcPr>
          <w:p>
            <w:pPr>
              <w:spacing w:after="0"/>
              <w:rPr>
                <w:sz w:val="18"/>
                <w:szCs w:val="18"/>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2,249,680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96"/>
        </w:trPr>
        <w:tc>
          <w:tcPr>
            <w:tcW w:w="5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2,643,350</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2,670,114</w:t>
            </w:r>
          </w:p>
        </w:tc>
        <w:tc>
          <w:tcPr>
            <w:tcW w:w="10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-161925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-161925</wp:posOffset>
            </wp:positionV>
            <wp:extent cx="603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21"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The CODM assesses performance for the Company’s single reportable segment and decides how to allocate resources based on the Company’s total operating expenses as reported on the Consolidated Statements of Operations and Comprehensive Loss.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loss as reported on the Consolidated Statements of Operations and Comprehensive Loss, shown in the table below. The significant expense categories are consistent with those presented on the face of the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86"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segment revenues, significant segment expenses and reported segment net income for the years ended December 31, 2024 and 2023:</w:t>
      </w:r>
    </w:p>
    <w:p>
      <w:pPr>
        <w:spacing w:after="0" w:line="344"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900" w:type="dxa"/>
            <w:vAlign w:val="bottom"/>
          </w:tcPr>
          <w:p>
            <w:pPr>
              <w:spacing w:after="0"/>
              <w:rPr>
                <w:sz w:val="19"/>
                <w:szCs w:val="19"/>
                <w:color w:val="auto"/>
              </w:rPr>
            </w:pPr>
          </w:p>
        </w:tc>
        <w:tc>
          <w:tcPr>
            <w:tcW w:w="1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10"/>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Revenue from collaborations</w:t>
            </w:r>
          </w:p>
        </w:tc>
        <w:tc>
          <w:tcPr>
            <w:tcW w:w="1220" w:type="dxa"/>
            <w:vAlign w:val="bottom"/>
            <w:shd w:val="clear" w:color="auto" w:fill="CFF0FC"/>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Revenue from Customers</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80"/>
              <w:spacing w:after="0" w:line="216" w:lineRule="exact"/>
              <w:rPr>
                <w:sz w:val="20"/>
                <w:szCs w:val="20"/>
                <w:color w:val="auto"/>
              </w:rPr>
            </w:pPr>
            <w:r>
              <w:rPr>
                <w:rFonts w:ascii="Times New Roman" w:cs="Times New Roman" w:eastAsia="Times New Roman" w:hAnsi="Times New Roman"/>
                <w:sz w:val="18"/>
                <w:szCs w:val="18"/>
                <w:color w:val="auto"/>
              </w:rPr>
              <w:t>Early-stage research and development</w:t>
            </w:r>
            <w:r>
              <w:rPr>
                <w:rFonts w:ascii="Times New Roman" w:cs="Times New Roman" w:eastAsia="Times New Roman" w:hAnsi="Times New Roman"/>
                <w:sz w:val="24"/>
                <w:szCs w:val="24"/>
                <w:color w:val="auto"/>
                <w:vertAlign w:val="superscript"/>
              </w:rPr>
              <w:t>(1)</w:t>
            </w:r>
          </w:p>
        </w:tc>
        <w:tc>
          <w:tcPr>
            <w:tcW w:w="1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(3,506 )</w:t>
            </w:r>
          </w:p>
        </w:tc>
        <w:tc>
          <w:tcPr>
            <w:tcW w:w="9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(9,213 )</w:t>
            </w:r>
          </w:p>
        </w:tc>
      </w:tr>
      <w:tr>
        <w:trPr>
          <w:trHeight w:val="216"/>
        </w:trPr>
        <w:tc>
          <w:tcPr>
            <w:tcW w:w="5900" w:type="dxa"/>
            <w:vAlign w:val="bottom"/>
            <w:shd w:val="clear" w:color="auto" w:fill="CFF0FC"/>
          </w:tcPr>
          <w:p>
            <w:pPr>
              <w:ind w:left="280"/>
              <w:spacing w:after="0" w:line="216" w:lineRule="exact"/>
              <w:rPr>
                <w:sz w:val="20"/>
                <w:szCs w:val="20"/>
                <w:color w:val="auto"/>
              </w:rPr>
            </w:pPr>
            <w:r>
              <w:rPr>
                <w:rFonts w:ascii="Times New Roman" w:cs="Times New Roman" w:eastAsia="Times New Roman" w:hAnsi="Times New Roman"/>
                <w:sz w:val="18"/>
                <w:szCs w:val="18"/>
                <w:color w:val="auto"/>
              </w:rPr>
              <w:t>Late-stage research and development</w:t>
            </w:r>
            <w:r>
              <w:rPr>
                <w:rFonts w:ascii="Times New Roman" w:cs="Times New Roman" w:eastAsia="Times New Roman" w:hAnsi="Times New Roman"/>
                <w:sz w:val="24"/>
                <w:szCs w:val="24"/>
                <w:color w:val="auto"/>
                <w:vertAlign w:val="superscript"/>
              </w:rPr>
              <w:t>(2)</w:t>
            </w:r>
          </w:p>
        </w:tc>
        <w:tc>
          <w:tcPr>
            <w:tcW w:w="1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(66,763 )</w:t>
            </w:r>
          </w:p>
        </w:tc>
        <w:tc>
          <w:tcPr>
            <w:tcW w:w="9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(63,827 )</w:t>
            </w:r>
          </w:p>
        </w:tc>
      </w:tr>
      <w:tr>
        <w:trPr>
          <w:trHeight w:val="216"/>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(22,830 )</w:t>
            </w:r>
          </w:p>
        </w:tc>
        <w:tc>
          <w:tcPr>
            <w:tcW w:w="9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(30,616 )</w:t>
            </w:r>
          </w:p>
        </w:tc>
      </w:tr>
      <w:tr>
        <w:trPr>
          <w:trHeight w:val="216"/>
        </w:trPr>
        <w:tc>
          <w:tcPr>
            <w:tcW w:w="5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(93,099 )</w:t>
            </w:r>
          </w:p>
        </w:tc>
        <w:tc>
          <w:tcPr>
            <w:tcW w:w="9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(103,656 )</w:t>
            </w:r>
          </w:p>
        </w:tc>
      </w:tr>
      <w:tr>
        <w:trPr>
          <w:trHeight w:val="216"/>
        </w:trPr>
        <w:tc>
          <w:tcPr>
            <w:tcW w:w="5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fair value of common warrants</w:t>
            </w:r>
          </w:p>
        </w:tc>
        <w:tc>
          <w:tcPr>
            <w:tcW w:w="1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(46,132 )</w:t>
            </w:r>
          </w:p>
        </w:tc>
        <w:tc>
          <w:tcPr>
            <w:tcW w:w="9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(2,169 )</w:t>
            </w:r>
          </w:p>
        </w:tc>
      </w:tr>
      <w:tr>
        <w:trPr>
          <w:trHeight w:val="216"/>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before income tax</w:t>
            </w:r>
          </w:p>
        </w:tc>
        <w:tc>
          <w:tcPr>
            <w:tcW w:w="1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(130,880 )</w:t>
            </w:r>
          </w:p>
        </w:tc>
        <w:tc>
          <w:tcPr>
            <w:tcW w:w="9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(86,884 )</w:t>
            </w:r>
          </w:p>
        </w:tc>
      </w:tr>
      <w:tr>
        <w:trPr>
          <w:trHeight w:val="216"/>
        </w:trPr>
        <w:tc>
          <w:tcPr>
            <w:tcW w:w="5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Income tax provision</w:t>
            </w:r>
          </w:p>
        </w:tc>
        <w:tc>
          <w:tcPr>
            <w:tcW w:w="1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(331 )</w:t>
            </w:r>
          </w:p>
        </w:tc>
        <w:tc>
          <w:tcPr>
            <w:tcW w:w="9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(795 )</w:t>
            </w:r>
          </w:p>
        </w:tc>
      </w:tr>
      <w:tr>
        <w:trPr>
          <w:trHeight w:val="20"/>
        </w:trPr>
        <w:tc>
          <w:tcPr>
            <w:tcW w:w="59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(131,211 )</w:t>
            </w:r>
          </w:p>
        </w:tc>
        <w:tc>
          <w:tcPr>
            <w:tcW w:w="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(87,679 )</w:t>
            </w:r>
          </w:p>
        </w:tc>
      </w:tr>
      <w:tr>
        <w:trPr>
          <w:trHeight w:val="20"/>
        </w:trPr>
        <w:tc>
          <w:tcPr>
            <w:tcW w:w="59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-170815</wp:posOffset>
            </wp:positionV>
            <wp:extent cx="603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-170815</wp:posOffset>
            </wp:positionV>
            <wp:extent cx="603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5" w:lineRule="exact"/>
        <w:rPr>
          <w:sz w:val="20"/>
          <w:szCs w:val="20"/>
          <w:color w:val="auto"/>
        </w:rPr>
      </w:pPr>
    </w:p>
    <w:p>
      <w:pPr>
        <w:ind w:left="720" w:hanging="203"/>
        <w:spacing w:after="0"/>
        <w:tabs>
          <w:tab w:leader="none" w:pos="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Early-stage research and development includes costs incurred from Discovery programs.</w:t>
      </w:r>
    </w:p>
    <w:p>
      <w:pPr>
        <w:spacing w:after="0" w:line="136" w:lineRule="exact"/>
        <w:rPr>
          <w:rFonts w:ascii="Times New Roman" w:cs="Times New Roman" w:eastAsia="Times New Roman" w:hAnsi="Times New Roman"/>
          <w:sz w:val="14"/>
          <w:szCs w:val="14"/>
          <w:color w:val="auto"/>
        </w:rPr>
      </w:pPr>
    </w:p>
    <w:p>
      <w:pPr>
        <w:ind w:left="720" w:hanging="203"/>
        <w:spacing w:after="0"/>
        <w:tabs>
          <w:tab w:leader="none" w:pos="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Late-stage research and development includes costs incurred from Phase 1 clinical trial programs.</w:t>
      </w:r>
    </w:p>
    <w:p>
      <w:pPr>
        <w:spacing w:after="0" w:line="127" w:lineRule="exact"/>
        <w:rPr>
          <w:sz w:val="20"/>
          <w:szCs w:val="20"/>
          <w:color w:val="auto"/>
        </w:rPr>
      </w:pPr>
    </w:p>
    <w:p>
      <w:pPr>
        <w:ind w:right="60" w:firstLine="554"/>
        <w:spacing w:after="0" w:line="232" w:lineRule="exact"/>
        <w:rPr>
          <w:sz w:val="20"/>
          <w:szCs w:val="20"/>
          <w:color w:val="auto"/>
        </w:rPr>
      </w:pPr>
      <w:r>
        <w:rPr>
          <w:rFonts w:ascii="Times New Roman" w:cs="Times New Roman" w:eastAsia="Times New Roman" w:hAnsi="Times New Roman"/>
          <w:sz w:val="18"/>
          <w:szCs w:val="18"/>
          <w:color w:val="auto"/>
        </w:rPr>
        <w:t>The Company’s reportable segment primarily generates revenue through its license and collaboration agreements (see Notes 11 and 12). The Company has $2.1 million and $0.2 million of fixed assets in Aligos-US and Aligos-Belgium, respectively, as of December 31, 2024, and $2.9 million and $0.3 million of fixed assets in Aligos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and Aligos-Belgium, respectively as of December 31, 2023.</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121" w:lineRule="exact"/>
        <w:rPr>
          <w:sz w:val="20"/>
          <w:szCs w:val="20"/>
          <w:color w:val="auto"/>
        </w:rPr>
      </w:pPr>
    </w:p>
    <w:p>
      <w:pPr>
        <w:ind w:right="140" w:firstLine="509"/>
        <w:spacing w:after="0" w:line="313" w:lineRule="auto"/>
        <w:rPr>
          <w:sz w:val="20"/>
          <w:szCs w:val="20"/>
          <w:color w:val="auto"/>
        </w:rPr>
      </w:pPr>
      <w:r>
        <w:rPr>
          <w:rFonts w:ascii="Times New Roman" w:cs="Times New Roman" w:eastAsia="Times New Roman" w:hAnsi="Times New Roman"/>
          <w:sz w:val="18"/>
          <w:szCs w:val="18"/>
          <w:color w:val="auto"/>
        </w:rPr>
        <w:t>In preparing the interim financial statements for the year ended December 31, 2024, the Company evaluated subsequent events for recognition and measurement purposes during which time the following event has occurred that require disclosure:</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PIPE offering</w:t>
      </w:r>
    </w:p>
    <w:p>
      <w:pPr>
        <w:spacing w:after="0" w:line="121"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On February 13, 2025, the Company closed its PIPE offering (the 2025 Private Placement) with certain investors (the Purchasers) that resulted in gross proceeds of approximately $105.0 million. In the 2025 Private Placement, the Company issued (i) 2,103,307 shares of the Company’s common stock, par value $0.0001 per share, consisting of 1,427,000 shares of voting Common Stock and 676,307 shares of non-voting Common Stock, (ii)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Pre-Funded Warrants) to purchase up to 1,922,511 shares of voting Common Stock and (iii) accompanying common warrants (the Common Warrants) to purchase up to 2,012,909 shares of voting Common Stock. The combined price per share of Common Stock and accompanying Common Warrant was $26.0825 and the combined price per Pre-Funded Warrant and Common Warrant was $26.0824.</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Each Pre-Funded Warrant has a nominal exercise price of $0.0001 per share of Common Stock, is immediately exercisable and does not expire.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Common Warrant has an exercise price of $26.02, is immediately exercisable and will expire in February 2032.</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9" w:name="page140"/>
    <w:bookmarkEnd w:id="139"/>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19" w:lineRule="exact"/>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Chief Financial Officer, our principal executive officer and principal financial officer, respectively, the effectiveness of our disclosure controls and procedures (as defined in Rules 13a-15(e) and 15d-15(e) under the Securities Exchange Act of 1934, as amended) as of the end of the period covered by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2024, our disclosure controls and procedures were effective at the reasonable assurance level.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as of December 31,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December 31, 2024 that has materially affected, or is reasonably likely to materially affect, our internal control over financial reporting.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over financial reporting</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our directors or officers (as defined in Rule 16a-1(f) under the Securities Exchange Act of 1934, as amended) adopted, terminated or modified a “Rule 10b5-1 trading arrangement” or “non-Rule 10b5-1 trading arrangement,” as each term is defined in Item 408(a)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0" w:name="page141"/>
    <w:bookmarkEnd w:id="14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ethics for directors, officers (including our principal executive officer, principal financial officer and principal accounting officer) and employees, known as the Code of Business Conduct and Ethics. This code is publicly available on our website at investor.aligos.com under the Governance section. If we make any amendments to this code other than technical, administrative or other non-substantive amendments, or grant any waivers, including implicit waivers, from a provision of this code we will disclose the nature of the amendment or waiver, its effective date and to whom it applies on our website at aligos.com or in a Current Report on Form 8-K filed with the SEC.</w:t>
      </w:r>
    </w:p>
    <w:p>
      <w:pPr>
        <w:spacing w:after="0" w:line="7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an insider trading policy (the Trading Policy), governing the purchase, sale and other dispositions of our securities that applies to all of our personnel, including directors, officers, employees and other covered persons. We believe that our Trading Policy is reasonably designed to promote compliance with insider trading laws, rules and regulations, and listing standards applicable to us. A copy of our Trading Policy is filed as Exhibit 19.1 to this Form 10-K.</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including information about our Directors, Executive Officers and Audit Committee, is incorporated by reference to the definitive Proxy Statement for our 2025 Annual Meeting of Stockholders, which will be filed with the SEC no later than 120 days after December 31,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“Executive Compensation” in our Proxy Statement and is incorporated in this Annual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“Security Ownership of Certain Beneficial Owners and Management” in our Proxy Statement and is incorporated in this Annual Report by reference.</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our equity compensation plans will be set forth in the section headed “Executive Compensation” in our Proxy Statement and is incorporated in this Annual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“Transactions with Related Persons” in our Proxy Statement and is incorporated in this Annual Report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set forth in the section headed “—Ratification of Selection of Independent Registered Public Accounting Firm” in our Proxy Statement and is incorporated in this Annual Report by reference.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141" w:name="page142"/>
    <w:bookmarkEnd w:id="141"/>
    <w:p>
      <w:pPr>
        <w:spacing w:after="0" w:line="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this Annual Report on Form 10-K:</w:t>
      </w:r>
    </w:p>
    <w:p>
      <w:pPr>
        <w:spacing w:after="0" w:line="32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financial statements are included in Part II, Item 8 of this Annual Report on Form 10-K.</w:t>
      </w:r>
    </w:p>
    <w:p>
      <w:pPr>
        <w:spacing w:after="0" w:line="266"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other schedules have been omitted because they are not required, not applicable, or the required information is otherwise included.</w:t>
      </w:r>
    </w:p>
    <w:p>
      <w:pPr>
        <w:spacing w:after="0" w:line="117" w:lineRule="exact"/>
        <w:rPr>
          <w:rFonts w:ascii="Times New Roman" w:cs="Times New Roman" w:eastAsia="Times New Roman" w:hAnsi="Times New Roman"/>
          <w:sz w:val="18"/>
          <w:szCs w:val="18"/>
          <w:b w:val="1"/>
          <w:bCs w:val="1"/>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40" w:right="87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80" w:type="dxa"/>
            <w:vAlign w:val="bottom"/>
            <w:tcBorders>
              <w:bottom w:val="single" w:sz="8" w:color="auto"/>
            </w:tcBorders>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0" w:type="dxa"/>
            <w:vAlign w:val="bottom"/>
            <w:gridSpan w:val="30"/>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00" w:type="dxa"/>
            <w:vAlign w:val="bottom"/>
            <w:vMerge w:val="restart"/>
          </w:tcPr>
          <w:p>
            <w:pPr>
              <w:jc w:val="center"/>
              <w:ind w:left="91"/>
              <w:spacing w:after="0"/>
              <w:rPr>
                <w:sz w:val="20"/>
                <w:szCs w:val="20"/>
                <w:color w:val="auto"/>
              </w:rPr>
            </w:pPr>
            <w:r>
              <w:rPr>
                <w:rFonts w:ascii="Times New Roman" w:cs="Times New Roman" w:eastAsia="Times New Roman" w:hAnsi="Times New Roman"/>
                <w:sz w:val="14"/>
                <w:szCs w:val="14"/>
                <w:b w:val="1"/>
                <w:bCs w:val="1"/>
                <w:color w:val="auto"/>
              </w:rPr>
              <w:t>Form</w:t>
            </w:r>
          </w:p>
        </w:tc>
        <w:tc>
          <w:tcPr>
            <w:tcW w:w="180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30"/>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3.1(a)</w:t>
            </w:r>
          </w:p>
        </w:tc>
        <w:tc>
          <w:tcPr>
            <w:tcW w:w="3740" w:type="dxa"/>
            <w:vAlign w:val="bottom"/>
            <w:tcBorders>
              <w:bottom w:val="single" w:sz="8" w:color="0563C1"/>
            </w:tcBorders>
            <w:gridSpan w:val="19"/>
          </w:tcPr>
          <w:p>
            <w:pPr>
              <w:spacing w:after="0" w:line="169" w:lineRule="exact"/>
              <w:rPr>
                <w:rFonts w:ascii="Times New Roman" w:cs="Times New Roman" w:eastAsia="Times New Roman" w:hAnsi="Times New Roman"/>
                <w:sz w:val="18"/>
                <w:szCs w:val="18"/>
                <w:color w:val="0563C1"/>
                <w:w w:val="99"/>
              </w:rPr>
            </w:pPr>
            <w:hyperlink r:id="rId305">
              <w:r>
                <w:rPr>
                  <w:rFonts w:ascii="Times New Roman" w:cs="Times New Roman" w:eastAsia="Times New Roman" w:hAnsi="Times New Roman"/>
                  <w:sz w:val="18"/>
                  <w:szCs w:val="18"/>
                  <w:color w:val="0563C1"/>
                  <w:w w:val="99"/>
                </w:rPr>
                <w:t>Amended and Restated Certificate of Incorporation.</w:t>
              </w:r>
            </w:hyperlink>
          </w:p>
        </w:tc>
        <w:tc>
          <w:tcPr>
            <w:tcW w:w="1680" w:type="dxa"/>
            <w:vAlign w:val="bottom"/>
            <w:gridSpan w:val="17"/>
          </w:tcPr>
          <w:p>
            <w:pPr>
              <w:spacing w:after="0"/>
              <w:rPr>
                <w:sz w:val="14"/>
                <w:szCs w:val="14"/>
                <w:color w:val="auto"/>
              </w:rPr>
            </w:pPr>
          </w:p>
        </w:tc>
        <w:tc>
          <w:tcPr>
            <w:tcW w:w="800" w:type="dxa"/>
            <w:vAlign w:val="bottom"/>
          </w:tcPr>
          <w:p>
            <w:pPr>
              <w:jc w:val="center"/>
              <w:ind w:left="71"/>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10/20/2020</w:t>
            </w:r>
          </w:p>
        </w:tc>
        <w:tc>
          <w:tcPr>
            <w:tcW w:w="880" w:type="dxa"/>
            <w:vAlign w:val="bottom"/>
          </w:tcPr>
          <w:p>
            <w:pPr>
              <w:jc w:val="center"/>
              <w:ind w:right="171"/>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3.1(b)</w:t>
            </w:r>
          </w:p>
        </w:tc>
        <w:tc>
          <w:tcPr>
            <w:tcW w:w="54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Certificate of Amendment, dated June 27, 2024, to Amended and Restated</w:t>
              </w:r>
            </w:hyperlink>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000FF"/>
              </w:rPr>
            </w:pPr>
            <w:hyperlink r:id="rId306">
              <w:r>
                <w:rPr>
                  <w:rFonts w:ascii="Times New Roman" w:cs="Times New Roman" w:eastAsia="Times New Roman" w:hAnsi="Times New Roman"/>
                  <w:sz w:val="18"/>
                  <w:szCs w:val="18"/>
                  <w:color w:val="0000FF"/>
                </w:rPr>
                <w:t>Certificate of Incorporation.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6/28/2024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3.1(c)</w:t>
            </w:r>
          </w:p>
        </w:tc>
        <w:tc>
          <w:tcPr>
            <w:tcW w:w="49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Certificate of Amendment, dated August 14, 2024, to Amended and</w:t>
              </w:r>
            </w:hyperlink>
          </w:p>
        </w:tc>
        <w:tc>
          <w:tcPr>
            <w:tcW w:w="480" w:type="dxa"/>
            <w:vAlign w:val="bottom"/>
            <w:gridSpan w:val="9"/>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000FF"/>
              </w:rPr>
            </w:pPr>
            <w:hyperlink r:id="rId307">
              <w:r>
                <w:rPr>
                  <w:rFonts w:ascii="Times New Roman" w:cs="Times New Roman" w:eastAsia="Times New Roman" w:hAnsi="Times New Roman"/>
                  <w:sz w:val="18"/>
                  <w:szCs w:val="18"/>
                  <w:color w:val="0000FF"/>
                </w:rPr>
                <w:t>Restated Certificate of Incorporation.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8/19/2024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68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563C1"/>
              </w:rPr>
            </w:pPr>
            <w:hyperlink r:id="rId308">
              <w:r>
                <w:rPr>
                  <w:rFonts w:ascii="Times New Roman" w:cs="Times New Roman" w:eastAsia="Times New Roman" w:hAnsi="Times New Roman"/>
                  <w:sz w:val="18"/>
                  <w:szCs w:val="18"/>
                  <w:color w:val="0563C1"/>
                </w:rPr>
                <w:t>Amended and Restated Bylaws.</w:t>
              </w:r>
            </w:hyperlink>
          </w:p>
        </w:tc>
        <w:tc>
          <w:tcPr>
            <w:tcW w:w="2740" w:type="dxa"/>
            <w:vAlign w:val="bottom"/>
            <w:gridSpan w:val="23"/>
          </w:tcPr>
          <w:p>
            <w:pPr>
              <w:spacing w:after="0"/>
              <w:rPr>
                <w:sz w:val="17"/>
                <w:szCs w:val="17"/>
                <w:color w:val="auto"/>
              </w:rPr>
            </w:pPr>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10/20/2020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2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5420" w:type="dxa"/>
            <w:vAlign w:val="bottom"/>
            <w:gridSpan w:val="36"/>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305">
              <w:r>
                <w:rPr>
                  <w:rFonts w:ascii="Times New Roman" w:cs="Times New Roman" w:eastAsia="Times New Roman" w:hAnsi="Times New Roman"/>
                  <w:sz w:val="18"/>
                  <w:szCs w:val="18"/>
                  <w:color w:val="0563C1"/>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308">
              <w:r>
                <w:rPr>
                  <w:rFonts w:ascii="Times New Roman" w:cs="Times New Roman" w:eastAsia="Times New Roman" w:hAnsi="Times New Roman"/>
                  <w:sz w:val="18"/>
                  <w:szCs w:val="18"/>
                  <w:color w:val="0563C1"/>
                </w:rPr>
                <w:t>3.2</w:t>
              </w:r>
            </w:hyperlink>
            <w:r>
              <w:rPr>
                <w:rFonts w:ascii="Times New Roman" w:cs="Times New Roman" w:eastAsia="Times New Roman" w:hAnsi="Times New Roman"/>
                <w:sz w:val="18"/>
                <w:szCs w:val="18"/>
                <w:color w:val="auto"/>
              </w:rPr>
              <w:t>.</w:t>
            </w: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80" w:type="dxa"/>
            <w:vAlign w:val="bottom"/>
            <w:tcBorders>
              <w:left w:val="single" w:sz="8" w:color="0563C1"/>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5420" w:type="dxa"/>
            <w:vAlign w:val="bottom"/>
            <w:gridSpan w:val="36"/>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Form of Common Stock Certificate.</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11/6/2024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8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top w:val="single" w:sz="8" w:color="0000FF"/>
              <w:bottom w:val="single" w:sz="8" w:color="0000EE"/>
            </w:tcBorders>
          </w:tcPr>
          <w:p>
            <w:pPr>
              <w:spacing w:after="0"/>
              <w:rPr>
                <w:sz w:val="17"/>
                <w:szCs w:val="17"/>
                <w:color w:val="auto"/>
              </w:rPr>
            </w:pPr>
          </w:p>
        </w:tc>
        <w:tc>
          <w:tcPr>
            <w:tcW w:w="740" w:type="dxa"/>
            <w:vAlign w:val="bottom"/>
            <w:tcBorders>
              <w:top w:val="single" w:sz="8" w:color="0000FF"/>
            </w:tcBorders>
            <w:gridSpan w:val="7"/>
          </w:tcPr>
          <w:p>
            <w:pPr>
              <w:spacing w:after="0"/>
              <w:rPr>
                <w:sz w:val="17"/>
                <w:szCs w:val="17"/>
                <w:color w:val="auto"/>
              </w:rPr>
            </w:pPr>
          </w:p>
        </w:tc>
        <w:tc>
          <w:tcPr>
            <w:tcW w:w="2820" w:type="dxa"/>
            <w:vAlign w:val="bottom"/>
            <w:gridSpan w:val="24"/>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520" w:type="dxa"/>
            <w:vAlign w:val="bottom"/>
            <w:tcBorders>
              <w:bottom w:val="single" w:sz="8" w:color="0563C1"/>
            </w:tcBorders>
            <w:gridSpan w:val="11"/>
          </w:tcPr>
          <w:p>
            <w:pPr>
              <w:spacing w:after="0" w:line="196" w:lineRule="exact"/>
              <w:rPr>
                <w:rFonts w:ascii="Times New Roman" w:cs="Times New Roman" w:eastAsia="Times New Roman" w:hAnsi="Times New Roman"/>
                <w:sz w:val="18"/>
                <w:szCs w:val="18"/>
                <w:color w:val="0563C1"/>
                <w:w w:val="99"/>
              </w:rPr>
            </w:pPr>
            <w:hyperlink r:id="rId310">
              <w:r>
                <w:rPr>
                  <w:rFonts w:ascii="Times New Roman" w:cs="Times New Roman" w:eastAsia="Times New Roman" w:hAnsi="Times New Roman"/>
                  <w:sz w:val="18"/>
                  <w:szCs w:val="18"/>
                  <w:color w:val="0563C1"/>
                  <w:w w:val="99"/>
                </w:rPr>
                <w:t>Form of 2023 Pre-Funded Warrant</w:t>
              </w:r>
            </w:hyperlink>
          </w:p>
        </w:tc>
        <w:tc>
          <w:tcPr>
            <w:tcW w:w="2900" w:type="dxa"/>
            <w:vAlign w:val="bottom"/>
            <w:gridSpan w:val="25"/>
          </w:tcPr>
          <w:p>
            <w:pPr>
              <w:spacing w:after="0"/>
              <w:rPr>
                <w:sz w:val="17"/>
                <w:szCs w:val="17"/>
                <w:color w:val="auto"/>
              </w:rPr>
            </w:pPr>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10/25/2023</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11">
              <w:r>
                <w:rPr>
                  <w:rFonts w:ascii="Times New Roman" w:cs="Times New Roman" w:eastAsia="Times New Roman" w:hAnsi="Times New Roman"/>
                  <w:sz w:val="18"/>
                  <w:szCs w:val="18"/>
                  <w:color w:val="0563C1"/>
                </w:rPr>
                <w:t>Form of 2023 Common Warrant</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10/25/2023</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500" w:type="dxa"/>
            <w:vAlign w:val="bottom"/>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5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Form of 2025 Pre-Funded Warrant</w:t>
              </w:r>
            </w:hyperlink>
          </w:p>
        </w:tc>
        <w:tc>
          <w:tcPr>
            <w:tcW w:w="2900" w:type="dxa"/>
            <w:vAlign w:val="bottom"/>
            <w:gridSpan w:val="25"/>
          </w:tcPr>
          <w:p>
            <w:pPr>
              <w:spacing w:after="0"/>
              <w:rPr>
                <w:sz w:val="17"/>
                <w:szCs w:val="17"/>
                <w:color w:val="auto"/>
              </w:rPr>
            </w:pPr>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2/12/2025</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5420" w:type="dxa"/>
            <w:vAlign w:val="bottom"/>
            <w:gridSpan w:val="36"/>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Form of 2025 Common Warrant</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2/12/2025</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10.1(a)†</w:t>
            </w:r>
          </w:p>
        </w:tc>
        <w:tc>
          <w:tcPr>
            <w:tcW w:w="4820" w:type="dxa"/>
            <w:vAlign w:val="bottom"/>
            <w:tcBorders>
              <w:bottom w:val="single" w:sz="8" w:color="0563C1"/>
            </w:tcBorders>
            <w:gridSpan w:val="24"/>
          </w:tcPr>
          <w:p>
            <w:pPr>
              <w:spacing w:after="0" w:line="196" w:lineRule="exact"/>
              <w:rPr>
                <w:rFonts w:ascii="Times New Roman" w:cs="Times New Roman" w:eastAsia="Times New Roman" w:hAnsi="Times New Roman"/>
                <w:sz w:val="18"/>
                <w:szCs w:val="18"/>
                <w:color w:val="0563C1"/>
              </w:rPr>
            </w:pPr>
            <w:hyperlink r:id="rId314">
              <w:r>
                <w:rPr>
                  <w:rFonts w:ascii="Times New Roman" w:cs="Times New Roman" w:eastAsia="Times New Roman" w:hAnsi="Times New Roman"/>
                  <w:sz w:val="18"/>
                  <w:szCs w:val="18"/>
                  <w:color w:val="0563C1"/>
                </w:rPr>
                <w:t>Aligos Therapeutics/Emory University License Agreement by and</w:t>
              </w:r>
            </w:hyperlink>
          </w:p>
        </w:tc>
        <w:tc>
          <w:tcPr>
            <w:tcW w:w="600" w:type="dxa"/>
            <w:vAlign w:val="bottom"/>
            <w:gridSpan w:val="12"/>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14">
              <w:r>
                <w:rPr>
                  <w:rFonts w:ascii="Times New Roman" w:cs="Times New Roman" w:eastAsia="Times New Roman" w:hAnsi="Times New Roman"/>
                  <w:sz w:val="18"/>
                  <w:szCs w:val="18"/>
                  <w:color w:val="0563C1"/>
                </w:rPr>
                <w:t>between Aligos Therapeutics, Inc. and Emory University, dated June 26,</w:t>
              </w:r>
            </w:hyperlink>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 w:type="dxa"/>
            <w:vAlign w:val="bottom"/>
            <w:tcBorders>
              <w:top w:val="single" w:sz="8" w:color="0563C1"/>
              <w:bottom w:val="single" w:sz="8" w:color="0563C1"/>
            </w:tcBorders>
          </w:tcPr>
          <w:p>
            <w:pPr>
              <w:spacing w:after="0" w:line="196" w:lineRule="exact"/>
              <w:rPr>
                <w:rFonts w:ascii="Times New Roman" w:cs="Times New Roman" w:eastAsia="Times New Roman" w:hAnsi="Times New Roman"/>
                <w:sz w:val="18"/>
                <w:szCs w:val="18"/>
                <w:color w:val="0563C1"/>
                <w:w w:val="93"/>
              </w:rPr>
            </w:pPr>
            <w:hyperlink r:id="rId314">
              <w:r>
                <w:rPr>
                  <w:rFonts w:ascii="Times New Roman" w:cs="Times New Roman" w:eastAsia="Times New Roman" w:hAnsi="Times New Roman"/>
                  <w:sz w:val="18"/>
                  <w:szCs w:val="18"/>
                  <w:color w:val="0563C1"/>
                  <w:w w:val="93"/>
                </w:rPr>
                <w:t>2018.</w:t>
              </w:r>
            </w:hyperlink>
          </w:p>
        </w:tc>
        <w:tc>
          <w:tcPr>
            <w:tcW w:w="500" w:type="dxa"/>
            <w:vAlign w:val="bottom"/>
            <w:tcBorders>
              <w:top w:val="single" w:sz="8" w:color="0563C1"/>
            </w:tcBorders>
          </w:tcPr>
          <w:p>
            <w:pPr>
              <w:spacing w:after="0"/>
              <w:rPr>
                <w:sz w:val="17"/>
                <w:szCs w:val="17"/>
                <w:color w:val="auto"/>
              </w:rPr>
            </w:pPr>
          </w:p>
        </w:tc>
        <w:tc>
          <w:tcPr>
            <w:tcW w:w="72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50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26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10.1(a)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10.1(b)†</w:t>
            </w:r>
          </w:p>
        </w:tc>
        <w:tc>
          <w:tcPr>
            <w:tcW w:w="4640" w:type="dxa"/>
            <w:vAlign w:val="bottom"/>
            <w:tcBorders>
              <w:bottom w:val="single" w:sz="8" w:color="0563C1"/>
            </w:tcBorders>
            <w:gridSpan w:val="23"/>
          </w:tcPr>
          <w:p>
            <w:pPr>
              <w:spacing w:after="0" w:line="196" w:lineRule="exact"/>
              <w:rPr>
                <w:rFonts w:ascii="Times New Roman" w:cs="Times New Roman" w:eastAsia="Times New Roman" w:hAnsi="Times New Roman"/>
                <w:sz w:val="18"/>
                <w:szCs w:val="18"/>
                <w:color w:val="0563C1"/>
              </w:rPr>
            </w:pPr>
            <w:hyperlink r:id="rId315">
              <w:r>
                <w:rPr>
                  <w:rFonts w:ascii="Times New Roman" w:cs="Times New Roman" w:eastAsia="Times New Roman" w:hAnsi="Times New Roman"/>
                  <w:sz w:val="18"/>
                  <w:szCs w:val="18"/>
                  <w:color w:val="0563C1"/>
                </w:rPr>
                <w:t>First Amendment to License Agreement by and between Aligos</w:t>
              </w:r>
            </w:hyperlink>
          </w:p>
        </w:tc>
        <w:tc>
          <w:tcPr>
            <w:tcW w:w="780" w:type="dxa"/>
            <w:vAlign w:val="bottom"/>
            <w:gridSpan w:val="13"/>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20" w:type="dxa"/>
            <w:vAlign w:val="bottom"/>
            <w:tcBorders>
              <w:bottom w:val="single" w:sz="8" w:color="0563C1"/>
            </w:tcBorders>
            <w:gridSpan w:val="22"/>
          </w:tcPr>
          <w:p>
            <w:pPr>
              <w:spacing w:after="0" w:line="196" w:lineRule="exact"/>
              <w:rPr>
                <w:rFonts w:ascii="Times New Roman" w:cs="Times New Roman" w:eastAsia="Times New Roman" w:hAnsi="Times New Roman"/>
                <w:sz w:val="18"/>
                <w:szCs w:val="18"/>
                <w:color w:val="0563C1"/>
                <w:w w:val="99"/>
              </w:rPr>
            </w:pPr>
            <w:hyperlink r:id="rId315">
              <w:r>
                <w:rPr>
                  <w:rFonts w:ascii="Times New Roman" w:cs="Times New Roman" w:eastAsia="Times New Roman" w:hAnsi="Times New Roman"/>
                  <w:sz w:val="18"/>
                  <w:szCs w:val="18"/>
                  <w:color w:val="0563C1"/>
                  <w:w w:val="99"/>
                </w:rPr>
                <w:t>Therapeutics, Inc. and Emory University, dated June 18, 2020.</w:t>
              </w:r>
            </w:hyperlink>
          </w:p>
        </w:tc>
        <w:tc>
          <w:tcPr>
            <w:tcW w:w="900" w:type="dxa"/>
            <w:vAlign w:val="bottom"/>
            <w:gridSpan w:val="14"/>
          </w:tcPr>
          <w:p>
            <w:pPr>
              <w:spacing w:after="0"/>
              <w:rPr>
                <w:sz w:val="17"/>
                <w:szCs w:val="17"/>
                <w:color w:val="auto"/>
              </w:rPr>
            </w:pPr>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10.1(b)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10.2(a)†</w:t>
            </w:r>
          </w:p>
        </w:tc>
        <w:tc>
          <w:tcPr>
            <w:tcW w:w="5320" w:type="dxa"/>
            <w:vAlign w:val="bottom"/>
            <w:tcBorders>
              <w:bottom w:val="single" w:sz="8" w:color="0563C1"/>
            </w:tcBorders>
            <w:gridSpan w:val="34"/>
          </w:tcPr>
          <w:p>
            <w:pPr>
              <w:spacing w:after="0" w:line="196" w:lineRule="exact"/>
              <w:rPr>
                <w:rFonts w:ascii="Times New Roman" w:cs="Times New Roman" w:eastAsia="Times New Roman" w:hAnsi="Times New Roman"/>
                <w:sz w:val="18"/>
                <w:szCs w:val="18"/>
                <w:color w:val="0563C1"/>
              </w:rPr>
            </w:pPr>
            <w:hyperlink r:id="rId316">
              <w:r>
                <w:rPr>
                  <w:rFonts w:ascii="Times New Roman" w:cs="Times New Roman" w:eastAsia="Times New Roman" w:hAnsi="Times New Roman"/>
                  <w:sz w:val="18"/>
                  <w:szCs w:val="18"/>
                  <w:color w:val="0563C1"/>
                </w:rPr>
                <w:t>License Agreement by and between Aligos Therapeutics, Inc. and Luxna</w:t>
              </w:r>
            </w:hyperlink>
          </w:p>
        </w:tc>
        <w:tc>
          <w:tcPr>
            <w:tcW w:w="10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16">
              <w:r>
                <w:rPr>
                  <w:rFonts w:ascii="Times New Roman" w:cs="Times New Roman" w:eastAsia="Times New Roman" w:hAnsi="Times New Roman"/>
                  <w:sz w:val="18"/>
                  <w:szCs w:val="18"/>
                  <w:color w:val="0563C1"/>
                </w:rPr>
                <w:t>Biotech Co., Ltd., dated December 19, 2018.</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10.2(a)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tcBorders>
            <w:gridSpan w:val="6"/>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220" w:type="dxa"/>
            <w:vAlign w:val="bottom"/>
            <w:tcBorders>
              <w:right w:val="single" w:sz="8" w:color="0000EE"/>
            </w:tcBorders>
            <w:shd w:val="clear" w:color="auto" w:fill="0563C1"/>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10.2(b)†</w:t>
            </w:r>
          </w:p>
        </w:tc>
        <w:tc>
          <w:tcPr>
            <w:tcW w:w="5300" w:type="dxa"/>
            <w:vAlign w:val="bottom"/>
            <w:tcBorders>
              <w:bottom w:val="single" w:sz="8" w:color="0563C1"/>
            </w:tcBorders>
            <w:gridSpan w:val="33"/>
          </w:tcPr>
          <w:p>
            <w:pPr>
              <w:spacing w:after="0" w:line="196" w:lineRule="exact"/>
              <w:rPr>
                <w:rFonts w:ascii="Times New Roman" w:cs="Times New Roman" w:eastAsia="Times New Roman" w:hAnsi="Times New Roman"/>
                <w:sz w:val="18"/>
                <w:szCs w:val="18"/>
                <w:color w:val="0563C1"/>
              </w:rPr>
            </w:pPr>
            <w:hyperlink r:id="rId317">
              <w:r>
                <w:rPr>
                  <w:rFonts w:ascii="Times New Roman" w:cs="Times New Roman" w:eastAsia="Times New Roman" w:hAnsi="Times New Roman"/>
                  <w:sz w:val="18"/>
                  <w:szCs w:val="18"/>
                  <w:color w:val="0563C1"/>
                </w:rPr>
                <w:t>Amendment to License Agreement by and between Aligos Therapeutics,</w:t>
              </w:r>
            </w:hyperlink>
          </w:p>
        </w:tc>
        <w:tc>
          <w:tcPr>
            <w:tcW w:w="120" w:type="dxa"/>
            <w:vAlign w:val="bottom"/>
            <w:gridSpan w:val="3"/>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17">
              <w:r>
                <w:rPr>
                  <w:rFonts w:ascii="Times New Roman" w:cs="Times New Roman" w:eastAsia="Times New Roman" w:hAnsi="Times New Roman"/>
                  <w:sz w:val="18"/>
                  <w:szCs w:val="18"/>
                  <w:color w:val="0563C1"/>
                </w:rPr>
                <w:t>Inc. and Luxna Biotech Co., Ltd., dated April 8, 2020.</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10.2(b)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tcBorders>
            <w:gridSpan w:val="6"/>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80" w:type="dxa"/>
            <w:vAlign w:val="bottom"/>
            <w:tcBorders>
              <w:left w:val="single" w:sz="8" w:color="0563C1"/>
            </w:tcBorders>
            <w:shd w:val="clear" w:color="auto" w:fill="0563C1"/>
          </w:tcPr>
          <w:p>
            <w:pPr>
              <w:spacing w:after="0" w:line="20" w:lineRule="exact"/>
              <w:rPr>
                <w:sz w:val="1"/>
                <w:szCs w:val="1"/>
                <w:color w:val="auto"/>
              </w:rPr>
            </w:pPr>
          </w:p>
        </w:tc>
        <w:tc>
          <w:tcPr>
            <w:tcW w:w="880" w:type="dxa"/>
            <w:vAlign w:val="bottom"/>
            <w:gridSpan w:val="3"/>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5280" w:type="dxa"/>
            <w:vAlign w:val="bottom"/>
            <w:tcBorders>
              <w:bottom w:val="single" w:sz="8" w:color="0563C1"/>
            </w:tcBorders>
            <w:gridSpan w:val="32"/>
          </w:tcPr>
          <w:p>
            <w:pPr>
              <w:spacing w:after="0" w:line="196" w:lineRule="exact"/>
              <w:rPr>
                <w:rFonts w:ascii="Times New Roman" w:cs="Times New Roman" w:eastAsia="Times New Roman" w:hAnsi="Times New Roman"/>
                <w:sz w:val="18"/>
                <w:szCs w:val="18"/>
                <w:color w:val="0563C1"/>
              </w:rPr>
            </w:pPr>
            <w:hyperlink r:id="rId318">
              <w:r>
                <w:rPr>
                  <w:rFonts w:ascii="Times New Roman" w:cs="Times New Roman" w:eastAsia="Times New Roman" w:hAnsi="Times New Roman"/>
                  <w:sz w:val="18"/>
                  <w:szCs w:val="18"/>
                  <w:color w:val="0563C1"/>
                </w:rPr>
                <w:t>Lease between Aligos Therapeutics, Inc. and Britannia Biotech Gateway</w:t>
              </w:r>
            </w:hyperlink>
          </w:p>
        </w:tc>
        <w:tc>
          <w:tcPr>
            <w:tcW w:w="14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020" w:type="dxa"/>
            <w:vAlign w:val="bottom"/>
            <w:tcBorders>
              <w:bottom w:val="single" w:sz="8" w:color="0563C1"/>
            </w:tcBorders>
            <w:gridSpan w:val="17"/>
          </w:tcPr>
          <w:p>
            <w:pPr>
              <w:spacing w:after="0" w:line="196" w:lineRule="exact"/>
              <w:rPr>
                <w:rFonts w:ascii="Times New Roman" w:cs="Times New Roman" w:eastAsia="Times New Roman" w:hAnsi="Times New Roman"/>
                <w:sz w:val="18"/>
                <w:szCs w:val="18"/>
                <w:color w:val="0563C1"/>
                <w:w w:val="99"/>
              </w:rPr>
            </w:pPr>
            <w:hyperlink r:id="rId318">
              <w:r>
                <w:rPr>
                  <w:rFonts w:ascii="Times New Roman" w:cs="Times New Roman" w:eastAsia="Times New Roman" w:hAnsi="Times New Roman"/>
                  <w:sz w:val="18"/>
                  <w:szCs w:val="18"/>
                  <w:color w:val="0563C1"/>
                  <w:w w:val="99"/>
                </w:rPr>
                <w:t>Limited Partnership, dated June 21, 2018.</w:t>
              </w:r>
            </w:hyperlink>
          </w:p>
        </w:tc>
        <w:tc>
          <w:tcPr>
            <w:tcW w:w="2400" w:type="dxa"/>
            <w:vAlign w:val="bottom"/>
            <w:gridSpan w:val="19"/>
          </w:tcPr>
          <w:p>
            <w:pPr>
              <w:spacing w:after="0"/>
              <w:rPr>
                <w:sz w:val="17"/>
                <w:szCs w:val="17"/>
                <w:color w:val="auto"/>
              </w:rPr>
            </w:pPr>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10.4(a)#</w:t>
            </w: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19">
              <w:r>
                <w:rPr>
                  <w:rFonts w:ascii="Times New Roman" w:cs="Times New Roman" w:eastAsia="Times New Roman" w:hAnsi="Times New Roman"/>
                  <w:sz w:val="18"/>
                  <w:szCs w:val="18"/>
                  <w:color w:val="0563C1"/>
                </w:rPr>
                <w:t>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10.5(a)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tcBorders>
            <w:gridSpan w:val="6"/>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10.4(b)#</w:t>
            </w:r>
          </w:p>
        </w:tc>
        <w:tc>
          <w:tcPr>
            <w:tcW w:w="5220" w:type="dxa"/>
            <w:vAlign w:val="bottom"/>
            <w:tcBorders>
              <w:bottom w:val="single" w:sz="8" w:color="0563C1"/>
            </w:tcBorders>
            <w:gridSpan w:val="30"/>
          </w:tcPr>
          <w:p>
            <w:pPr>
              <w:spacing w:after="0" w:line="196" w:lineRule="exact"/>
              <w:rPr>
                <w:rFonts w:ascii="Times New Roman" w:cs="Times New Roman" w:eastAsia="Times New Roman" w:hAnsi="Times New Roman"/>
                <w:sz w:val="18"/>
                <w:szCs w:val="18"/>
                <w:color w:val="0563C1"/>
              </w:rPr>
            </w:pPr>
            <w:hyperlink r:id="rId320">
              <w:r>
                <w:rPr>
                  <w:rFonts w:ascii="Times New Roman" w:cs="Times New Roman" w:eastAsia="Times New Roman" w:hAnsi="Times New Roman"/>
                  <w:sz w:val="18"/>
                  <w:szCs w:val="18"/>
                  <w:color w:val="0563C1"/>
                </w:rPr>
                <w:t>Form of Stock Option Grant Notice and Stock Option Agreement under</w:t>
              </w:r>
            </w:hyperlink>
          </w:p>
        </w:tc>
        <w:tc>
          <w:tcPr>
            <w:tcW w:w="20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20">
              <w:r>
                <w:rPr>
                  <w:rFonts w:ascii="Times New Roman" w:cs="Times New Roman" w:eastAsia="Times New Roman" w:hAnsi="Times New Roman"/>
                  <w:sz w:val="18"/>
                  <w:szCs w:val="18"/>
                  <w:color w:val="0563C1"/>
                </w:rPr>
                <w:t>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10.5(b)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tcBorders>
            <w:gridSpan w:val="6"/>
            <w:shd w:val="clear" w:color="auto" w:fill="0563C1"/>
          </w:tcPr>
          <w:p>
            <w:pPr>
              <w:spacing w:after="0" w:line="20" w:lineRule="exact"/>
              <w:rPr>
                <w:sz w:val="1"/>
                <w:szCs w:val="1"/>
                <w:color w:val="auto"/>
              </w:rPr>
            </w:pPr>
          </w:p>
        </w:tc>
        <w:tc>
          <w:tcPr>
            <w:tcW w:w="240" w:type="dxa"/>
            <w:vAlign w:val="bottom"/>
            <w:gridSpan w:val="2"/>
            <w:shd w:val="clear" w:color="auto" w:fill="0563C1"/>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10.4(c)#</w:t>
            </w:r>
          </w:p>
        </w:tc>
        <w:tc>
          <w:tcPr>
            <w:tcW w:w="5020" w:type="dxa"/>
            <w:vAlign w:val="bottom"/>
            <w:tcBorders>
              <w:bottom w:val="single" w:sz="8" w:color="0563C1"/>
            </w:tcBorders>
            <w:gridSpan w:val="28"/>
          </w:tcPr>
          <w:p>
            <w:pPr>
              <w:spacing w:after="0" w:line="196" w:lineRule="exact"/>
              <w:rPr>
                <w:rFonts w:ascii="Times New Roman" w:cs="Times New Roman" w:eastAsia="Times New Roman" w:hAnsi="Times New Roman"/>
                <w:sz w:val="18"/>
                <w:szCs w:val="18"/>
                <w:color w:val="0563C1"/>
              </w:rPr>
            </w:pPr>
            <w:hyperlink r:id="rId321">
              <w:r>
                <w:rPr>
                  <w:rFonts w:ascii="Times New Roman" w:cs="Times New Roman" w:eastAsia="Times New Roman" w:hAnsi="Times New Roman"/>
                  <w:sz w:val="18"/>
                  <w:szCs w:val="18"/>
                  <w:color w:val="0563C1"/>
                </w:rPr>
                <w:t>Form of Early Exercise Stock Option Grant Notice and Stock Option</w:t>
              </w:r>
            </w:hyperlink>
          </w:p>
        </w:tc>
        <w:tc>
          <w:tcPr>
            <w:tcW w:w="40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21">
              <w:r>
                <w:rPr>
                  <w:rFonts w:ascii="Times New Roman" w:cs="Times New Roman" w:eastAsia="Times New Roman" w:hAnsi="Times New Roman"/>
                  <w:sz w:val="18"/>
                  <w:szCs w:val="18"/>
                  <w:color w:val="0563C1"/>
                </w:rPr>
                <w:t>Agreement under 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10.5(c)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tcBorders>
              <w:left w:val="single" w:sz="8" w:color="0563C1"/>
            </w:tcBorders>
            <w:gridSpan w:val="2"/>
            <w:shd w:val="clear" w:color="auto" w:fill="0563C1"/>
          </w:tcPr>
          <w:p>
            <w:pPr>
              <w:spacing w:after="0" w:line="20" w:lineRule="exact"/>
              <w:rPr>
                <w:sz w:val="1"/>
                <w:szCs w:val="1"/>
                <w:color w:val="auto"/>
              </w:rPr>
            </w:pPr>
          </w:p>
        </w:tc>
        <w:tc>
          <w:tcPr>
            <w:tcW w:w="420" w:type="dxa"/>
            <w:vAlign w:val="bottom"/>
            <w:tcBorders>
              <w:left w:val="single" w:sz="8" w:color="0563C1"/>
            </w:tcBorders>
            <w:gridSpan w:val="6"/>
            <w:shd w:val="clear" w:color="auto" w:fill="0563C1"/>
          </w:tcPr>
          <w:p>
            <w:pPr>
              <w:spacing w:after="0" w:line="20" w:lineRule="exact"/>
              <w:rPr>
                <w:sz w:val="1"/>
                <w:szCs w:val="1"/>
                <w:color w:val="auto"/>
              </w:rPr>
            </w:pPr>
          </w:p>
        </w:tc>
        <w:tc>
          <w:tcPr>
            <w:tcW w:w="1560" w:type="dxa"/>
            <w:vAlign w:val="bottom"/>
            <w:tcBorders>
              <w:right w:val="single" w:sz="8" w:color="0000EE"/>
            </w:tcBorders>
            <w:gridSpan w:val="7"/>
            <w:shd w:val="clear" w:color="auto" w:fill="0563C1"/>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10.4(d)#</w:t>
            </w:r>
          </w:p>
        </w:tc>
        <w:tc>
          <w:tcPr>
            <w:tcW w:w="4880" w:type="dxa"/>
            <w:vAlign w:val="bottom"/>
            <w:tcBorders>
              <w:bottom w:val="single" w:sz="8" w:color="0563C1"/>
            </w:tcBorders>
            <w:gridSpan w:val="26"/>
          </w:tcPr>
          <w:p>
            <w:pPr>
              <w:spacing w:after="0" w:line="196" w:lineRule="exact"/>
              <w:rPr>
                <w:rFonts w:ascii="Times New Roman" w:cs="Times New Roman" w:eastAsia="Times New Roman" w:hAnsi="Times New Roman"/>
                <w:sz w:val="18"/>
                <w:szCs w:val="18"/>
                <w:color w:val="0563C1"/>
              </w:rPr>
            </w:pPr>
            <w:hyperlink r:id="rId322">
              <w:r>
                <w:rPr>
                  <w:rFonts w:ascii="Times New Roman" w:cs="Times New Roman" w:eastAsia="Times New Roman" w:hAnsi="Times New Roman"/>
                  <w:sz w:val="18"/>
                  <w:szCs w:val="18"/>
                  <w:color w:val="0563C1"/>
                </w:rPr>
                <w:t>Form of International Stock Option Grant Notice and Stock Option</w:t>
              </w:r>
            </w:hyperlink>
          </w:p>
        </w:tc>
        <w:tc>
          <w:tcPr>
            <w:tcW w:w="540" w:type="dxa"/>
            <w:vAlign w:val="bottom"/>
            <w:gridSpan w:val="10"/>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22">
              <w:r>
                <w:rPr>
                  <w:rFonts w:ascii="Times New Roman" w:cs="Times New Roman" w:eastAsia="Times New Roman" w:hAnsi="Times New Roman"/>
                  <w:sz w:val="18"/>
                  <w:szCs w:val="18"/>
                  <w:color w:val="0563C1"/>
                </w:rPr>
                <w:t>Agreement under 2018 Equity Incentive Plan, as amended.</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9/25/2020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10.5(d)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10.5(a)#</w:t>
            </w:r>
          </w:p>
        </w:tc>
        <w:tc>
          <w:tcPr>
            <w:tcW w:w="4260" w:type="dxa"/>
            <w:vAlign w:val="bottom"/>
            <w:tcBorders>
              <w:top w:val="single" w:sz="8" w:color="0563C1"/>
            </w:tcBorders>
            <w:gridSpan w:val="21"/>
          </w:tcPr>
          <w:p>
            <w:pPr>
              <w:spacing w:after="0" w:line="196" w:lineRule="exact"/>
              <w:rPr>
                <w:rFonts w:ascii="Times New Roman" w:cs="Times New Roman" w:eastAsia="Times New Roman" w:hAnsi="Times New Roman"/>
                <w:sz w:val="18"/>
                <w:szCs w:val="18"/>
                <w:color w:val="0563C1"/>
              </w:rPr>
            </w:pPr>
            <w:hyperlink r:id="rId323">
              <w:r>
                <w:rPr>
                  <w:rFonts w:ascii="Times New Roman" w:cs="Times New Roman" w:eastAsia="Times New Roman" w:hAnsi="Times New Roman"/>
                  <w:sz w:val="18"/>
                  <w:szCs w:val="18"/>
                  <w:color w:val="0563C1"/>
                </w:rPr>
                <w:t>2020 Incentive Award Plan.</w:t>
              </w:r>
            </w:hyperlink>
          </w:p>
        </w:tc>
        <w:tc>
          <w:tcPr>
            <w:tcW w:w="1160" w:type="dxa"/>
            <w:vAlign w:val="bottom"/>
            <w:gridSpan w:val="15"/>
          </w:tcPr>
          <w:p>
            <w:pPr>
              <w:spacing w:after="0"/>
              <w:rPr>
                <w:sz w:val="17"/>
                <w:szCs w:val="17"/>
                <w:color w:val="auto"/>
              </w:rPr>
            </w:pPr>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10.6(a)</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400" w:type="dxa"/>
            <w:vAlign w:val="bottom"/>
            <w:gridSpan w:val="3"/>
            <w:shd w:val="clear" w:color="auto" w:fill="0563C1"/>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10.5(b)#</w:t>
            </w:r>
          </w:p>
        </w:tc>
        <w:tc>
          <w:tcPr>
            <w:tcW w:w="5420" w:type="dxa"/>
            <w:vAlign w:val="bottom"/>
            <w:gridSpan w:val="36"/>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Amendment to the Aligos Therapeutics, Inc. 2020 Incentive Award Plan.</w:t>
              </w:r>
            </w:hyperlink>
          </w:p>
        </w:tc>
        <w:tc>
          <w:tcPr>
            <w:tcW w:w="800" w:type="dxa"/>
            <w:vAlign w:val="bottom"/>
          </w:tcPr>
          <w:p>
            <w:pPr>
              <w:jc w:val="center"/>
              <w:ind w:left="71"/>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6/28/2024</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10.1</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10.5(c)#</w:t>
            </w:r>
          </w:p>
        </w:tc>
        <w:tc>
          <w:tcPr>
            <w:tcW w:w="5220" w:type="dxa"/>
            <w:vAlign w:val="bottom"/>
            <w:tcBorders>
              <w:top w:val="single" w:sz="8" w:color="0000FF"/>
              <w:bottom w:val="single" w:sz="8" w:color="0563C1"/>
            </w:tcBorders>
            <w:gridSpan w:val="30"/>
          </w:tcPr>
          <w:p>
            <w:pPr>
              <w:spacing w:after="0" w:line="196" w:lineRule="exact"/>
              <w:rPr>
                <w:rFonts w:ascii="Times New Roman" w:cs="Times New Roman" w:eastAsia="Times New Roman" w:hAnsi="Times New Roman"/>
                <w:sz w:val="18"/>
                <w:szCs w:val="18"/>
                <w:color w:val="0563C1"/>
              </w:rPr>
            </w:pPr>
            <w:hyperlink r:id="rId325">
              <w:r>
                <w:rPr>
                  <w:rFonts w:ascii="Times New Roman" w:cs="Times New Roman" w:eastAsia="Times New Roman" w:hAnsi="Times New Roman"/>
                  <w:sz w:val="18"/>
                  <w:szCs w:val="18"/>
                  <w:color w:val="0563C1"/>
                </w:rPr>
                <w:t>Form of Stock Option Grant Notice and Stock Option Agreement under</w:t>
              </w:r>
            </w:hyperlink>
          </w:p>
        </w:tc>
        <w:tc>
          <w:tcPr>
            <w:tcW w:w="40" w:type="dxa"/>
            <w:vAlign w:val="bottom"/>
            <w:tcBorders>
              <w:top w:val="single" w:sz="8" w:color="0000FF"/>
            </w:tcBorders>
          </w:tcPr>
          <w:p>
            <w:pPr>
              <w:spacing w:after="0"/>
              <w:rPr>
                <w:sz w:val="17"/>
                <w:szCs w:val="17"/>
                <w:color w:val="auto"/>
              </w:rPr>
            </w:pPr>
          </w:p>
        </w:tc>
        <w:tc>
          <w:tcPr>
            <w:tcW w:w="16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25">
              <w:r>
                <w:rPr>
                  <w:rFonts w:ascii="Times New Roman" w:cs="Times New Roman" w:eastAsia="Times New Roman" w:hAnsi="Times New Roman"/>
                  <w:sz w:val="18"/>
                  <w:szCs w:val="18"/>
                  <w:color w:val="0563C1"/>
                </w:rPr>
                <w:t>the 2020 Incentive Award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10.6(b)</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shd w:val="clear" w:color="auto" w:fill="0563C1"/>
          </w:tcPr>
          <w:p>
            <w:pPr>
              <w:spacing w:after="0" w:line="20" w:lineRule="exact"/>
              <w:rPr>
                <w:sz w:val="1"/>
                <w:szCs w:val="1"/>
                <w:color w:val="auto"/>
              </w:rPr>
            </w:pPr>
          </w:p>
        </w:tc>
        <w:tc>
          <w:tcPr>
            <w:tcW w:w="660" w:type="dxa"/>
            <w:vAlign w:val="bottom"/>
            <w:gridSpan w:val="5"/>
            <w:shd w:val="clear" w:color="auto" w:fill="0563C1"/>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10.5(d)#</w:t>
            </w:r>
          </w:p>
        </w:tc>
        <w:tc>
          <w:tcPr>
            <w:tcW w:w="5080" w:type="dxa"/>
            <w:vAlign w:val="bottom"/>
            <w:tcBorders>
              <w:bottom w:val="single" w:sz="8" w:color="0563C1"/>
            </w:tcBorders>
            <w:gridSpan w:val="29"/>
          </w:tcPr>
          <w:p>
            <w:pPr>
              <w:spacing w:after="0" w:line="196" w:lineRule="exact"/>
              <w:rPr>
                <w:rFonts w:ascii="Times New Roman" w:cs="Times New Roman" w:eastAsia="Times New Roman" w:hAnsi="Times New Roman"/>
                <w:sz w:val="18"/>
                <w:szCs w:val="18"/>
                <w:color w:val="0563C1"/>
              </w:rPr>
            </w:pPr>
            <w:hyperlink r:id="rId326">
              <w:r>
                <w:rPr>
                  <w:rFonts w:ascii="Times New Roman" w:cs="Times New Roman" w:eastAsia="Times New Roman" w:hAnsi="Times New Roman"/>
                  <w:sz w:val="18"/>
                  <w:szCs w:val="18"/>
                  <w:color w:val="0563C1"/>
                </w:rPr>
                <w:t>Form of Restricted Stock Award Agreement under the 2020 Incentive</w:t>
              </w:r>
            </w:hyperlink>
          </w:p>
        </w:tc>
        <w:tc>
          <w:tcPr>
            <w:tcW w:w="34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420" w:type="dxa"/>
            <w:vAlign w:val="bottom"/>
            <w:gridSpan w:val="36"/>
          </w:tcPr>
          <w:p>
            <w:pPr>
              <w:spacing w:after="0" w:line="196" w:lineRule="exact"/>
              <w:rPr>
                <w:rFonts w:ascii="Times New Roman" w:cs="Times New Roman" w:eastAsia="Times New Roman" w:hAnsi="Times New Roman"/>
                <w:sz w:val="18"/>
                <w:szCs w:val="18"/>
                <w:color w:val="0563C1"/>
              </w:rPr>
            </w:pPr>
            <w:hyperlink r:id="rId326">
              <w:r>
                <w:rPr>
                  <w:rFonts w:ascii="Times New Roman" w:cs="Times New Roman" w:eastAsia="Times New Roman" w:hAnsi="Times New Roman"/>
                  <w:sz w:val="18"/>
                  <w:szCs w:val="18"/>
                  <w:color w:val="0563C1"/>
                </w:rPr>
                <w:t>Award Plan.</w:t>
              </w:r>
            </w:hyperlink>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7"/>
              </w:rPr>
              <w:t>10.6(c)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gridSpan w:val="2"/>
            <w:shd w:val="clear" w:color="auto" w:fill="0563C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2160" w:type="dxa"/>
            <w:vAlign w:val="bottom"/>
            <w:gridSpan w:val="11"/>
          </w:tcPr>
          <w:p>
            <w:pPr>
              <w:spacing w:after="0" w:line="20" w:lineRule="exact"/>
              <w:rPr>
                <w:sz w:val="1"/>
                <w:szCs w:val="1"/>
                <w:color w:val="auto"/>
              </w:rPr>
            </w:pPr>
          </w:p>
        </w:tc>
        <w:tc>
          <w:tcPr>
            <w:tcW w:w="56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10.5(e)#</w:t>
            </w:r>
          </w:p>
        </w:tc>
        <w:tc>
          <w:tcPr>
            <w:tcW w:w="4860" w:type="dxa"/>
            <w:vAlign w:val="bottom"/>
            <w:tcBorders>
              <w:bottom w:val="single" w:sz="8" w:color="0563C1"/>
            </w:tcBorders>
            <w:gridSpan w:val="25"/>
          </w:tcPr>
          <w:p>
            <w:pPr>
              <w:spacing w:after="0" w:line="196" w:lineRule="exact"/>
              <w:rPr>
                <w:rFonts w:ascii="Times New Roman" w:cs="Times New Roman" w:eastAsia="Times New Roman" w:hAnsi="Times New Roman"/>
                <w:sz w:val="18"/>
                <w:szCs w:val="18"/>
                <w:color w:val="0563C1"/>
              </w:rPr>
            </w:pPr>
            <w:hyperlink r:id="rId327">
              <w:r>
                <w:rPr>
                  <w:rFonts w:ascii="Times New Roman" w:cs="Times New Roman" w:eastAsia="Times New Roman" w:hAnsi="Times New Roman"/>
                  <w:sz w:val="18"/>
                  <w:szCs w:val="18"/>
                  <w:color w:val="0563C1"/>
                </w:rPr>
                <w:t>Form of Restricted Stock Unit Award Grant Notice under the 2020</w:t>
              </w:r>
            </w:hyperlink>
          </w:p>
        </w:tc>
        <w:tc>
          <w:tcPr>
            <w:tcW w:w="56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620" w:type="dxa"/>
            <w:vAlign w:val="bottom"/>
            <w:tcBorders>
              <w:bottom w:val="single" w:sz="8" w:color="0563C1"/>
            </w:tcBorders>
            <w:gridSpan w:val="3"/>
          </w:tcPr>
          <w:p>
            <w:pPr>
              <w:spacing w:after="0" w:line="196" w:lineRule="exact"/>
              <w:rPr>
                <w:rFonts w:ascii="Times New Roman" w:cs="Times New Roman" w:eastAsia="Times New Roman" w:hAnsi="Times New Roman"/>
                <w:sz w:val="18"/>
                <w:szCs w:val="18"/>
                <w:color w:val="0563C1"/>
                <w:w w:val="99"/>
              </w:rPr>
            </w:pPr>
            <w:hyperlink r:id="rId327">
              <w:r>
                <w:rPr>
                  <w:rFonts w:ascii="Times New Roman" w:cs="Times New Roman" w:eastAsia="Times New Roman" w:hAnsi="Times New Roman"/>
                  <w:sz w:val="18"/>
                  <w:szCs w:val="18"/>
                  <w:color w:val="0563C1"/>
                  <w:w w:val="99"/>
                </w:rPr>
                <w:t>Incentive Award Plan.</w:t>
              </w:r>
            </w:hyperlink>
          </w:p>
        </w:tc>
        <w:tc>
          <w:tcPr>
            <w:tcW w:w="3800" w:type="dxa"/>
            <w:vAlign w:val="bottom"/>
            <w:gridSpan w:val="33"/>
          </w:tcPr>
          <w:p>
            <w:pPr>
              <w:spacing w:after="0"/>
              <w:rPr>
                <w:sz w:val="17"/>
                <w:szCs w:val="17"/>
                <w:color w:val="auto"/>
              </w:rPr>
            </w:pPr>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rPr>
              <w:t>10.6(d)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700" w:type="dxa"/>
            <w:vAlign w:val="bottom"/>
            <w:tcBorders>
              <w:bottom w:val="single" w:sz="8" w:color="0563C1"/>
            </w:tcBorders>
            <w:gridSpan w:val="14"/>
          </w:tcPr>
          <w:p>
            <w:pPr>
              <w:spacing w:after="0" w:line="196" w:lineRule="exact"/>
              <w:rPr>
                <w:rFonts w:ascii="Times New Roman" w:cs="Times New Roman" w:eastAsia="Times New Roman" w:hAnsi="Times New Roman"/>
                <w:sz w:val="18"/>
                <w:szCs w:val="18"/>
                <w:color w:val="0563C1"/>
                <w:w w:val="99"/>
              </w:rPr>
            </w:pPr>
            <w:hyperlink r:id="rId328">
              <w:r>
                <w:rPr>
                  <w:rFonts w:ascii="Times New Roman" w:cs="Times New Roman" w:eastAsia="Times New Roman" w:hAnsi="Times New Roman"/>
                  <w:sz w:val="18"/>
                  <w:szCs w:val="18"/>
                  <w:color w:val="0563C1"/>
                  <w:w w:val="99"/>
                </w:rPr>
                <w:t>2020 Employee Stock Purchase Plan.</w:t>
              </w:r>
            </w:hyperlink>
          </w:p>
        </w:tc>
        <w:tc>
          <w:tcPr>
            <w:tcW w:w="2720" w:type="dxa"/>
            <w:vAlign w:val="bottom"/>
            <w:gridSpan w:val="22"/>
          </w:tcPr>
          <w:p>
            <w:pPr>
              <w:spacing w:after="0"/>
              <w:rPr>
                <w:sz w:val="17"/>
                <w:szCs w:val="17"/>
                <w:color w:val="auto"/>
              </w:rPr>
            </w:pPr>
          </w:p>
        </w:tc>
        <w:tc>
          <w:tcPr>
            <w:tcW w:w="800" w:type="dxa"/>
            <w:vAlign w:val="bottom"/>
          </w:tcPr>
          <w:p>
            <w:pPr>
              <w:jc w:val="center"/>
              <w:ind w:left="91"/>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10/9/2020</w:t>
            </w:r>
          </w:p>
        </w:tc>
        <w:tc>
          <w:tcPr>
            <w:tcW w:w="880" w:type="dxa"/>
            <w:vAlign w:val="bottom"/>
          </w:tcPr>
          <w:p>
            <w:pPr>
              <w:jc w:val="center"/>
              <w:ind w:right="171"/>
              <w:spacing w:after="0" w:line="196" w:lineRule="exact"/>
              <w:rPr>
                <w:sz w:val="20"/>
                <w:szCs w:val="20"/>
                <w:color w:val="auto"/>
              </w:rPr>
            </w:pPr>
            <w:r>
              <w:rPr>
                <w:rFonts w:ascii="Times New Roman" w:cs="Times New Roman" w:eastAsia="Times New Roman" w:hAnsi="Times New Roman"/>
                <w:sz w:val="18"/>
                <w:szCs w:val="18"/>
                <w:color w:val="auto"/>
                <w:w w:val="95"/>
              </w:rPr>
              <w:t>10.7</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8"/>
        </w:trPr>
        <w:tc>
          <w:tcPr>
            <w:tcW w:w="1140" w:type="dxa"/>
            <w:vAlign w:val="bottom"/>
          </w:tcPr>
          <w:p>
            <w:pPr>
              <w:spacing w:after="0"/>
              <w:rPr>
                <w:sz w:val="24"/>
                <w:szCs w:val="24"/>
                <w:color w:val="auto"/>
              </w:rPr>
            </w:pPr>
          </w:p>
        </w:tc>
        <w:tc>
          <w:tcPr>
            <w:tcW w:w="4640" w:type="dxa"/>
            <w:vAlign w:val="bottom"/>
            <w:gridSpan w:val="23"/>
          </w:tcPr>
          <w:p>
            <w:pPr>
              <w:ind w:left="434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10.7(a)#</w:t>
            </w:r>
          </w:p>
        </w:tc>
        <w:tc>
          <w:tcPr>
            <w:tcW w:w="5400" w:type="dxa"/>
            <w:vAlign w:val="bottom"/>
            <w:gridSpan w:val="35"/>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2024 Employment Inducement Award Plan</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10.7(b)#</w:t>
            </w:r>
          </w:p>
        </w:tc>
        <w:tc>
          <w:tcPr>
            <w:tcW w:w="47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Form of Stock Option Grant Notice and Stock Option Agreement</w:t>
              </w:r>
            </w:hyperlink>
          </w:p>
        </w:tc>
        <w:tc>
          <w:tcPr>
            <w:tcW w:w="20" w:type="dxa"/>
            <w:vAlign w:val="bottom"/>
            <w:tcBorders>
              <w:bottom w:val="single" w:sz="8" w:color="0000EE"/>
            </w:tcBorders>
          </w:tcPr>
          <w:p>
            <w:pPr>
              <w:spacing w:after="0"/>
              <w:rPr>
                <w:sz w:val="17"/>
                <w:szCs w:val="17"/>
                <w:color w:val="auto"/>
              </w:rPr>
            </w:pPr>
          </w:p>
        </w:tc>
        <w:tc>
          <w:tcPr>
            <w:tcW w:w="660" w:type="dxa"/>
            <w:vAlign w:val="bottom"/>
            <w:gridSpan w:val="1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10.7(c)#</w:t>
            </w:r>
          </w:p>
        </w:tc>
        <w:tc>
          <w:tcPr>
            <w:tcW w:w="530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Form of Restricted Stock Unit Award Grant Notice and Restricted Stock</w:t>
              </w:r>
            </w:hyperlink>
          </w:p>
        </w:tc>
        <w:tc>
          <w:tcPr>
            <w:tcW w:w="1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35"/>
          </w:tcPr>
          <w:p>
            <w:pPr>
              <w:spacing w:after="0" w:line="196" w:lineRule="exact"/>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Unit Award Agreement.</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4580" w:type="dxa"/>
            <w:vAlign w:val="bottom"/>
            <w:tcBorders>
              <w:bottom w:val="single" w:sz="8" w:color="0563C1"/>
            </w:tcBorders>
            <w:gridSpan w:val="18"/>
          </w:tcPr>
          <w:p>
            <w:pPr>
              <w:spacing w:after="0" w:line="196" w:lineRule="exact"/>
              <w:rPr>
                <w:rFonts w:ascii="Times New Roman" w:cs="Times New Roman" w:eastAsia="Times New Roman" w:hAnsi="Times New Roman"/>
                <w:sz w:val="18"/>
                <w:szCs w:val="18"/>
                <w:color w:val="0563C1"/>
                <w:w w:val="99"/>
              </w:rPr>
            </w:pPr>
            <w:hyperlink r:id="rId334">
              <w:r>
                <w:rPr>
                  <w:rFonts w:ascii="Times New Roman" w:cs="Times New Roman" w:eastAsia="Times New Roman" w:hAnsi="Times New Roman"/>
                  <w:sz w:val="18"/>
                  <w:szCs w:val="18"/>
                  <w:color w:val="0563C1"/>
                  <w:w w:val="99"/>
                </w:rPr>
                <w:t>Form of Indemnification Agreement for Directors and Officers.</w:t>
              </w:r>
            </w:hyperlink>
          </w:p>
        </w:tc>
        <w:tc>
          <w:tcPr>
            <w:tcW w:w="820" w:type="dxa"/>
            <w:vAlign w:val="bottom"/>
            <w:gridSpan w:val="17"/>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5340" w:type="dxa"/>
            <w:vAlign w:val="bottom"/>
            <w:tcBorders>
              <w:bottom w:val="single" w:sz="8" w:color="0563C1"/>
            </w:tcBorders>
            <w:gridSpan w:val="33"/>
          </w:tcPr>
          <w:p>
            <w:pPr>
              <w:spacing w:after="0" w:line="196" w:lineRule="exact"/>
              <w:rPr>
                <w:rFonts w:ascii="Times New Roman" w:cs="Times New Roman" w:eastAsia="Times New Roman" w:hAnsi="Times New Roman"/>
                <w:sz w:val="18"/>
                <w:szCs w:val="18"/>
                <w:color w:val="0563C1"/>
              </w:rPr>
            </w:pPr>
            <w:hyperlink r:id="rId335">
              <w:r>
                <w:rPr>
                  <w:rFonts w:ascii="Times New Roman" w:cs="Times New Roman" w:eastAsia="Times New Roman" w:hAnsi="Times New Roman"/>
                  <w:sz w:val="18"/>
                  <w:szCs w:val="18"/>
                  <w:color w:val="0563C1"/>
                </w:rPr>
                <w:t>Amended and Restated Employment Agreement, effective as of February</w:t>
              </w:r>
            </w:hyperlink>
          </w:p>
        </w:tc>
        <w:tc>
          <w:tcPr>
            <w:tcW w:w="60" w:type="dxa"/>
            <w:vAlign w:val="bottom"/>
            <w:gridSpan w:val="2"/>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080" w:type="dxa"/>
            <w:vAlign w:val="bottom"/>
            <w:tcBorders>
              <w:bottom w:val="single" w:sz="8" w:color="0563C1"/>
            </w:tcBorders>
            <w:gridSpan w:val="23"/>
          </w:tcPr>
          <w:p>
            <w:pPr>
              <w:spacing w:after="0" w:line="196" w:lineRule="exact"/>
              <w:rPr>
                <w:rFonts w:ascii="Times New Roman" w:cs="Times New Roman" w:eastAsia="Times New Roman" w:hAnsi="Times New Roman"/>
                <w:sz w:val="18"/>
                <w:szCs w:val="18"/>
                <w:color w:val="0563C1"/>
                <w:w w:val="99"/>
              </w:rPr>
            </w:pPr>
            <w:hyperlink r:id="rId335">
              <w:r>
                <w:rPr>
                  <w:rFonts w:ascii="Times New Roman" w:cs="Times New Roman" w:eastAsia="Times New Roman" w:hAnsi="Times New Roman"/>
                  <w:sz w:val="18"/>
                  <w:szCs w:val="18"/>
                  <w:color w:val="0563C1"/>
                  <w:w w:val="99"/>
                </w:rPr>
                <w:t>10, 2021, by and between the Company and Lawrence M. Blatt, Ph.D.</w:t>
              </w:r>
            </w:hyperlink>
          </w:p>
        </w:tc>
        <w:tc>
          <w:tcPr>
            <w:tcW w:w="320" w:type="dxa"/>
            <w:vAlign w:val="bottom"/>
            <w:gridSpan w:val="1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5160" w:type="dxa"/>
            <w:vAlign w:val="bottom"/>
            <w:tcBorders>
              <w:bottom w:val="single" w:sz="8" w:color="0563C1"/>
            </w:tcBorders>
            <w:gridSpan w:val="26"/>
          </w:tcPr>
          <w:p>
            <w:pPr>
              <w:spacing w:after="0" w:line="196" w:lineRule="exact"/>
              <w:rPr>
                <w:rFonts w:ascii="Times New Roman" w:cs="Times New Roman" w:eastAsia="Times New Roman" w:hAnsi="Times New Roman"/>
                <w:sz w:val="18"/>
                <w:szCs w:val="18"/>
                <w:color w:val="0563C1"/>
              </w:rPr>
            </w:pPr>
            <w:hyperlink r:id="rId336">
              <w:r>
                <w:rPr>
                  <w:rFonts w:ascii="Times New Roman" w:cs="Times New Roman" w:eastAsia="Times New Roman" w:hAnsi="Times New Roman"/>
                  <w:sz w:val="18"/>
                  <w:szCs w:val="18"/>
                  <w:color w:val="0563C1"/>
                </w:rPr>
                <w:t>Employment Agreement by and between Aligos Therapeutics, Inc. and</w:t>
              </w:r>
            </w:hyperlink>
          </w:p>
        </w:tc>
        <w:tc>
          <w:tcPr>
            <w:tcW w:w="24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8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563C1"/>
                <w:w w:val="99"/>
              </w:rPr>
            </w:pPr>
            <w:hyperlink r:id="rId336">
              <w:r>
                <w:rPr>
                  <w:rFonts w:ascii="Times New Roman" w:cs="Times New Roman" w:eastAsia="Times New Roman" w:hAnsi="Times New Roman"/>
                  <w:sz w:val="18"/>
                  <w:szCs w:val="18"/>
                  <w:color w:val="0563C1"/>
                  <w:w w:val="99"/>
                </w:rPr>
                <w:t>Julian Symons, D.Phil., effective as of May 14, 2019</w:t>
              </w:r>
              <w:r>
                <w:rPr>
                  <w:rFonts w:ascii="Times New Roman" w:cs="Times New Roman" w:eastAsia="Times New Roman" w:hAnsi="Times New Roman"/>
                  <w:sz w:val="18"/>
                  <w:szCs w:val="18"/>
                  <w:u w:val="single" w:color="auto"/>
                  <w:color w:val="008FFF"/>
                  <w:w w:val="99"/>
                </w:rPr>
                <w:t>.</w:t>
              </w:r>
            </w:hyperlink>
          </w:p>
        </w:tc>
        <w:tc>
          <w:tcPr>
            <w:tcW w:w="1540" w:type="dxa"/>
            <w:vAlign w:val="bottom"/>
            <w:gridSpan w:val="22"/>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3940" w:type="dxa"/>
            <w:vAlign w:val="bottom"/>
            <w:tcBorders>
              <w:bottom w:val="single" w:sz="8" w:color="0563C1"/>
            </w:tcBorders>
            <w:gridSpan w:val="14"/>
          </w:tcPr>
          <w:p>
            <w:pPr>
              <w:spacing w:after="0" w:line="196" w:lineRule="exact"/>
              <w:rPr>
                <w:rFonts w:ascii="Times New Roman" w:cs="Times New Roman" w:eastAsia="Times New Roman" w:hAnsi="Times New Roman"/>
                <w:sz w:val="18"/>
                <w:szCs w:val="18"/>
                <w:color w:val="0563C1"/>
                <w:w w:val="99"/>
              </w:rPr>
            </w:pPr>
            <w:hyperlink r:id="rId337">
              <w:r>
                <w:rPr>
                  <w:rFonts w:ascii="Times New Roman" w:cs="Times New Roman" w:eastAsia="Times New Roman" w:hAnsi="Times New Roman"/>
                  <w:sz w:val="18"/>
                  <w:szCs w:val="18"/>
                  <w:color w:val="0563C1"/>
                  <w:w w:val="99"/>
                </w:rPr>
                <w:t>Form of Change in Control and Severance Agreement.</w:t>
              </w:r>
            </w:hyperlink>
          </w:p>
        </w:tc>
        <w:tc>
          <w:tcPr>
            <w:tcW w:w="1460" w:type="dxa"/>
            <w:vAlign w:val="bottom"/>
            <w:gridSpan w:val="21"/>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5060" w:type="dxa"/>
            <w:vAlign w:val="bottom"/>
            <w:tcBorders>
              <w:bottom w:val="single" w:sz="8" w:color="0563C1"/>
            </w:tcBorders>
            <w:gridSpan w:val="22"/>
          </w:tcPr>
          <w:p>
            <w:pPr>
              <w:spacing w:after="0" w:line="196" w:lineRule="exact"/>
              <w:rPr>
                <w:rFonts w:ascii="Times New Roman" w:cs="Times New Roman" w:eastAsia="Times New Roman" w:hAnsi="Times New Roman"/>
                <w:sz w:val="18"/>
                <w:szCs w:val="18"/>
                <w:color w:val="0563C1"/>
              </w:rPr>
            </w:pPr>
            <w:hyperlink r:id="rId338">
              <w:r>
                <w:rPr>
                  <w:rFonts w:ascii="Times New Roman" w:cs="Times New Roman" w:eastAsia="Times New Roman" w:hAnsi="Times New Roman"/>
                  <w:sz w:val="18"/>
                  <w:szCs w:val="18"/>
                  <w:color w:val="0563C1"/>
                </w:rPr>
                <w:t>Lease Agreement between 601 &amp; 651 Gateway Center LP and Aligos</w:t>
              </w:r>
            </w:hyperlink>
          </w:p>
        </w:tc>
        <w:tc>
          <w:tcPr>
            <w:tcW w:w="34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35"/>
          </w:tcPr>
          <w:p>
            <w:pPr>
              <w:spacing w:after="0" w:line="196" w:lineRule="exact"/>
              <w:rPr>
                <w:rFonts w:ascii="Times New Roman" w:cs="Times New Roman" w:eastAsia="Times New Roman" w:hAnsi="Times New Roman"/>
                <w:sz w:val="18"/>
                <w:szCs w:val="18"/>
                <w:color w:val="0563C1"/>
              </w:rPr>
            </w:pPr>
            <w:hyperlink r:id="rId338">
              <w:r>
                <w:rPr>
                  <w:rFonts w:ascii="Times New Roman" w:cs="Times New Roman" w:eastAsia="Times New Roman" w:hAnsi="Times New Roman"/>
                  <w:sz w:val="18"/>
                  <w:szCs w:val="18"/>
                  <w:color w:val="0563C1"/>
                </w:rPr>
                <w:t>Therapeutics, Inc., dated December 9, 2021</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200" w:type="dxa"/>
            <w:vAlign w:val="bottom"/>
            <w:tcBorders>
              <w:right w:val="single" w:sz="8" w:color="0563C1"/>
            </w:tcBorders>
            <w:shd w:val="clear" w:color="auto" w:fill="0563C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33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Non-Employee Director Compensation Policy</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23"/>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5300" w:type="dxa"/>
            <w:vAlign w:val="bottom"/>
            <w:tcBorders>
              <w:bottom w:val="single" w:sz="8" w:color="0563C1"/>
            </w:tcBorders>
            <w:gridSpan w:val="32"/>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Form of Securities Purchase Agreement, dated October 23, 2023, by and</w:t>
              </w:r>
            </w:hyperlink>
          </w:p>
        </w:tc>
        <w:tc>
          <w:tcPr>
            <w:tcW w:w="10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35"/>
          </w:tcPr>
          <w:p>
            <w:pPr>
              <w:spacing w:after="0" w:line="196" w:lineRule="exact"/>
              <w:rPr>
                <w:rFonts w:ascii="Times New Roman" w:cs="Times New Roman" w:eastAsia="Times New Roman" w:hAnsi="Times New Roman"/>
                <w:sz w:val="18"/>
                <w:szCs w:val="18"/>
                <w:color w:val="0563C1"/>
              </w:rPr>
            </w:pPr>
            <w:hyperlink r:id="rId340">
              <w:r>
                <w:rPr>
                  <w:rFonts w:ascii="Times New Roman" w:cs="Times New Roman" w:eastAsia="Times New Roman" w:hAnsi="Times New Roman"/>
                  <w:sz w:val="18"/>
                  <w:szCs w:val="18"/>
                  <w:color w:val="0563C1"/>
                </w:rPr>
                <w:t>among the Company and the Purchasers.</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100" w:type="dxa"/>
            <w:vAlign w:val="bottom"/>
            <w:tcBorders>
              <w:right w:val="single" w:sz="8" w:color="0563C1"/>
            </w:tcBorders>
            <w:shd w:val="clear" w:color="auto" w:fill="0563C1"/>
          </w:tcPr>
          <w:p>
            <w:pPr>
              <w:spacing w:after="0" w:line="20" w:lineRule="exact"/>
              <w:rPr>
                <w:sz w:val="1"/>
                <w:szCs w:val="1"/>
                <w:color w:val="auto"/>
              </w:rPr>
            </w:pPr>
          </w:p>
        </w:tc>
        <w:tc>
          <w:tcPr>
            <w:tcW w:w="280" w:type="dxa"/>
            <w:vAlign w:val="bottom"/>
            <w:tcBorders>
              <w:right w:val="single" w:sz="8" w:color="0563C1"/>
            </w:tcBorders>
            <w:gridSpan w:val="2"/>
            <w:shd w:val="clear" w:color="auto" w:fill="0563C1"/>
          </w:tcPr>
          <w:p>
            <w:pPr>
              <w:spacing w:after="0" w:line="20" w:lineRule="exact"/>
              <w:rPr>
                <w:sz w:val="1"/>
                <w:szCs w:val="1"/>
                <w:color w:val="auto"/>
              </w:rPr>
            </w:pPr>
          </w:p>
        </w:tc>
        <w:tc>
          <w:tcPr>
            <w:tcW w:w="320" w:type="dxa"/>
            <w:vAlign w:val="bottom"/>
            <w:tcBorders>
              <w:right w:val="single" w:sz="8" w:color="0563C1"/>
            </w:tcBorders>
            <w:shd w:val="clear" w:color="auto" w:fill="0563C1"/>
          </w:tcPr>
          <w:p>
            <w:pPr>
              <w:spacing w:after="0" w:line="20" w:lineRule="exact"/>
              <w:rPr>
                <w:sz w:val="1"/>
                <w:szCs w:val="1"/>
                <w:color w:val="auto"/>
              </w:rPr>
            </w:pPr>
          </w:p>
        </w:tc>
        <w:tc>
          <w:tcPr>
            <w:tcW w:w="700" w:type="dxa"/>
            <w:vAlign w:val="bottom"/>
            <w:shd w:val="clear" w:color="auto" w:fill="0563C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540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Amended and Restated Employment Agreement, effective as of December</w:t>
              </w:r>
            </w:hyperlink>
          </w:p>
        </w:tc>
      </w:tr>
      <w:tr>
        <w:trPr>
          <w:trHeight w:val="196"/>
        </w:trPr>
        <w:tc>
          <w:tcPr>
            <w:tcW w:w="1120" w:type="dxa"/>
            <w:vAlign w:val="bottom"/>
          </w:tcPr>
          <w:p>
            <w:pPr>
              <w:spacing w:after="0"/>
              <w:rPr>
                <w:sz w:val="17"/>
                <w:szCs w:val="17"/>
                <w:color w:val="auto"/>
              </w:rPr>
            </w:pPr>
          </w:p>
        </w:tc>
        <w:tc>
          <w:tcPr>
            <w:tcW w:w="42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41">
              <w:r>
                <w:rPr>
                  <w:rFonts w:ascii="Times New Roman" w:cs="Times New Roman" w:eastAsia="Times New Roman" w:hAnsi="Times New Roman"/>
                  <w:sz w:val="18"/>
                  <w:szCs w:val="18"/>
                  <w:color w:val="0000FF"/>
                  <w:w w:val="99"/>
                </w:rPr>
                <w:t>1, 2020, by and between the Company and Lesley Calhoun</w:t>
              </w:r>
            </w:hyperlink>
          </w:p>
        </w:tc>
        <w:tc>
          <w:tcPr>
            <w:tcW w:w="20" w:type="dxa"/>
            <w:vAlign w:val="bottom"/>
            <w:tcBorders>
              <w:bottom w:val="single" w:sz="8" w:color="0000EE"/>
            </w:tcBorders>
          </w:tcPr>
          <w:p>
            <w:pPr>
              <w:spacing w:after="0"/>
              <w:rPr>
                <w:sz w:val="17"/>
                <w:szCs w:val="17"/>
                <w:color w:val="auto"/>
              </w:rPr>
            </w:pPr>
          </w:p>
        </w:tc>
        <w:tc>
          <w:tcPr>
            <w:tcW w:w="1120" w:type="dxa"/>
            <w:vAlign w:val="bottom"/>
            <w:gridSpan w:val="19"/>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51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Employment Agreement by and between Aligos Therapeutics, Inc. and</w:t>
              </w:r>
            </w:hyperlink>
          </w:p>
        </w:tc>
        <w:tc>
          <w:tcPr>
            <w:tcW w:w="240" w:type="dxa"/>
            <w:vAlign w:val="bottom"/>
            <w:gridSpan w:val="9"/>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Hardean Achneck, M.D., effective as of September 4, 2024.</w:t>
              </w:r>
            </w:hyperlink>
          </w:p>
        </w:tc>
        <w:tc>
          <w:tcPr>
            <w:tcW w:w="104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528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Securities Purchase Agreement, dated February 11, 2025, by and among</w:t>
              </w:r>
            </w:hyperlink>
          </w:p>
        </w:tc>
        <w:tc>
          <w:tcPr>
            <w:tcW w:w="12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2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43">
              <w:r>
                <w:rPr>
                  <w:rFonts w:ascii="Times New Roman" w:cs="Times New Roman" w:eastAsia="Times New Roman" w:hAnsi="Times New Roman"/>
                  <w:sz w:val="18"/>
                  <w:szCs w:val="18"/>
                  <w:color w:val="0000FF"/>
                  <w:w w:val="99"/>
                </w:rPr>
                <w:t>the Company and the investors party thereto.</w:t>
              </w:r>
            </w:hyperlink>
          </w:p>
        </w:tc>
        <w:tc>
          <w:tcPr>
            <w:tcW w:w="20" w:type="dxa"/>
            <w:vAlign w:val="bottom"/>
            <w:tcBorders>
              <w:bottom w:val="single" w:sz="8" w:color="0000EE"/>
            </w:tcBorders>
          </w:tcPr>
          <w:p>
            <w:pPr>
              <w:spacing w:after="0"/>
              <w:rPr>
                <w:sz w:val="17"/>
                <w:szCs w:val="17"/>
                <w:color w:val="auto"/>
              </w:rPr>
            </w:pPr>
          </w:p>
        </w:tc>
        <w:tc>
          <w:tcPr>
            <w:tcW w:w="2140" w:type="dxa"/>
            <w:vAlign w:val="bottom"/>
            <w:gridSpan w:val="2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5260" w:type="dxa"/>
            <w:vAlign w:val="bottom"/>
            <w:tcBorders>
              <w:bottom w:val="single" w:sz="8" w:color="0000FF"/>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Registration Rights Agreement, dated February 13, 2025, by and among</w:t>
            </w:r>
          </w:p>
        </w:tc>
        <w:tc>
          <w:tcPr>
            <w:tcW w:w="14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2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the Company and the investors party thereto.</w:t>
            </w:r>
          </w:p>
        </w:tc>
        <w:tc>
          <w:tcPr>
            <w:tcW w:w="20" w:type="dxa"/>
            <w:vAlign w:val="bottom"/>
            <w:tcBorders>
              <w:bottom w:val="single" w:sz="8" w:color="0000EE"/>
            </w:tcBorders>
          </w:tcPr>
          <w:p>
            <w:pPr>
              <w:spacing w:after="0"/>
              <w:rPr>
                <w:sz w:val="17"/>
                <w:szCs w:val="17"/>
                <w:color w:val="auto"/>
              </w:rPr>
            </w:pPr>
          </w:p>
        </w:tc>
        <w:tc>
          <w:tcPr>
            <w:tcW w:w="2140" w:type="dxa"/>
            <w:vAlign w:val="bottom"/>
            <w:gridSpan w:val="25"/>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5400" w:type="dxa"/>
            <w:vAlign w:val="bottom"/>
            <w:tcBorders>
              <w:bottom w:val="single" w:sz="8" w:color="0000FF"/>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FF"/>
                <w:w w:val="99"/>
              </w:rPr>
              <w:t>Lead Investor Registration Rights Agreement, by and among the Company</w:t>
            </w:r>
          </w:p>
        </w:tc>
      </w:tr>
      <w:tr>
        <w:trPr>
          <w:trHeight w:val="196"/>
        </w:trPr>
        <w:tc>
          <w:tcPr>
            <w:tcW w:w="1120" w:type="dxa"/>
            <w:vAlign w:val="bottom"/>
          </w:tcPr>
          <w:p>
            <w:pPr>
              <w:spacing w:after="0"/>
              <w:rPr>
                <w:sz w:val="17"/>
                <w:szCs w:val="17"/>
                <w:color w:val="auto"/>
              </w:rPr>
            </w:pPr>
          </w:p>
        </w:tc>
        <w:tc>
          <w:tcPr>
            <w:tcW w:w="54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and the investors party thereto.</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512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rPr>
              <w:t>Letter Agreement, by and among the Company and the investors party</w:t>
            </w:r>
          </w:p>
        </w:tc>
        <w:tc>
          <w:tcPr>
            <w:tcW w:w="280" w:type="dxa"/>
            <w:vAlign w:val="bottom"/>
            <w:gridSpan w:val="10"/>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thereto.</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54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5400" w:type="dxa"/>
            <w:vAlign w:val="bottom"/>
            <w:gridSpan w:val="35"/>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Subsidiaries of Registrant.</w:t>
              </w:r>
            </w:hyperlink>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1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4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563C1"/>
              </w:rPr>
              <w:t>Consent of Independent Registered Public Accounting Firm.</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60" w:type="dxa"/>
            <w:vAlign w:val="bottom"/>
            <w:tcBorders>
              <w:right w:val="single" w:sz="8" w:color="0563C1"/>
            </w:tcBorders>
            <w:gridSpan w:val="16"/>
            <w:shd w:val="clear" w:color="auto" w:fill="0563C1"/>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54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563C1"/>
              </w:rPr>
              <w:t>Power of Attorney (included on signature page to this Form 10-K).</w:t>
            </w:r>
          </w:p>
        </w:tc>
      </w:tr>
      <w:tr>
        <w:trPr>
          <w:trHeight w:val="20"/>
        </w:trPr>
        <w:tc>
          <w:tcPr>
            <w:tcW w:w="1120" w:type="dxa"/>
            <w:vAlign w:val="bottom"/>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3960" w:type="dxa"/>
            <w:vAlign w:val="bottom"/>
            <w:tcBorders>
              <w:right w:val="single" w:sz="8" w:color="0563C1"/>
            </w:tcBorders>
            <w:gridSpan w:val="16"/>
            <w:shd w:val="clear" w:color="auto" w:fill="0563C1"/>
          </w:tcPr>
          <w:p>
            <w:pPr>
              <w:spacing w:after="0" w:line="20" w:lineRule="exact"/>
              <w:rPr>
                <w:sz w:val="1"/>
                <w:szCs w:val="1"/>
                <w:color w:val="auto"/>
              </w:rPr>
            </w:pPr>
          </w:p>
        </w:tc>
        <w:tc>
          <w:tcPr>
            <w:tcW w:w="460" w:type="dxa"/>
            <w:vAlign w:val="bottom"/>
            <w:gridSpan w:val="4"/>
            <w:shd w:val="clear" w:color="auto" w:fill="0563C1"/>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5240" w:type="dxa"/>
            <w:vAlign w:val="bottom"/>
            <w:tcBorders>
              <w:bottom w:val="single" w:sz="8" w:color="0563C1"/>
            </w:tcBorders>
            <w:gridSpan w:val="29"/>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Principal Executive Officer Pursuant to Rules 13a-14(a)</w:t>
            </w:r>
          </w:p>
        </w:tc>
        <w:tc>
          <w:tcPr>
            <w:tcW w:w="160" w:type="dxa"/>
            <w:vAlign w:val="bottom"/>
            <w:gridSpan w:val="6"/>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563C1"/>
            </w:tcBorders>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and 15d-14(a) under the Securities Exchange Act of 1934, as Adopted</w:t>
            </w:r>
          </w:p>
        </w:tc>
        <w:tc>
          <w:tcPr>
            <w:tcW w:w="30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60" w:type="dxa"/>
            <w:vAlign w:val="bottom"/>
            <w:tcBorders>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c>
          <w:tcPr>
            <w:tcW w:w="104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5180" w:type="dxa"/>
            <w:vAlign w:val="bottom"/>
            <w:tcBorders>
              <w:bottom w:val="single" w:sz="8" w:color="0563C1"/>
            </w:tcBorders>
            <w:gridSpan w:val="27"/>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Principal Financial Officer Pursuant to Rules 13a-14(a)</w:t>
            </w:r>
          </w:p>
        </w:tc>
        <w:tc>
          <w:tcPr>
            <w:tcW w:w="22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100" w:type="dxa"/>
            <w:vAlign w:val="bottom"/>
            <w:tcBorders>
              <w:bottom w:val="single" w:sz="8" w:color="0563C1"/>
            </w:tcBorders>
            <w:gridSpan w:val="24"/>
          </w:tcPr>
          <w:p>
            <w:pPr>
              <w:spacing w:after="0" w:line="196" w:lineRule="exact"/>
              <w:rPr>
                <w:sz w:val="20"/>
                <w:szCs w:val="20"/>
                <w:color w:val="auto"/>
              </w:rPr>
            </w:pPr>
            <w:r>
              <w:rPr>
                <w:rFonts w:ascii="Times New Roman" w:cs="Times New Roman" w:eastAsia="Times New Roman" w:hAnsi="Times New Roman"/>
                <w:sz w:val="18"/>
                <w:szCs w:val="18"/>
                <w:color w:val="0563C1"/>
              </w:rPr>
              <w:t>and 15d-14(a) under the Securities Exchange Act of 1934, as Adopted</w:t>
            </w:r>
          </w:p>
        </w:tc>
        <w:tc>
          <w:tcPr>
            <w:tcW w:w="30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360" w:type="dxa"/>
            <w:vAlign w:val="bottom"/>
            <w:tcBorders>
              <w:bottom w:val="single" w:sz="8" w:color="0563C1"/>
            </w:tcBorders>
            <w:gridSpan w:val="17"/>
          </w:tcPr>
          <w:p>
            <w:pPr>
              <w:spacing w:after="0" w:line="196" w:lineRule="exact"/>
              <w:rPr>
                <w:sz w:val="20"/>
                <w:szCs w:val="20"/>
                <w:color w:val="auto"/>
              </w:rPr>
            </w:pPr>
            <w:r>
              <w:rPr>
                <w:rFonts w:ascii="Times New Roman" w:cs="Times New Roman" w:eastAsia="Times New Roman" w:hAnsi="Times New Roman"/>
                <w:sz w:val="18"/>
                <w:szCs w:val="18"/>
                <w:color w:val="0563C1"/>
              </w:rPr>
              <w:t>Pursuant to Section 302 of the Sarbanes-Oxley Act of 2002.</w:t>
            </w:r>
          </w:p>
        </w:tc>
        <w:tc>
          <w:tcPr>
            <w:tcW w:w="1040" w:type="dxa"/>
            <w:vAlign w:val="bottom"/>
            <w:gridSpan w:val="18"/>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563C1"/>
            </w:tcBorders>
            <w:gridSpan w:val="34"/>
          </w:tcPr>
          <w:p>
            <w:pPr>
              <w:spacing w:after="0" w:line="196" w:lineRule="exact"/>
              <w:rPr>
                <w:sz w:val="20"/>
                <w:szCs w:val="20"/>
                <w:color w:val="auto"/>
              </w:rPr>
            </w:pPr>
            <w:r>
              <w:rPr>
                <w:rFonts w:ascii="Times New Roman" w:cs="Times New Roman" w:eastAsia="Times New Roman" w:hAnsi="Times New Roman"/>
                <w:sz w:val="18"/>
                <w:szCs w:val="18"/>
                <w:color w:val="0563C1"/>
              </w:rPr>
              <w:t>Certification of Principal Executive Officer Pursuant to 18 U.S.C. Section</w:t>
            </w:r>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40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563C1"/>
              </w:rPr>
              <w:t>1350, as Adopted Pursuant to Section 906 of the Sarbanes-Oxley Act of</w:t>
            </w:r>
          </w:p>
        </w:tc>
      </w:tr>
      <w:tr>
        <w:trPr>
          <w:trHeight w:val="196"/>
        </w:trPr>
        <w:tc>
          <w:tcPr>
            <w:tcW w:w="1120" w:type="dxa"/>
            <w:vAlign w:val="bottom"/>
          </w:tcPr>
          <w:p>
            <w:pPr>
              <w:spacing w:after="0"/>
              <w:rPr>
                <w:sz w:val="17"/>
                <w:szCs w:val="17"/>
                <w:color w:val="auto"/>
              </w:rPr>
            </w:pPr>
          </w:p>
        </w:tc>
        <w:tc>
          <w:tcPr>
            <w:tcW w:w="540" w:type="dxa"/>
            <w:vAlign w:val="bottom"/>
            <w:tcBorders>
              <w:top w:val="single" w:sz="8" w:color="0563C1"/>
            </w:tcBorders>
            <w:gridSpan w:val="2"/>
          </w:tcPr>
          <w:p>
            <w:pPr>
              <w:spacing w:after="0" w:line="196" w:lineRule="exact"/>
              <w:rPr>
                <w:sz w:val="20"/>
                <w:szCs w:val="20"/>
                <w:color w:val="auto"/>
              </w:rPr>
            </w:pPr>
            <w:r>
              <w:rPr>
                <w:rFonts w:ascii="Times New Roman" w:cs="Times New Roman" w:eastAsia="Times New Roman" w:hAnsi="Times New Roman"/>
                <w:sz w:val="18"/>
                <w:szCs w:val="18"/>
                <w:color w:val="0563C1"/>
              </w:rPr>
              <w:t>2002.</w:t>
            </w:r>
          </w:p>
        </w:tc>
        <w:tc>
          <w:tcPr>
            <w:tcW w:w="11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6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700" w:type="dxa"/>
            <w:vAlign w:val="bottom"/>
            <w:tcBorders>
              <w:top w:val="single" w:sz="8" w:color="0563C1"/>
            </w:tcBorders>
          </w:tcPr>
          <w:p>
            <w:pPr>
              <w:spacing w:after="0"/>
              <w:rPr>
                <w:sz w:val="17"/>
                <w:szCs w:val="17"/>
                <w:color w:val="auto"/>
              </w:rPr>
            </w:pPr>
          </w:p>
        </w:tc>
        <w:tc>
          <w:tcPr>
            <w:tcW w:w="200" w:type="dxa"/>
            <w:vAlign w:val="bottom"/>
            <w:tcBorders>
              <w:top w:val="single" w:sz="8" w:color="0563C1"/>
            </w:tcBorders>
          </w:tcPr>
          <w:p>
            <w:pPr>
              <w:spacing w:after="0"/>
              <w:rPr>
                <w:sz w:val="17"/>
                <w:szCs w:val="17"/>
                <w:color w:val="auto"/>
              </w:rPr>
            </w:pPr>
          </w:p>
        </w:tc>
        <w:tc>
          <w:tcPr>
            <w:tcW w:w="10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50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20" w:type="dxa"/>
            <w:vAlign w:val="bottom"/>
            <w:tcBorders>
              <w:top w:val="single" w:sz="8" w:color="0563C1"/>
            </w:tcBorders>
          </w:tcPr>
          <w:p>
            <w:pPr>
              <w:spacing w:after="0"/>
              <w:rPr>
                <w:sz w:val="17"/>
                <w:szCs w:val="17"/>
                <w:color w:val="auto"/>
              </w:rPr>
            </w:pPr>
          </w:p>
        </w:tc>
        <w:tc>
          <w:tcPr>
            <w:tcW w:w="1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80" w:type="dxa"/>
            <w:vAlign w:val="bottom"/>
            <w:tcBorders>
              <w:top w:val="single" w:sz="8" w:color="0563C1"/>
            </w:tcBorders>
          </w:tcPr>
          <w:p>
            <w:pPr>
              <w:spacing w:after="0"/>
              <w:rPr>
                <w:sz w:val="17"/>
                <w:szCs w:val="17"/>
                <w:color w:val="auto"/>
              </w:rPr>
            </w:pPr>
          </w:p>
        </w:tc>
        <w:tc>
          <w:tcPr>
            <w:tcW w:w="2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40" w:type="dxa"/>
            <w:vAlign w:val="bottom"/>
            <w:tcBorders>
              <w:top w:val="single" w:sz="8" w:color="0563C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1120" w:type="dxa"/>
            <w:vAlign w:val="bottom"/>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4320" w:type="dxa"/>
            <w:vAlign w:val="bottom"/>
            <w:gridSpan w:val="18"/>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10.1(a)</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10.1(b)</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10.1(c)</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10/9/2020</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10.12</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5/10/2021</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10.2</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5/10/2021</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10.3</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5/10/2021</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10.4</w:t>
            </w:r>
          </w:p>
        </w:tc>
      </w:tr>
      <w:tr>
        <w:trPr>
          <w:trHeight w:val="41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3/10/2022</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10.16</w:t>
            </w:r>
          </w:p>
        </w:tc>
      </w:tr>
      <w:tr>
        <w:trPr>
          <w:trHeight w:val="234"/>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10.3</w:t>
            </w:r>
          </w:p>
        </w:tc>
      </w:tr>
      <w:tr>
        <w:trPr>
          <w:trHeight w:val="43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10/25/2023</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10.1</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10.17</w:t>
            </w:r>
          </w:p>
        </w:tc>
      </w:tr>
      <w:tr>
        <w:trPr>
          <w:trHeight w:val="432"/>
        </w:trPr>
        <w:tc>
          <w:tcPr>
            <w:tcW w:w="7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10-Q</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11/6/2024</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10.2</w:t>
            </w:r>
          </w:p>
        </w:tc>
      </w:tr>
      <w:tr>
        <w:trPr>
          <w:trHeight w:val="432"/>
        </w:trPr>
        <w:tc>
          <w:tcPr>
            <w:tcW w:w="70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2/12/2025</w:t>
            </w:r>
          </w:p>
        </w:tc>
        <w:tc>
          <w:tcPr>
            <w:tcW w:w="8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5"/>
              </w:rPr>
              <w:t>10.1</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9" w:lineRule="exact"/>
        <w:rPr>
          <w:sz w:val="20"/>
          <w:szCs w:val="20"/>
          <w:color w:val="auto"/>
        </w:rPr>
      </w:pPr>
    </w:p>
    <w:p>
      <w:pPr>
        <w:ind w:left="20"/>
        <w:spacing w:after="0"/>
        <w:tabs>
          <w:tab w:leader="none" w:pos="1040" w:val="left"/>
          <w:tab w:leader="none" w:pos="246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3/9/2023</w:t>
      </w:r>
      <w:r>
        <w:rPr>
          <w:sz w:val="20"/>
          <w:szCs w:val="20"/>
          <w:color w:val="auto"/>
        </w:rPr>
        <w:tab/>
      </w:r>
      <w:r>
        <w:rPr>
          <w:rFonts w:ascii="Times New Roman" w:cs="Times New Roman" w:eastAsia="Times New Roman" w:hAnsi="Times New Roman"/>
          <w:sz w:val="17"/>
          <w:szCs w:val="17"/>
          <w:color w:val="auto"/>
        </w:rPr>
        <w:t>21.1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6520" w:space="300"/>
            <w:col w:w="3860"/>
          </w:cols>
          <w:pgMar w:left="340" w:top="1404" w:right="879" w:bottom="1440" w:gutter="0" w:footer="0" w:header="0"/>
        </w:sectPr>
      </w:pPr>
    </w:p>
    <w:bookmarkStart w:id="144" w:name="page145"/>
    <w:bookmarkEnd w:id="144"/>
    <w:tbl>
      <w:tblPr>
        <w:tblLayout w:type="fixed"/>
        <w:tblInd w:w="2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rPr>
              <w:t>Certification of Principal Financial Officer Pursuant to 18 U.S.C. Section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55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563C1"/>
              </w:rPr>
              <w:t>1350, as Adopted Pursuant to Section 906 of the Sarbanes-Oxley Act of</w:t>
            </w: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00" w:type="dxa"/>
            <w:vAlign w:val="bottom"/>
            <w:tcBorders>
              <w:top w:val="single" w:sz="8" w:color="0563C1"/>
              <w:bottom w:val="single" w:sz="8" w:color="0563C1"/>
            </w:tcBorders>
          </w:tcPr>
          <w:p>
            <w:pPr>
              <w:spacing w:after="0" w:line="196" w:lineRule="exact"/>
              <w:rPr>
                <w:sz w:val="20"/>
                <w:szCs w:val="20"/>
                <w:color w:val="auto"/>
              </w:rPr>
            </w:pPr>
            <w:r>
              <w:rPr>
                <w:rFonts w:ascii="Times New Roman" w:cs="Times New Roman" w:eastAsia="Times New Roman" w:hAnsi="Times New Roman"/>
                <w:sz w:val="18"/>
                <w:szCs w:val="18"/>
                <w:color w:val="0563C1"/>
                <w:w w:val="93"/>
              </w:rPr>
              <w:t>2002.</w:t>
            </w:r>
          </w:p>
        </w:tc>
        <w:tc>
          <w:tcPr>
            <w:tcW w:w="4480" w:type="dxa"/>
            <w:vAlign w:val="bottom"/>
            <w:tcBorders>
              <w:top w:val="single" w:sz="8" w:color="0563C1"/>
            </w:tcBorders>
          </w:tcPr>
          <w:p>
            <w:pPr>
              <w:spacing w:after="0"/>
              <w:rPr>
                <w:sz w:val="17"/>
                <w:szCs w:val="17"/>
                <w:color w:val="auto"/>
              </w:rPr>
            </w:pPr>
          </w:p>
        </w:tc>
        <w:tc>
          <w:tcPr>
            <w:tcW w:w="340" w:type="dxa"/>
            <w:vAlign w:val="bottom"/>
            <w:tcBorders>
              <w:top w:val="single" w:sz="8" w:color="0563C1"/>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ind w:left="162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5540" w:type="dxa"/>
            <w:vAlign w:val="bottom"/>
            <w:gridSpan w:val="5"/>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Policy relating to Recovery of Erroneously Awarded Compensation</w:t>
              </w:r>
            </w:hyperlink>
          </w:p>
        </w:tc>
        <w:tc>
          <w:tcPr>
            <w:tcW w:w="8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420" w:type="dxa"/>
            <w:vAlign w:val="bottom"/>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rPr>
              <w:t>3/12/2024</w:t>
            </w:r>
          </w:p>
        </w:tc>
        <w:tc>
          <w:tcPr>
            <w:tcW w:w="174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97.1</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8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60" w:type="dxa"/>
            <w:vAlign w:val="bottom"/>
            <w:gridSpan w:val="3"/>
          </w:tcPr>
          <w:p>
            <w:pPr>
              <w:spacing w:after="0"/>
              <w:rPr>
                <w:sz w:val="18"/>
                <w:szCs w:val="18"/>
                <w:color w:val="auto"/>
              </w:rPr>
            </w:pP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Documents</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76"/>
              </w:rPr>
              <w:t>X</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the Company’s Annual Report on Form 10-K for the</w:t>
            </w:r>
          </w:p>
        </w:tc>
        <w:tc>
          <w:tcPr>
            <w:tcW w:w="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year ended December 31, 2023 has been formatted in Inline XBRL.</w:t>
            </w:r>
          </w:p>
        </w:tc>
        <w:tc>
          <w:tcPr>
            <w:tcW w:w="8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76"/>
              </w:rPr>
              <w:t>X</w:t>
            </w:r>
          </w:p>
        </w:tc>
      </w:tr>
    </w:tbl>
    <w:p>
      <w:pPr>
        <w:spacing w:after="0" w:line="130" w:lineRule="exact"/>
        <w:rPr>
          <w:sz w:val="20"/>
          <w:szCs w:val="20"/>
          <w:color w:val="auto"/>
        </w:rPr>
      </w:pPr>
    </w:p>
    <w:p>
      <w:pPr>
        <w:ind w:firstLine="8"/>
        <w:spacing w:after="0" w:line="261" w:lineRule="auto"/>
        <w:tabs>
          <w:tab w:leader="none" w:pos="1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marked by brackets, have been omitted because the omitted information (i) is not material and (ii) is the type of information that the registrant both customarily and actually treats as private and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w:t>
      </w:r>
    </w:p>
    <w:p>
      <w:pPr>
        <w:spacing w:after="0" w:line="9" w:lineRule="exact"/>
        <w:rPr>
          <w:rFonts w:ascii="Times New Roman" w:cs="Times New Roman" w:eastAsia="Times New Roman" w:hAnsi="Times New Roman"/>
          <w:sz w:val="18"/>
          <w:szCs w:val="18"/>
          <w:color w:val="auto"/>
        </w:rPr>
      </w:pPr>
    </w:p>
    <w:p>
      <w:pPr>
        <w:ind w:right="1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certifications attached as Exhibits 32.1 and 32.2 that accompany this Annual Report on Form 10-K,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-973455</wp:posOffset>
            </wp:positionV>
            <wp:extent cx="190309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4" w:right="49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Aligos Therapeutics, Inc.</w:t>
            </w:r>
          </w:p>
        </w:tc>
      </w:tr>
      <w:tr>
        <w:trPr>
          <w:trHeight w:val="43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2025</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Lawrence M. Blatt</w:t>
            </w:r>
          </w:p>
        </w:tc>
      </w:tr>
      <w:tr>
        <w:trPr>
          <w:trHeight w:val="191"/>
        </w:trPr>
        <w:tc>
          <w:tcPr>
            <w:tcW w:w="35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Lawrence M. Blatt, Ph.D.</w:t>
            </w:r>
          </w:p>
        </w:tc>
      </w:tr>
      <w:tr>
        <w:trPr>
          <w:trHeight w:val="234"/>
        </w:trPr>
        <w:tc>
          <w:tcPr>
            <w:tcW w:w="3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Chairman, and Chief Executive Officer</w:t>
            </w:r>
          </w:p>
        </w:tc>
      </w:tr>
      <w:tr>
        <w:trPr>
          <w:trHeight w:val="864"/>
        </w:trPr>
        <w:tc>
          <w:tcPr>
            <w:tcW w:w="3540" w:type="dxa"/>
            <w:vAlign w:val="bottom"/>
          </w:tcPr>
          <w:p>
            <w:pPr>
              <w:spacing w:after="0"/>
              <w:rPr>
                <w:sz w:val="24"/>
                <w:szCs w:val="24"/>
                <w:color w:val="auto"/>
              </w:rPr>
            </w:pPr>
          </w:p>
        </w:tc>
        <w:tc>
          <w:tcPr>
            <w:tcW w:w="2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140</w:t>
            </w:r>
          </w:p>
        </w:tc>
        <w:tc>
          <w:tcPr>
            <w:tcW w:w="5120" w:type="dxa"/>
            <w:vAlign w:val="bottom"/>
          </w:tcPr>
          <w:p>
            <w:pPr>
              <w:spacing w:after="0"/>
              <w:rPr>
                <w:sz w:val="24"/>
                <w:szCs w:val="24"/>
                <w:color w:val="auto"/>
              </w:rPr>
            </w:pPr>
          </w:p>
        </w:tc>
      </w:tr>
      <w:tr>
        <w:trPr>
          <w:trHeight w:val="763"/>
        </w:trPr>
        <w:tc>
          <w:tcPr>
            <w:tcW w:w="35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6" w:name="page147"/>
    <w:bookmarkEnd w:id="14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5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Lawrence M. Blatt, Ph.D. and Lesley Ann Calhoun,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2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140"/>
          </w:cols>
          <w:pgMar w:left="320" w:top="1413" w:right="4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Lawrence M. Blatt</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Lawrence M. Blatt,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9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3571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Lesley Ann Calhoun</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 K. Peter Hirth</w:t>
      </w:r>
    </w:p>
    <w:p>
      <w:pPr>
        <w:spacing w:after="0" w:line="3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K. Peter Hirth,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Carole Nuechterlein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Carole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James Scopa</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James Scopa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/s/ Bridget Martell</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6"/>
          <w:szCs w:val="16"/>
          <w:color w:val="auto"/>
        </w:rPr>
        <w:t>Bridget Martell,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Margarita Chavez</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Margarita 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Heather Preston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Heather Preston,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23571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9">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7620</wp:posOffset>
            </wp:positionV>
            <wp:extent cx="30861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0">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27"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16"/>
          <w:szCs w:val="16"/>
          <w:color w:val="auto"/>
        </w:rPr>
        <w:t>Executive Vice President, Chief Operating Officer &amp; Chief Financial Officer</w:t>
      </w:r>
    </w:p>
    <w:p>
      <w:pPr>
        <w:spacing w:after="0"/>
        <w:rPr>
          <w:sz w:val="20"/>
          <w:szCs w:val="20"/>
          <w:color w:val="auto"/>
        </w:rPr>
      </w:pPr>
      <w:r>
        <w:rPr>
          <w:rFonts w:ascii="Times New Roman" w:cs="Times New Roman" w:eastAsia="Times New Roman" w:hAnsi="Times New Roman"/>
          <w:sz w:val="16"/>
          <w:szCs w:val="16"/>
          <w:i w:val="1"/>
          <w:iCs w:val="1"/>
          <w:color w:val="auto"/>
        </w:rPr>
        <w:t>(Principal Financial and Accounting Officer)</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7620</wp:posOffset>
            </wp:positionV>
            <wp:extent cx="15430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10, 2025</w:t>
      </w:r>
    </w:p>
    <w:p>
      <w:pPr>
        <w:spacing w:after="0" w:line="307" w:lineRule="exact"/>
        <w:rPr>
          <w:sz w:val="20"/>
          <w:szCs w:val="20"/>
          <w:color w:val="auto"/>
        </w:rPr>
      </w:pPr>
    </w:p>
    <w:p>
      <w:pPr>
        <w:sectPr>
          <w:pgSz w:w="11900" w:h="16838" w:orient="portrait"/>
          <w:cols w:equalWidth="0" w:num="3">
            <w:col w:w="3140" w:space="720"/>
            <w:col w:w="4940" w:space="720"/>
            <w:col w:w="1620"/>
          </w:cols>
          <w:pgMar w:left="320" w:top="1413" w:right="43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type w:val="continuous"/>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0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i w:val="1"/>
          <w:iCs w:val="1"/>
          <w:color w:val="auto"/>
        </w:rPr>
        <w:t>The following summary describes the capital stock of Aligos Therapeutics, Inc. (the “Company,” “we,” “us” and “our”) and the material provisions of our amended and restated certificate of incorporation, our amended and restated bylaws and of the General Corporation Law of the State of Delaware. Because the following is only a summary, it does not contain all of the information that may be important to you. For a complete description, you should refer to our amended and restated certificate of incorporation, amended and restated bylaws, forms of common warrants and forms of pre-funded warrants, copies of which are incorporated by reference as exhibits to our Annual Report on Form 10-K.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authorized capital stock consists of:</w:t>
      </w:r>
    </w:p>
    <w:p>
      <w:pPr>
        <w:spacing w:after="0" w:line="206"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20,000,000 shares of voting common stock, $0.0001 par value;</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800,000 shares of non-voting common stock, $0.0001 par value; and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10,000,000 shares of preferred stock, $0.0001 par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 and Non-Voting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1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1"/>
          <w:szCs w:val="21"/>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holders of our non-voting common stock have the right to convert each share of non-voting common stock into one share of common stock at such holder’s election, provided that as a result of such conversion, such holder, together with its affiliates and any members of a Schedule 13(d) group with such holder, would not beneficially own in excess of 4.99% of our common stock immediately prior to and following such conversion, unless otherwise expressly provided for in our amended and restated certificate of incorporation.</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However, this ownership limitation may be increased to any other percentage designated by such holder of non-voting common stock upon 61 days’ notice to us or decreased at any time upon notice to us.</w:t>
      </w:r>
    </w:p>
    <w:p>
      <w:pPr>
        <w:spacing w:after="0" w:line="158"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21"/>
          <w:szCs w:val="21"/>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is required to take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48" w:name="page149"/>
    <w:bookmarkEnd w:id="148"/>
    <w:p>
      <w:pPr>
        <w:spacing w:after="0" w:line="18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actions, including amending certain provisions of our amended and restated certificate of incorporation, such as the provisions relating to amending our amended and restated bylaws, our classified board and director liability.</w:t>
      </w:r>
    </w:p>
    <w:p>
      <w:pPr>
        <w:spacing w:after="0" w:line="15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Subject to preferences that may be applicable to any then outstanding preferred stock, holders of our common stock and non-voting common stock are entitled to receive dividends, if any, as may be declared from time to time by our board of directors out of legally available funds.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Rights Upon Liquidation</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In the event of our liquidation, dissolution or winding up, holders of our common stock and non-voting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Other Rights</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Holders of our common stock and non-voting common stock have no preemptive, conversion, subscription or other rights, and there are no redemption or sinking fund provisions applicable to our common stock or non-voting common stock. The rights, preferences and privileges of the holders of our common stock and non-voting common stock are subject to and may be adversely affected by the rights of the holders of shares of any series of our preferred stock that we may designate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Fully Paid and Nonassessable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of our outstanding shares of common stock and non-voting common stock are fully paid and nonassessable.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10"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 Associated with 2023 PIPE Offering</w:t>
      </w:r>
    </w:p>
    <w:p>
      <w:pPr>
        <w:spacing w:after="0" w:line="210"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2"/>
          <w:szCs w:val="22"/>
          <w:color w:val="auto"/>
        </w:rPr>
        <w:t>On October 23, 2023, we entered into a securities purchase agreement with certain purchasers named therein (the “2023 Securities Purchase Agreement”), pursuant to which we sold 1,257,170 shares of our common stock, pre-funded warrants to purchase up to 3,077,165 shares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common stock (the “2023 Pre-Funded Warrants”) and accompanying common warrants to purchase up to 2,249,680 shares of our common stock (the “2023 Common Warrants”).</w:t>
      </w:r>
    </w:p>
    <w:p>
      <w:pPr>
        <w:spacing w:after="0" w:line="158"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22"/>
          <w:szCs w:val="22"/>
          <w:color w:val="auto"/>
        </w:rPr>
        <w:t>As of December 31, 2024, 2023 Pre-Funded Warrants to purchase up to 2,441,405 shares of our common stock and 2023 Common Warrants to purchase up to 2,200,858 shares of our common stock were outstanding.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Pre-Funded Warrants</w:t>
      </w:r>
    </w:p>
    <w:p>
      <w:pPr>
        <w:spacing w:after="0" w:line="212" w:lineRule="exact"/>
        <w:rPr>
          <w:sz w:val="20"/>
          <w:szCs w:val="20"/>
          <w:color w:val="auto"/>
        </w:rPr>
      </w:pPr>
    </w:p>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The 2023 Pre-Funded Warrants have an exercise price of $0.0025 per share of common stock and are exercisable until exercised in full. The exercise price and number of shares of common stock issuable upon exercise of the 2023 Pre-Funded Warrants may be adjusted upon the occurrence of specific events, including stock dividends, stock splits, reclassifications and combinations of the Company’s common stock.</w:t>
      </w:r>
    </w:p>
    <w:p>
      <w:pPr>
        <w:spacing w:after="0" w:line="18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We issued the 2023 Pre-Funded Warrants in certificated form. A holder of a 2023 Pre-Funded Warrant certificate may exercise such 2023 Pre-Funded Warrant with the notice of exercise form attached to the 2023 Pre-Funded Warrant certificate completed and executed as indicated, accompanied by full payment of the exercise price for the number of 2023 Pre-Funded Warrants being exercised.</w:t>
      </w:r>
    </w:p>
    <w:p>
      <w:pPr>
        <w:spacing w:after="0" w:line="180"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1"/>
          <w:szCs w:val="21"/>
          <w:color w:val="auto"/>
        </w:rPr>
        <w:t>Under the terms of the 2023 Pre-Funded Warrants, a holder (together with its affiliates) may not exercise any portion of a 2023 Pre-Funded Warrant to the extent that the holder would beneficially own more than 4.99% or 9.99% (the percentage that was elected by each holder prior to the issuance of the 2023 Pre-Funded Warrants) of our common stock outstanding immediately after exercise. However, upon at least 61 days’ prior notice from the holder to the Company, a holder with a 4.99% or 9.99% beneficial ownership blocker may increase or decrease the amount of ownership of outstanding common stock after exercising the holder’s 2023 Pre-Funded Warrant up to 19.99% of our common stock outstanding immediately after giving effect to the exercise, as such percentage ownership is determined in accordance with the terms of the 2023 Pre-Funded Warrants.</w:t>
      </w:r>
    </w:p>
    <w:p>
      <w:pPr>
        <w:spacing w:after="0" w:line="170"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The holders of the 2023 Pre-Funded Warrants must pay the exercise price upon exercise of the 2023 Pre-Funded Warrants, unless such holders are utilizing the cashless exercise provision of the 2023 Pre-Funded Warrants. The 2023 Pre-Funded Warrants may be exercised at such time by means of a “cashless exercise” in which, in lieu of making the cash payment otherwise contemplated to be made to us upon such exercise in payment of the aggregate exercise price, the holder may elect instead to receive upon such exercise the net number of shares of common stock determined according to a formula set forth in the 2023 Pre-Funded Warrants.</w:t>
      </w:r>
    </w:p>
    <w:p>
      <w:pPr>
        <w:spacing w:after="0" w:line="18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2023 Pre-Funded Warrants), a holder of 2023 Pre-Funded Warrants will be entitled to receive, upon exercise of the 2023 Pre-Funded Warrants, the kind and amount of securities, cash or other property that such holder would have received had they exercised the 2023 Pre-Funded Warrants immediately prior to such fundamental transaction without regard to any limitations on exercise contained in the 2023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84"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2023 Pre-Funded Warrants or by virtue of a holder’s ownership of our common stock, the holders of the 2023 Pre-Funded Warrants do not have the rights or privileges of holders of our common stock, including any voting rights, until they exercise their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Common Warrants</w:t>
      </w:r>
    </w:p>
    <w:p>
      <w:pPr>
        <w:spacing w:after="0" w:line="21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2023 Common Warrants have an exercise price of $18.92 per share of common stock and expire on October 25, 2030. The exercise price and number of shares of common stock issuable upon exercise of the 2023 Common Warrants may be adjusted upon the occurrence of specific events, including stock dividends, stock splits, reclassifications subdivisions, and combinations of the Company’s common stock.</w:t>
      </w:r>
    </w:p>
    <w:p>
      <w:pPr>
        <w:spacing w:after="0" w:line="180"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We issued the 2023 Common Warrants in certificated form. A holder of a 2023 Common Warrant certificate may exercise such 2023 Common Warrant with the notice of exercise form attached to the 2023 Common Warrant certificate completed and executed as indicated, accompanied by full payment of the exercise price for the number of 2023 Common Warrants being exercised.</w:t>
      </w:r>
    </w:p>
    <w:p>
      <w:pPr>
        <w:spacing w:after="0" w:line="180"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1"/>
          <w:szCs w:val="21"/>
          <w:color w:val="auto"/>
        </w:rPr>
        <w:t>Under the terms of the 2023 Common Warrants, a holder (together with its affiliates) may not exercise any portion of a 2023 Common Warrant to the extent that the holder would beneficially own more than 4.99% or 9.99% (the percentage that was elected by each holder prior to the issuance of the 2023 Common Warrants) of our common stock outstanding immediately after exercise. However, upon at least 61 days’ prior notice from the holder to the Company, a holder with a 4.99% or 9.99% beneficial ownership blocker may increase or decrease the amount of beneficial ownership of outstanding common stock after exercising the holder’s 2023 Common Warrants up to 19.99% of our common stock outstanding immediately after giving effect to the exercise, as such percentage ownership is determined in accordance with the terms of the 2023 Common Warrants.</w:t>
      </w:r>
    </w:p>
    <w:p>
      <w:pPr>
        <w:spacing w:after="0" w:line="170"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1"/>
          <w:szCs w:val="21"/>
          <w:color w:val="auto"/>
        </w:rPr>
        <w:t>The holders of the 2023 Common Warrants must pay the exercise price upon exercise of the 2023 Common Warrants, unless such holders are utilizing the net exercise provision of the 2023 Common Warrants. The 2023 Common Warrants may be exercised at such time by means of a “net exercise” in which, in lieu of making the cash payment otherwise contemplated to be made to us upon such exercise in payment of the aggregate exercise price, the holder may elect instead to receive upon such exercise the net number of shares of common stock determined according to a formula set forth in the 2023 Common Warrants.</w:t>
      </w:r>
    </w:p>
    <w:p>
      <w:pPr>
        <w:spacing w:after="0" w:line="16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2023 Common Warrants), a holder of 2023 Common Warrants will be entitled to receive, upon exercise of the 2023 Common Warrants, the kind and amount of securities, cash, assets or any other property that such holder would have received had they exercised the 2023 Common Warrants immediately prior to such fundamental transaction without regard to any limitations on exercise contained in the 2023 Common Warrants.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2023 Common Warrants or by virtue of a holder’s ownership of our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stock, the holders of the 2023 Common Warrants do not have the rights or privileges of holders of our common stock, including any voting rights, until they exercise their warrants.</w:t>
      </w:r>
    </w:p>
    <w:p>
      <w:pPr>
        <w:spacing w:after="0" w:line="15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We do not intend to apply for listing of the 2023 Pre-Funded Warrants or 2023 Common Warrants on any securities exchange or other trading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Warrants Associated with 2025 PIPE Offering</w:t>
      </w:r>
    </w:p>
    <w:p>
      <w:pPr>
        <w:spacing w:after="0" w:line="21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22"/>
          <w:szCs w:val="22"/>
          <w:color w:val="auto"/>
        </w:rPr>
        <w:t>On February 11, 2025, we entered into a securities purchase agreement with certain purchasers named therein (the “2025 Securities Purchase Agreement”), pursuant to which we sold 2,103,307 shares of our common stock, consisting of 1,427,000 shares of common stock and 676,307 shares of non-voting common stock, pre-funded warrants to purchase up to an aggregate of 1,922,511 shares of our common stock (the “2025 Pre-Funded Warrants”) and accompanying warrants to purchase up to an aggregate of 2,012,909 shares of our common stock (the “2025 Common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2025 Pre-Funded Warrants</w:t>
      </w:r>
    </w:p>
    <w:p>
      <w:pPr>
        <w:spacing w:after="0" w:line="212" w:lineRule="exact"/>
        <w:rPr>
          <w:sz w:val="20"/>
          <w:szCs w:val="20"/>
          <w:color w:val="auto"/>
        </w:rPr>
      </w:pPr>
    </w:p>
    <w:p>
      <w:pPr>
        <w:jc w:val="both"/>
        <w:ind w:right="100"/>
        <w:spacing w:after="0" w:line="239" w:lineRule="auto"/>
        <w:rPr>
          <w:sz w:val="20"/>
          <w:szCs w:val="20"/>
          <w:color w:val="auto"/>
        </w:rPr>
      </w:pPr>
      <w:r>
        <w:rPr>
          <w:rFonts w:ascii="Times New Roman" w:cs="Times New Roman" w:eastAsia="Times New Roman" w:hAnsi="Times New Roman"/>
          <w:sz w:val="22"/>
          <w:szCs w:val="22"/>
          <w:color w:val="auto"/>
        </w:rPr>
        <w:t>The 2025 Pre-Funded Warrants have an exercise price of $0.0001 per share of common stock and are exercisable until exercised in full. The exercise price and number of shares of common stock issuable upon exercise of the 2025 Pre-Funded Warrants may be adjusted upon the occurrence of specific events, including stock dividends, stock splits, reclassifications and combinations of the Company’s common stock.</w:t>
      </w:r>
    </w:p>
    <w:p>
      <w:pPr>
        <w:spacing w:after="0" w:line="180"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We issued the 2025 Pre-Funded Warrants in certificated form. A holder of a 2025 Pre-Funded Warrant certificate may exercise such 2025 Pre-Funded Warrant with the notice of exercise form attached to the 2025 Pre-Funded Warrant certificate completed and executed as indicated, accompanied by full payment of the exercise price for the number of 2025 Pre-Funded Warrants being exercised.</w:t>
      </w:r>
    </w:p>
    <w:p>
      <w:pPr>
        <w:spacing w:after="0" w:line="180"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1"/>
          <w:szCs w:val="21"/>
          <w:color w:val="auto"/>
        </w:rPr>
        <w:t>Under the terms of the 2025 Pre-Funded Warrants, a holder (together with its affiliates) may not exercise any portion of a 2025 Pre-Funded Warrant to the extent that the holder would beneficially own more than 4.99% or 9.99% (the percentage that was elected by each holder prior to the issuance of the 2025 Pre-Funded Warrants) of our common stock outstanding immediately after exercise. However, upon at least 61 days’ prior notice from the holder to the Company, a holder with a 4.99% or 9.99% beneficial ownership blocker may increase or decrease the amount of ownership of outstanding common stock after exercising the holder’s 2025 Pre-Funded Warrant up to 19.99% of our common stock outstanding immediately after giving effect to the exercise, as such percentage ownership is determined in accordance with the terms of the 2025 Pre-Funded Warrants.</w:t>
      </w:r>
    </w:p>
    <w:p>
      <w:pPr>
        <w:spacing w:after="0" w:line="1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holders of the 2025 Pre-Funded Warrants must pay the exercise price upon exercise of the 2025 Pre-Funded Warrants, unless such holders are utilizing the cashless exercise provision of the 2025 Pre-Funded Warrants. The 2025 Pre-Funded Warrants may be exercised at such time by means of a “cashless exercise” in which, in lieu of making the cash payment otherwise contemplated to be made to us upon such exercise in payment of the aggregate exercise price, the holder may elect instead to receive upon such exercise the net number of shares of common stock determined according to a formula set forth in the 2025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85"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2025 Pre-Funded Warrants), a holder of 2025 Pre-Funded Warrants will be entitled to receive, upon exercise of the 2025 Pre-Funded Warrants, the kind and amount of securities, cash or other property that such holder would have received had they exercised the 2025 Pre-Funded Warrants immediately prior to such fundamental transaction without regard to any limitations on exercise contained in the 2025 Pre-Funded Warrants.</w:t>
      </w:r>
    </w:p>
    <w:p>
      <w:pPr>
        <w:spacing w:after="0" w:line="180"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2025 Pre-Funded Warrants or by virtue of a holder’s ownership of our common stock, the holders of the 2025 Pre-Funded Warrants do not have the rights or privileges of holders of our common stock, including any voting rights, until they exercise their warrants.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2025 Common Warrants</w:t>
      </w:r>
    </w:p>
    <w:p>
      <w:pPr>
        <w:spacing w:after="0" w:line="212"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2025 Common Warrants have an exercise price of $26.02 per share of common stock and expire on February 13, 2032. The exercise price and number of shares of common stock issuable upon exercise of the 2025 Common Warrants may be adjusted upon the occurrence of specific events, including stock dividends, stock splits, stock combinations or other similar events involving the Company’s common stock.</w:t>
      </w:r>
    </w:p>
    <w:p>
      <w:pPr>
        <w:spacing w:after="0" w:line="18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We issued the 2025 Common Warrants in certificated form. A holder of a 2025 Common Warrant certificate may exercise such 2025 Common Warrant with the form of exercise notice attached to the 2025 Common Warrant certificate completed and executed as indicated, accompanied by full payment of the exercise price for the number of 2025 Common Warrants being exercised.</w:t>
      </w:r>
    </w:p>
    <w:p>
      <w:pPr>
        <w:spacing w:after="0" w:line="18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1"/>
          <w:szCs w:val="21"/>
          <w:color w:val="auto"/>
        </w:rPr>
        <w:t>Under the terms of the 2025 Common Warrants, a holder (together with its affiliates) may not exercise any portion of a 2025 Common Warrant to the extent that the holder would beneficially own more than 4.99% or 9.99% (the percentage that was elected by each holder prior to the issuance of the 2025 Common Warrants) of our common stock outstanding immediately after exercise. However, upon at least 61 days’ prior notice from the holder to the Company, a holder with a 4.99% or 9.99% beneficial ownership blocker may increase or decrease the amount of beneficial ownership of outstanding common stock after exercising the holder’s 2025 Common Warrants up to 19.99% of our common stock outstanding immediately after giving effect to the exercise, as such percentage ownership is determined in accordance with the terms of the 2025 Common Warrants.</w:t>
      </w:r>
    </w:p>
    <w:p>
      <w:pPr>
        <w:spacing w:after="0" w:line="170"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22"/>
          <w:szCs w:val="22"/>
          <w:color w:val="auto"/>
        </w:rPr>
        <w:t>The holders of the 2025 Common Warrants must pay the exercise price upon exercise of the 2025 Common Warrants, unless such holders are utilizing the cashless exercise provision of the 2025 Common Warrants (which is only available during the 90 days after the original issuance date of the 2025 Common Warrants and when there is no effective registration statement registering, or the prospectus contained therein is not available for the resale of the shares issuable upon exercise of the 2025 Common Warrants).</w:t>
      </w:r>
    </w:p>
    <w:p>
      <w:pPr>
        <w:spacing w:after="0" w:line="177"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22"/>
          <w:szCs w:val="22"/>
          <w:color w:val="auto"/>
        </w:rPr>
        <w:t>In the event of certain fundamental transactions (as described in the 2025 Common Warrants), a holder of 2025 Common Warrants will be entitled to receive, upon exercise of the 2025 Common Warrants, the kind and amount of securities, cash or property that such holder would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3" w:name="page154"/>
    <w:bookmarkEnd w:id="153"/>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received had they exercised the 2025 Common Warrants immediately prior to such fundamental transaction without regard to any limitations on exercise contained in the 2025 Common Warrants.</w:t>
      </w:r>
    </w:p>
    <w:p>
      <w:pPr>
        <w:spacing w:after="0" w:line="15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Except for the right to participate in certain dividends and distributions and as otherwise provided in the 2025 Common Warrants or by virtue of a holder’s ownership of our common stock, the holders of the 2025 Common Warrants do not have the rights or privileges of holders of our common stock, including any voting rights, until they exercise their warrants.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We do not intend to apply for listing of the 2025 Pre-Funded Warrants or 2025 Common Warrants on any securities exchange or other trading system.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Private Placement Registration Rights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2023 PIPE Offering</w:t>
      </w:r>
    </w:p>
    <w:p>
      <w:pPr>
        <w:spacing w:after="0" w:line="212"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22"/>
          <w:szCs w:val="22"/>
          <w:color w:val="auto"/>
        </w:rPr>
        <w:t>We agreed to file a registration statement with the Securities and Exchange Commission (the “SEC”) on or before November 28, 2023 to register for resale under the Securities Act of 1933, as amended (the “Securities Act”) all of the shares of our common stock issued and shares of our common stock issuable upon exercise of the 2023 Pre-Funded Warrants and the 2023 Common Warrants, in each case, pursuant to the 2023 Securities Purchase Agreement, and we further agreed to use our reasonable best efforts to cause such registration statement to be declared effective within the earlier of (i) 30 days following the filing date (or January 23, 2024, if the SEC reviewed and had written comments to the registration statement) and (ii) the fifth trading day after we were notified by the SEC that the registration statement would not be reviewed or would not be subject to further comments from the SEC. A registration statement on Form S-3 was filed with the SEC on November 17, 2023 in accordance with the aforementioned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2025 PIPE Offering</w:t>
      </w:r>
    </w:p>
    <w:p>
      <w:pPr>
        <w:spacing w:after="0" w:line="212"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We agreed to file a registration statement with the SEC on or before March 30, 2025 to register for resale under the Securities Act all of the shares of our common stock issued and shares of our common stock issuable upon exercise of the 2025 Pre-Funded Warrants, pursuant to the 2025 Securities Purchase Agreement, and we further agreed to use our reasonable best efforts to cause such registration statement to be declared effective no later than the earlier of (i) 75 days following the filing date if the SEC notifies us that it will review the registration statement and (ii) the fifth trading day after we were notified by the SEC that the registration statement would not be reviewed or would not be subject to further comments from the SEC; provided, that if the deadline for effectiveness of the registration statement falls after February 14, 2025, it shall be automatically extended until the second business day following the date on which the Company files its Definitive Proxy Statement or Annual Report on Form 10-K that includes the disclosures required by Part III of Form 10-K, which shall be filed no later than April 30, 2025.</w:t>
      </w:r>
    </w:p>
    <w:p>
      <w:pPr>
        <w:spacing w:after="0" w:line="18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In addition, we agreed to file a registration statement with the SEC as promptly as reasonably practicable following demand by Baker Brothers Life Sciences, L.P. (together with its affiliates, the “Lead Investor”) or in any event within 60 days of such demand to register the resale of shares of common stock and any common stock issued or issuable upon the exercise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5"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conversion of non-voting common stock and any other securities of ours held by the Lead Investor (provided, that such demand shall not be made earlier than the three-month anniversary of February 13, 2025). We agreed to use our reasonable best efforts to cause such registration statement to be declared effective as promptly as practicable after filing.</w:t>
      </w:r>
    </w:p>
    <w:p>
      <w:pPr>
        <w:spacing w:after="0" w:line="169" w:lineRule="exact"/>
        <w:rPr>
          <w:sz w:val="20"/>
          <w:szCs w:val="20"/>
          <w:color w:val="auto"/>
        </w:rPr>
      </w:pPr>
    </w:p>
    <w:p>
      <w:pPr>
        <w:ind w:right="720"/>
        <w:spacing w:after="0" w:line="262" w:lineRule="auto"/>
        <w:rPr>
          <w:sz w:val="20"/>
          <w:szCs w:val="20"/>
          <w:color w:val="auto"/>
        </w:rPr>
      </w:pPr>
      <w:r>
        <w:rPr>
          <w:rFonts w:ascii="Times New Roman" w:cs="Times New Roman" w:eastAsia="Times New Roman" w:hAnsi="Times New Roman"/>
          <w:sz w:val="22"/>
          <w:szCs w:val="22"/>
          <w:b w:val="1"/>
          <w:bCs w:val="1"/>
          <w:color w:val="auto"/>
        </w:rPr>
        <w:t>Anti-Takeover Effects of Provisions of our Amended and Restated Certificate of Incorporation, our Amended and Restated Bylaws and Delaware Law</w:t>
      </w:r>
    </w:p>
    <w:p>
      <w:pPr>
        <w:spacing w:after="0" w:line="154"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Some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2"/>
          <w:szCs w:val="22"/>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Delaware Anti-takeover Statute</w:t>
      </w:r>
    </w:p>
    <w:p>
      <w:pPr>
        <w:spacing w:after="0" w:line="21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We are subject to Section 203 of the Delaware General Corporation Law, which prohibits persons deemed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Undesignated Preferred Stock</w:t>
      </w:r>
    </w:p>
    <w:p>
      <w:pPr>
        <w:spacing w:after="0" w:line="212"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ability to authorize undesignated preferred stock makes it possible for our board of directors to issue preferred stock with voting or other rights or preferences that could impede the success of any attempt to institute a change of control of our company. These and other provisions may have the effect of deterring hostile takeovers or delaying changes in control or management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Special Stockholder Meetings</w:t>
      </w:r>
    </w:p>
    <w:p>
      <w:pPr>
        <w:spacing w:after="0" w:line="21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Our amended and restated bylaws provide that a special meeting of stockholders may only be called by our board of directors, Chief Executive Officer or, in the absence of a chief executive officer, our President.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Requirements for Advance Notification of Stockholder Nominations and Proposals</w:t>
      </w:r>
    </w:p>
    <w:p>
      <w:pPr>
        <w:spacing w:after="0" w:line="21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Elimination of Stockholder Action by Written Consent</w:t>
      </w:r>
    </w:p>
    <w:p>
      <w:pPr>
        <w:spacing w:after="0" w:line="21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Our amended and restated certificate of incorporation and our amended and restated bylaws eliminate the right of stockholders to act by written consent without a meeting.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Classified Board; Election and Removal of Directors; Filling Vacancies</w:t>
      </w:r>
    </w:p>
    <w:p>
      <w:pPr>
        <w:spacing w:after="0" w:line="212"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color w:val="auto"/>
        </w:rPr>
        <w:t>Our board of directors is divided into three classes. The directors in each class serve for a three-year term, one class being elected each year by our stockholders.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Furthermore, any vacancy on our board of directors, however occurring, including a vacancy resulting from an increase in the size of the board, may only be filled by a resolution of the board of directors unless the board of directors determines that such vacancies will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our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Choice of Forum</w:t>
      </w:r>
    </w:p>
    <w:p>
      <w:pPr>
        <w:spacing w:after="0" w:line="212"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2"/>
          <w:szCs w:val="22"/>
          <w:color w:val="auto"/>
        </w:rPr>
        <w:t>Our amended and restated certificate of incorporation provides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are the exclusive forum for the resolution of any complaint asserting a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action against us or any of our directors, officers, employees or agents and arising under the Securities Act.</w:t>
      </w:r>
    </w:p>
    <w:p>
      <w:pPr>
        <w:spacing w:after="0" w:line="206"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22"/>
          <w:szCs w:val="22"/>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would not apply to suits brought to enforce any liability or duty created by the Exchange Act.</w:t>
      </w:r>
    </w:p>
    <w:p>
      <w:pPr>
        <w:spacing w:after="0" w:line="183" w:lineRule="exact"/>
        <w:rPr>
          <w:sz w:val="20"/>
          <w:szCs w:val="20"/>
          <w:color w:val="auto"/>
        </w:rPr>
      </w:pPr>
    </w:p>
    <w:p>
      <w:pPr>
        <w:ind w:right="580"/>
        <w:spacing w:after="0" w:line="244" w:lineRule="auto"/>
        <w:rPr>
          <w:sz w:val="20"/>
          <w:szCs w:val="20"/>
          <w:color w:val="auto"/>
        </w:rPr>
      </w:pPr>
      <w:r>
        <w:rPr>
          <w:rFonts w:ascii="Times New Roman" w:cs="Times New Roman" w:eastAsia="Times New Roman" w:hAnsi="Times New Roman"/>
          <w:sz w:val="22"/>
          <w:szCs w:val="22"/>
          <w:color w:val="auto"/>
        </w:rPr>
        <w:t>Our exclusive forum provision does not relieve us of our duties to comply with the federal securities laws and the rules and regulations thereunder, and our stockholders are not deemed to have waived our compliance with these laws, rules and regulations.</w:t>
      </w:r>
    </w:p>
    <w:p>
      <w:pPr>
        <w:spacing w:after="0" w:line="173"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Although our amended and restated certificate of incorporation contains the choice of forum provisions described above, it is possible that a court could find that such a provision is inapplicable for a particular claim or action or that such provision is unenforceable.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 of Certificate of Incorporation Provisions</w:t>
      </w:r>
    </w:p>
    <w:p>
      <w:pPr>
        <w:spacing w:after="0" w:line="212" w:lineRule="exact"/>
        <w:rPr>
          <w:sz w:val="20"/>
          <w:szCs w:val="20"/>
          <w:color w:val="auto"/>
        </w:rPr>
      </w:pPr>
    </w:p>
    <w:p>
      <w:pPr>
        <w:jc w:val="both"/>
        <w:ind w:right="400"/>
        <w:spacing w:after="0" w:line="244" w:lineRule="auto"/>
        <w:rPr>
          <w:sz w:val="20"/>
          <w:szCs w:val="20"/>
          <w:color w:val="auto"/>
        </w:rPr>
      </w:pPr>
      <w:r>
        <w:rPr>
          <w:rFonts w:ascii="Times New Roman" w:cs="Times New Roman" w:eastAsia="Times New Roman" w:hAnsi="Times New Roman"/>
          <w:sz w:val="22"/>
          <w:szCs w:val="22"/>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17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Limitations of Liability and Indemnification</w:t>
      </w:r>
    </w:p>
    <w:p>
      <w:pPr>
        <w:spacing w:after="0" w:line="21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As permitted by Section 102 of the Delaware General Corporation Law, we have adopted provisions in our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81"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of the director’s duty of loyalty to us or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1026795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85" w:lineRule="exact"/>
        <w:rPr>
          <w:sz w:val="20"/>
          <w:szCs w:val="20"/>
          <w:color w:val="auto"/>
        </w:rPr>
      </w:pPr>
    </w:p>
    <w:p>
      <w:pPr>
        <w:ind w:left="760" w:hanging="378"/>
        <w:spacing w:after="0"/>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 or omission not in good faith or that involves intentional misconduct or a knowing violation of law;</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unlawful payments related to dividends or unlawful stock repurchases, redemptions or other distributions; or</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transaction from which the director derived an improper personal benefit.</w:t>
      </w:r>
    </w:p>
    <w:p>
      <w:pPr>
        <w:spacing w:after="0" w:line="20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permitted by Section 145 of the Delaware General Corporation Law, our amended and restated bylaws provide that we shall indemnify our directors and officers, and may indemnify our employees and agents, to the fullest extent permitted by the DGCL, subject to limited exceptions;</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we shall advance expenses to our directors and officers and may advance expenses to our employees and agents in connection with a legal proceeding to the fullest extent permitted by the DGCL, subject to limited exceptions; 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rights provided in our amended and restated bylaws are not exclusive.</w:t>
      </w:r>
    </w:p>
    <w:p>
      <w:pPr>
        <w:spacing w:after="0" w:line="206"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Our amended and restated certificate of incorporation and our amended and restated bylaws provide for the indemnification provisions described above and elsewhere herein. We have entered into separate indemnification agreements with our officers and directors which may be broader than the specific indemnification provisions contained in the DGCL.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common stock is listed on the Nasdaq Capital Market under the symbol “ALGS.”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 and Registrar</w:t>
      </w:r>
    </w:p>
    <w:p>
      <w:pPr>
        <w:spacing w:after="0" w:line="210"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2"/>
          <w:szCs w:val="22"/>
          <w:color w:val="auto"/>
        </w:rPr>
        <w:t>The transfer agent and registrar for our common stock is Continental Stock Transfer &amp; Trust Co. The transfer agent and registrar’s address is 1 State Street, 30th Floor, New York, NY 10004.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58" w:name="page159"/>
    <w:bookmarkEnd w:id="158"/>
    <w:p>
      <w:pPr>
        <w:ind w:left="10180"/>
        <w:spacing w:after="0"/>
        <w:rPr>
          <w:sz w:val="20"/>
          <w:szCs w:val="20"/>
          <w:color w:val="auto"/>
        </w:rPr>
      </w:pPr>
      <w:r>
        <w:rPr>
          <w:rFonts w:ascii="Calibri" w:cs="Calibri" w:eastAsia="Calibri" w:hAnsi="Calibri"/>
          <w:sz w:val="20"/>
          <w:szCs w:val="20"/>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REGISTRATION RIGHTS AGREEMENT</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THIS REGISTRATION RIGHTS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dated as of February 13, 2025, is entered into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among Aligos Therapeutics,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the several investors signatory hereto (individually as an “</w:t>
      </w:r>
      <w:r>
        <w:rPr>
          <w:rFonts w:ascii="Times New Roman" w:cs="Times New Roman" w:eastAsia="Times New Roman" w:hAnsi="Times New Roman"/>
          <w:sz w:val="20"/>
          <w:szCs w:val="20"/>
          <w:b w:val="1"/>
          <w:bCs w:val="1"/>
          <w:color w:val="auto"/>
        </w:rPr>
        <w:t>Investor</w:t>
      </w:r>
      <w:r>
        <w:rPr>
          <w:rFonts w:ascii="Times New Roman" w:cs="Times New Roman" w:eastAsia="Times New Roman" w:hAnsi="Times New Roman"/>
          <w:sz w:val="20"/>
          <w:szCs w:val="20"/>
          <w:color w:val="auto"/>
        </w:rPr>
        <w:t>” and collectively together with their respective permitted assigns, the “</w:t>
      </w:r>
      <w:r>
        <w:rPr>
          <w:rFonts w:ascii="Times New Roman" w:cs="Times New Roman" w:eastAsia="Times New Roman" w:hAnsi="Times New Roman"/>
          <w:sz w:val="20"/>
          <w:szCs w:val="20"/>
          <w:b w:val="1"/>
          <w:bCs w:val="1"/>
          <w:color w:val="auto"/>
        </w:rPr>
        <w:t>Investors</w:t>
      </w:r>
      <w:r>
        <w:rPr>
          <w:rFonts w:ascii="Times New Roman" w:cs="Times New Roman" w:eastAsia="Times New Roman" w:hAnsi="Times New Roman"/>
          <w:sz w:val="20"/>
          <w:szCs w:val="20"/>
          <w:color w:val="auto"/>
        </w:rPr>
        <w:t>”). Capitalized terms used herein and not otherwise defined herein shall have the respective meanings set forth in the Securities Purchase Agreement by and among the parties hereto, dated as of February 11, 2025 (as amended, restated, supplemented or otherwise modified from time to time,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WHEREAS:</w:t>
      </w:r>
    </w:p>
    <w:p>
      <w:pPr>
        <w:spacing w:after="0" w:line="220" w:lineRule="exact"/>
        <w:rPr>
          <w:sz w:val="20"/>
          <w:szCs w:val="20"/>
          <w:color w:val="auto"/>
        </w:rPr>
      </w:pPr>
    </w:p>
    <w:p>
      <w:pPr>
        <w:jc w:val="both"/>
        <w:ind w:firstLine="757"/>
        <w:spacing w:after="0" w:line="242"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terms and subject to the conditions of the Purchase Agreement, the Company has agreed to issue to the Investors, and the Investors have agreed to purchase, severally and not jointly, an aggregate of up to $105,003,205 of (x) shares (the “</w:t>
      </w:r>
      <w:r>
        <w:rPr>
          <w:rFonts w:ascii="Times New Roman" w:cs="Times New Roman" w:eastAsia="Times New Roman" w:hAnsi="Times New Roman"/>
          <w:sz w:val="20"/>
          <w:szCs w:val="20"/>
          <w:b w:val="1"/>
          <w:bCs w:val="1"/>
          <w:color w:val="auto"/>
        </w:rPr>
        <w:t>Initial Shares</w:t>
      </w:r>
      <w:r>
        <w:rPr>
          <w:rFonts w:ascii="Times New Roman" w:cs="Times New Roman" w:eastAsia="Times New Roman" w:hAnsi="Times New Roman"/>
          <w:sz w:val="20"/>
          <w:szCs w:val="20"/>
          <w:color w:val="auto"/>
        </w:rPr>
        <w:t>”) of the Company’s common stock, par value $0.0001 per share (the “</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(y) shares of the Company’s non-voting common stock, par value $0.0001 per share, and any other class of securities into which such securities may hereafter be reclassified or changed into (the “</w:t>
      </w:r>
      <w:r>
        <w:rPr>
          <w:rFonts w:ascii="Times New Roman" w:cs="Times New Roman" w:eastAsia="Times New Roman" w:hAnsi="Times New Roman"/>
          <w:sz w:val="20"/>
          <w:szCs w:val="20"/>
          <w:b w:val="1"/>
          <w:bCs w:val="1"/>
          <w:color w:val="auto"/>
        </w:rPr>
        <w:t>Non-Voting Shares</w:t>
      </w:r>
      <w:r>
        <w:rPr>
          <w:rFonts w:ascii="Times New Roman" w:cs="Times New Roman" w:eastAsia="Times New Roman" w:hAnsi="Times New Roman"/>
          <w:sz w:val="20"/>
          <w:szCs w:val="20"/>
          <w:color w:val="auto"/>
        </w:rPr>
        <w:t>”), warrants to purchase shares of Common Stock (the “</w:t>
      </w:r>
      <w:r>
        <w:rPr>
          <w:rFonts w:ascii="Times New Roman" w:cs="Times New Roman" w:eastAsia="Times New Roman" w:hAnsi="Times New Roman"/>
          <w:sz w:val="20"/>
          <w:szCs w:val="20"/>
          <w:b w:val="1"/>
          <w:bCs w:val="1"/>
          <w:color w:val="auto"/>
        </w:rPr>
        <w:t>Common Warrants</w:t>
      </w:r>
      <w:r>
        <w:rPr>
          <w:rFonts w:ascii="Times New Roman" w:cs="Times New Roman" w:eastAsia="Times New Roman" w:hAnsi="Times New Roman"/>
          <w:sz w:val="20"/>
          <w:szCs w:val="20"/>
          <w:color w:val="auto"/>
        </w:rPr>
        <w:t>) and/or (z) pre-funded warrants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of Common Stock (the “</w:t>
      </w:r>
      <w:r>
        <w:rPr>
          <w:rFonts w:ascii="Times New Roman" w:cs="Times New Roman" w:eastAsia="Times New Roman" w:hAnsi="Times New Roman"/>
          <w:sz w:val="20"/>
          <w:szCs w:val="20"/>
          <w:b w:val="1"/>
          <w:bCs w:val="1"/>
          <w:color w:val="auto"/>
        </w:rPr>
        <w:t>Pre-Funded Warrants</w:t>
      </w:r>
      <w:r>
        <w:rPr>
          <w:rFonts w:ascii="Times New Roman" w:cs="Times New Roman" w:eastAsia="Times New Roman" w:hAnsi="Times New Roman"/>
          <w:sz w:val="20"/>
          <w:szCs w:val="20"/>
          <w:color w:val="auto"/>
        </w:rPr>
        <w:t>,” together with the Common Warrants, the “Warrants,” and the Warrants collectively with the Initial Shares and Non-Voting Shares, the “</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to purchase shares of Common Stock, in each case, pursuant to the Purchase Agreement. The Initial Shares and the shares of Common Stock issuable upon (i) conversion of the Non-Voting Shares and (ii) exercise of the Warrants, without giving effect to any limitations on conversion of the Non-Voting Shares or exercise of the Warrants, and assuming all of the Warrants are exercised for cash, are collectively referred to herein as the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and applicable state securities laws.</w:t>
      </w:r>
    </w:p>
    <w:p>
      <w:pPr>
        <w:spacing w:after="0" w:line="170"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promises and the mutual covenants contained herein and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receipt and sufficiency of which are hereby acknowledged, the Company and the Investors hereby agree as follows:</w:t>
      </w:r>
    </w:p>
    <w:p>
      <w:pPr>
        <w:spacing w:after="0" w:line="152" w:lineRule="exact"/>
        <w:rPr>
          <w:sz w:val="20"/>
          <w:szCs w:val="20"/>
          <w:color w:val="auto"/>
        </w:rPr>
      </w:pPr>
    </w:p>
    <w:p>
      <w:pPr>
        <w:ind w:left="1140" w:hanging="383"/>
        <w:spacing w:after="0"/>
        <w:tabs>
          <w:tab w:leader="none" w:pos="114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For purposes of this Agreement, the following terms shall have the following meanings:</w:t>
      </w:r>
    </w:p>
    <w:p>
      <w:pPr>
        <w:spacing w:after="0" w:line="212" w:lineRule="exact"/>
        <w:rPr>
          <w:sz w:val="20"/>
          <w:szCs w:val="20"/>
          <w:color w:val="auto"/>
        </w:rPr>
      </w:pPr>
    </w:p>
    <w:p>
      <w:pPr>
        <w:jc w:val="both"/>
        <w:ind w:firstLine="1505"/>
        <w:spacing w:after="0" w:line="256" w:lineRule="auto"/>
        <w:tabs>
          <w:tab w:leader="none" w:pos="203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8"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 means any change, event, violation, inaccuracy, circumstance or effect that is caused by (i) acts of God, epidemics, pandemics (including COVID-19) or other calamities, national or international political or social conditions (or the escalation or worsening thereof), (ii) any potential or actual government shutdown, or (iii) any other interruption in the financing, banking, currency or capital markets in general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59" w:name="page160"/>
    <w:bookmarkEnd w:id="159"/>
    <w:p>
      <w:pPr>
        <w:spacing w:after="0" w:line="185" w:lineRule="exact"/>
        <w:rPr>
          <w:sz w:val="20"/>
          <w:szCs w:val="20"/>
          <w:color w:val="auto"/>
        </w:rPr>
      </w:pPr>
    </w:p>
    <w:p>
      <w:pPr>
        <w:ind w:firstLine="1505"/>
        <w:spacing w:after="0" w:line="273" w:lineRule="auto"/>
        <w:tabs>
          <w:tab w:leader="none" w:pos="20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partnership, corporation, limited liability company, business trust, joint stock company, trust, unincorporated association, joint venture or any other entity or organization.</w:t>
      </w:r>
    </w:p>
    <w:p>
      <w:pPr>
        <w:spacing w:after="0" w:line="151" w:lineRule="exact"/>
        <w:rPr>
          <w:rFonts w:ascii="Times New Roman" w:cs="Times New Roman" w:eastAsia="Times New Roman" w:hAnsi="Times New Roman"/>
          <w:sz w:val="20"/>
          <w:szCs w:val="20"/>
          <w:color w:val="auto"/>
        </w:rPr>
      </w:pPr>
    </w:p>
    <w:p>
      <w:pPr>
        <w:jc w:val="both"/>
        <w:ind w:firstLine="1505"/>
        <w:spacing w:after="0" w:line="276" w:lineRule="auto"/>
        <w:tabs>
          <w:tab w:leader="none" w:pos="203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Registered</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Registration</w:t>
      </w:r>
      <w:r>
        <w:rPr>
          <w:rFonts w:ascii="Times New Roman" w:cs="Times New Roman" w:eastAsia="Times New Roman" w:hAnsi="Times New Roman"/>
          <w:sz w:val="19"/>
          <w:szCs w:val="19"/>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w:t>
      </w:r>
    </w:p>
    <w:p>
      <w:pPr>
        <w:spacing w:after="0" w:line="150" w:lineRule="exact"/>
        <w:rPr>
          <w:rFonts w:ascii="Times New Roman" w:cs="Times New Roman" w:eastAsia="Times New Roman" w:hAnsi="Times New Roman"/>
          <w:sz w:val="19"/>
          <w:szCs w:val="19"/>
          <w:color w:val="auto"/>
        </w:rPr>
      </w:pPr>
    </w:p>
    <w:p>
      <w:pPr>
        <w:jc w:val="both"/>
        <w:ind w:firstLine="1505"/>
        <w:spacing w:after="0" w:line="244" w:lineRule="auto"/>
        <w:tabs>
          <w:tab w:leader="none" w:pos="20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Registrable Securities</w:t>
      </w:r>
      <w:r>
        <w:rPr>
          <w:rFonts w:ascii="Times New Roman" w:cs="Times New Roman" w:eastAsia="Times New Roman" w:hAnsi="Times New Roman"/>
          <w:sz w:val="20"/>
          <w:szCs w:val="20"/>
          <w:color w:val="auto"/>
        </w:rPr>
        <w:t>” means the Shares and any Common Stock issued or issuable with respect to the Shares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(i) the date on which the Investors shall have resold all the Registrable Securities covered by the Registration Statement, (ii) such Registrable Securities have been previously sold in accordance with Rule 144, (iii) such securities become eligible for resale without volume or manner-of-sale restrictions pursuant to Rule 144 and without the requirement for the Company to be in compliance with the current public information requirement under Rule 144, and (iv) five (5) years after the date of this Agreement.</w:t>
      </w:r>
    </w:p>
    <w:p>
      <w:pPr>
        <w:spacing w:after="0" w:line="181"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Expenses</w:t>
      </w:r>
      <w:r>
        <w:rPr>
          <w:rFonts w:ascii="Times New Roman" w:cs="Times New Roman" w:eastAsia="Times New Roman" w:hAnsi="Times New Roman"/>
          <w:sz w:val="20"/>
          <w:szCs w:val="20"/>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78" w:lineRule="exact"/>
        <w:rPr>
          <w:rFonts w:ascii="Times New Roman" w:cs="Times New Roman" w:eastAsia="Times New Roman" w:hAnsi="Times New Roman"/>
          <w:sz w:val="20"/>
          <w:szCs w:val="20"/>
          <w:color w:val="auto"/>
        </w:rPr>
      </w:pPr>
    </w:p>
    <w:p>
      <w:pPr>
        <w:jc w:val="both"/>
        <w:ind w:firstLine="1505"/>
        <w:spacing w:after="0" w:line="276" w:lineRule="auto"/>
        <w:tabs>
          <w:tab w:leader="none" w:pos="2036"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 Guidance</w:t>
      </w:r>
      <w:r>
        <w:rPr>
          <w:rFonts w:ascii="Times New Roman" w:cs="Times New Roman" w:eastAsia="Times New Roman" w:hAnsi="Times New Roman"/>
          <w:sz w:val="19"/>
          <w:szCs w:val="19"/>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if not publicly-available) and (ii) the Securities Act.</w:t>
      </w:r>
    </w:p>
    <w:p>
      <w:pPr>
        <w:spacing w:after="0" w:line="150" w:lineRule="exact"/>
        <w:rPr>
          <w:rFonts w:ascii="Times New Roman" w:cs="Times New Roman" w:eastAsia="Times New Roman" w:hAnsi="Times New Roman"/>
          <w:sz w:val="19"/>
          <w:szCs w:val="19"/>
          <w:color w:val="auto"/>
        </w:rPr>
      </w:pPr>
    </w:p>
    <w:p>
      <w:pPr>
        <w:ind w:firstLine="1505"/>
        <w:spacing w:after="0" w:line="273" w:lineRule="auto"/>
        <w:tabs>
          <w:tab w:leader="none" w:pos="203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Selling Expenses</w:t>
      </w:r>
      <w:r>
        <w:rPr>
          <w:rFonts w:ascii="Times New Roman" w:cs="Times New Roman" w:eastAsia="Times New Roman" w:hAnsi="Times New Roman"/>
          <w:sz w:val="20"/>
          <w:szCs w:val="20"/>
          <w:color w:val="auto"/>
        </w:rPr>
        <w:t>” means all underwriting discounts and selling commissions applicable to the sale of Registrable Securities and all similar fees and commissions relating to the Investors’ disposition of the Registrable Securities.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85" w:lineRule="exact"/>
        <w:rPr>
          <w:sz w:val="20"/>
          <w:szCs w:val="20"/>
          <w:color w:val="auto"/>
        </w:rPr>
      </w:pPr>
    </w:p>
    <w:p>
      <w:pPr>
        <w:ind w:left="1140" w:hanging="383"/>
        <w:spacing w:after="0"/>
        <w:tabs>
          <w:tab w:leader="none" w:pos="114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REGISTRATION.</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41" w:lineRule="auto"/>
        <w:tabs>
          <w:tab w:leader="none" w:pos="20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 Registration</w:t>
      </w:r>
      <w:r>
        <w:rPr>
          <w:rFonts w:ascii="Times New Roman" w:cs="Times New Roman" w:eastAsia="Times New Roman" w:hAnsi="Times New Roman"/>
          <w:sz w:val="20"/>
          <w:szCs w:val="20"/>
          <w:color w:val="auto"/>
        </w:rPr>
        <w:t>. The Company shall, as promptly as reasonably practicable and in any event no later than 45 days after the Closing Date (the “</w:t>
      </w:r>
      <w:r>
        <w:rPr>
          <w:rFonts w:ascii="Times New Roman" w:cs="Times New Roman" w:eastAsia="Times New Roman" w:hAnsi="Times New Roman"/>
          <w:sz w:val="20"/>
          <w:szCs w:val="20"/>
          <w:b w:val="1"/>
          <w:bCs w:val="1"/>
          <w:color w:val="auto"/>
        </w:rPr>
        <w:t>Filing Deadline</w:t>
      </w:r>
      <w:r>
        <w:rPr>
          <w:rFonts w:ascii="Times New Roman" w:cs="Times New Roman" w:eastAsia="Times New Roman" w:hAnsi="Times New Roman"/>
          <w:sz w:val="20"/>
          <w:szCs w:val="20"/>
          <w:color w:val="auto"/>
        </w:rPr>
        <w:t>”), prepare and file with the SEC an initial Registration Statement (the “</w:t>
      </w:r>
      <w:r>
        <w:rPr>
          <w:rFonts w:ascii="Times New Roman" w:cs="Times New Roman" w:eastAsia="Times New Roman" w:hAnsi="Times New Roman"/>
          <w:sz w:val="20"/>
          <w:szCs w:val="20"/>
          <w:b w:val="1"/>
          <w:bCs w:val="1"/>
          <w:color w:val="auto"/>
        </w:rPr>
        <w:t>Initial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covering the resale of all Registrable Securities. Before filing the Registration Statement, the Company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Company shall (a) use commercially reasonable efforts to address in each such document prior to being so filed with the SEC such comments as the Investor or its counsel reasonably proposed by the Investor, and (b) not file any Registration Statement or related prospectus or any amendment or supplement thereto containing information regarding the Investor to which Investor reasonably objects, unless such information is required (in the opinion of the Company) to comply with any applicable law, regulation, SEC Guidance or listing standard. The Investors shall furnish all information reasonably requested by the Company and as shall be reasonably required in connection with any registration referred to in this Agreement.</w:t>
      </w:r>
    </w:p>
    <w:p>
      <w:pPr>
        <w:spacing w:after="0" w:line="197"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xml:space="preserve">. The Company shall use its reasonable best efforts to have the Initial Registration Statement and any amendment declared effective by the SEC at the earliest possible date but no later than the earlier of (a) the 75th calendar day following the initial filing date of the Initial Registration Statement if the SEC notifies the Company that it will “review” the Initial Registration Statement and (b) the fifth Business Day after the date the Company is notified (orally or in writing, whichever is earlier) by the SEC that the Initial Registration Statement will not be “reviewed” or will not be subject to further review;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the deadline for effectiveness of the Initial Registration Statement falls after February 14, 2025, it shall be automatically extended until the second business day following the date on which the Company files its Definitive Proxy Statement or Annual Report on Form 10-K that includes the disclosures required by Part III of Form 10-K, which shall be filed no later than April 30, 2025 (the “</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The Company shall notify the Investor by e-mail as promptly as practicable, and in any event, within one Business Day, after the Registration Statement is declared effective or is supplemented and shall provide the Investor with copies of any related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and (iii) five (5) years after the date of this Agreement (the “</w:t>
      </w:r>
      <w:r>
        <w:rPr>
          <w:rFonts w:ascii="Times New Roman" w:cs="Times New Roman" w:eastAsia="Times New Roman" w:hAnsi="Times New Roman"/>
          <w:sz w:val="20"/>
          <w:szCs w:val="20"/>
          <w:b w:val="1"/>
          <w:bCs w:val="1"/>
          <w:color w:val="auto"/>
        </w:rPr>
        <w:t>Registration Period</w:t>
      </w:r>
      <w:r>
        <w:rPr>
          <w:rFonts w:ascii="Times New Roman" w:cs="Times New Roman" w:eastAsia="Times New Roman" w:hAnsi="Times New Roman"/>
          <w:sz w:val="20"/>
          <w:szCs w:val="20"/>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87"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Sufficient Number of Shares Registered</w:t>
      </w:r>
      <w:r>
        <w:rPr>
          <w:rFonts w:ascii="Times New Roman" w:cs="Times New Roman" w:eastAsia="Times New Roman" w:hAnsi="Times New Roman"/>
          <w:sz w:val="20"/>
          <w:szCs w:val="20"/>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20"/>
          <w:szCs w:val="20"/>
          <w:b w:val="1"/>
          <w:bCs w:val="1"/>
          <w:color w:val="auto"/>
        </w:rPr>
        <w:t>New Registration Statement</w:t>
      </w:r>
      <w:r>
        <w:rPr>
          <w:rFonts w:ascii="Times New Roman" w:cs="Times New Roman" w:eastAsia="Times New Roman" w:hAnsi="Times New Roman"/>
          <w:sz w:val="20"/>
          <w:szCs w:val="20"/>
          <w:color w:val="auto"/>
        </w:rPr>
        <w:t>”), so as to cover all of such Registrable Securities as soon as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reasonably practicable, but in any event not later than ten Business Days after the necessity therefor arises (the “</w:t>
      </w:r>
      <w:r>
        <w:rPr>
          <w:rFonts w:ascii="Times New Roman" w:cs="Times New Roman" w:eastAsia="Times New Roman" w:hAnsi="Times New Roman"/>
          <w:sz w:val="20"/>
          <w:szCs w:val="20"/>
          <w:b w:val="1"/>
          <w:bCs w:val="1"/>
          <w:color w:val="auto"/>
        </w:rPr>
        <w:t>New Registration Filing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Deadline</w:t>
      </w:r>
      <w:r>
        <w:rPr>
          <w:rFonts w:ascii="Times New Roman" w:cs="Times New Roman" w:eastAsia="Times New Roman" w:hAnsi="Times New Roman"/>
          <w:sz w:val="20"/>
          <w:szCs w:val="20"/>
          <w:color w:val="auto"/>
        </w:rPr>
        <w:t>”). The Company shall use its reasonable best efforts to have such amendment and/or New Registration Statement become effective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soon as reasonably practicable following the filing thereof but no later than the earlier of (a) the 75th calendar day following the initial filing date of the New Registration Statement if the SEC notifies the Company that it will “review” the New Registration Statement and (b) the fifth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20"/>
          <w:szCs w:val="20"/>
          <w:b w:val="1"/>
          <w:bCs w:val="1"/>
          <w:color w:val="auto"/>
        </w:rPr>
        <w:t>New Registration Effectiveness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Deadline</w:t>
      </w:r>
      <w:r>
        <w:rPr>
          <w:rFonts w:ascii="Times New Roman" w:cs="Times New Roman" w:eastAsia="Times New Roman" w:hAnsi="Times New Roman"/>
          <w:sz w:val="20"/>
          <w:szCs w:val="20"/>
          <w:color w:val="auto"/>
        </w:rPr>
        <w:t>”).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apply to the New Registration Statement, except as modified hereby.</w:t>
      </w:r>
    </w:p>
    <w:p>
      <w:pPr>
        <w:spacing w:after="0" w:line="183" w:lineRule="exact"/>
        <w:rPr>
          <w:sz w:val="20"/>
          <w:szCs w:val="20"/>
          <w:color w:val="auto"/>
        </w:rPr>
      </w:pPr>
    </w:p>
    <w:p>
      <w:pPr>
        <w:jc w:val="both"/>
        <w:ind w:firstLine="1505"/>
        <w:spacing w:after="0"/>
        <w:tabs>
          <w:tab w:leader="none" w:pos="203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Liquidated Damages</w:t>
      </w:r>
      <w:r>
        <w:rPr>
          <w:rFonts w:ascii="Times New Roman" w:cs="Times New Roman" w:eastAsia="Times New Roman" w:hAnsi="Times New Roman"/>
          <w:sz w:val="20"/>
          <w:szCs w:val="20"/>
          <w:color w:val="auto"/>
        </w:rPr>
        <w:t>.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for any reason (including without limitation by reason of a stop order, or the Company’s failure to update such Registration Statement), but excluding any Allowed Delay (as defined below) or, if the Registration Statement is on Form S-1, for a period of 20 days following the date on which the Company files a post-effective amendment to incorporate the Company’s Annual Report on Form 10-K (a “</w:t>
      </w:r>
      <w:r>
        <w:rPr>
          <w:rFonts w:ascii="Times New Roman" w:cs="Times New Roman" w:eastAsia="Times New Roman" w:hAnsi="Times New Roman"/>
          <w:sz w:val="20"/>
          <w:szCs w:val="20"/>
          <w:b w:val="1"/>
          <w:bCs w:val="1"/>
          <w:color w:val="auto"/>
        </w:rPr>
        <w:t>Maintenance Failure</w:t>
      </w:r>
      <w:r>
        <w:rPr>
          <w:rFonts w:ascii="Times New Roman" w:cs="Times New Roman" w:eastAsia="Times New Roman" w:hAnsi="Times New Roman"/>
          <w:sz w:val="20"/>
          <w:szCs w:val="20"/>
          <w:color w:val="auto"/>
        </w:rPr>
        <w:t>”),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 w:cs="Times New Roman" w:eastAsia="Times New Roman" w:hAnsi="Times New Roman"/>
          <w:sz w:val="20"/>
          <w:szCs w:val="20"/>
          <w:b w:val="1"/>
          <w:bCs w:val="1"/>
          <w:color w:val="auto"/>
        </w:rPr>
        <w:t>Blackout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liquidated damages shall be payable if the Company’s failure was caused by any Force Majeure.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“Blackout Period Payment Date”). Interest shall accrue at the rate of 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by such Investor under the Purchase Agreement. Notwithstanding anything in this </w:t>
      </w:r>
      <w:r>
        <w:rPr>
          <w:rFonts w:ascii="Times New Roman" w:cs="Times New Roman" w:eastAsia="Times New Roman" w:hAnsi="Times New Roman"/>
          <w:sz w:val="20"/>
          <w:szCs w:val="20"/>
          <w:u w:val="single" w:color="auto"/>
          <w:color w:val="auto"/>
        </w:rPr>
        <w:t>Section 2(d)</w:t>
      </w:r>
      <w:r>
        <w:rPr>
          <w:rFonts w:ascii="Times New Roman" w:cs="Times New Roman" w:eastAsia="Times New Roman" w:hAnsi="Times New Roman"/>
          <w:sz w:val="20"/>
          <w:szCs w:val="20"/>
          <w:color w:val="auto"/>
        </w:rPr>
        <w:t xml:space="preserve"> 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4(a)</w:t>
      </w:r>
      <w:r>
        <w:rPr>
          <w:rFonts w:ascii="Times New Roman" w:cs="Times New Roman" w:eastAsia="Times New Roman" w:hAnsi="Times New Roman"/>
          <w:sz w:val="20"/>
          <w:szCs w:val="20"/>
          <w:color w:val="auto"/>
        </w:rPr>
        <w:t xml:space="preserve"> within three Business Days of the Company’s request, any liquidated damages that would otherwise accrue as to such Investor only shall be tolled until such information is delivered to the Company.</w:t>
      </w:r>
    </w:p>
    <w:p>
      <w:pPr>
        <w:spacing w:after="0" w:line="205"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Allowable Delays</w:t>
      </w:r>
      <w:r>
        <w:rPr>
          <w:rFonts w:ascii="Times New Roman" w:cs="Times New Roman" w:eastAsia="Times New Roman" w:hAnsi="Times New Roman"/>
          <w:sz w:val="20"/>
          <w:szCs w:val="20"/>
          <w:color w:val="auto"/>
        </w:rPr>
        <w:t>. 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included in any Registration Statement, in the event that the Company determines in good faith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were made, not misleading (an “</w:t>
      </w:r>
      <w:r>
        <w:rPr>
          <w:rFonts w:ascii="Times New Roman" w:cs="Times New Roman" w:eastAsia="Times New Roman" w:hAnsi="Times New Roman"/>
          <w:sz w:val="19"/>
          <w:szCs w:val="19"/>
          <w:b w:val="1"/>
          <w:bCs w:val="1"/>
          <w:color w:val="auto"/>
        </w:rPr>
        <w:t>Allowed Delay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Registration Statement until the end of the Allowed Delay and (c) use commercially reasonable efforts to terminate an Allowed Delay as promptly as practicable.</w:t>
      </w:r>
    </w:p>
    <w:p>
      <w:pPr>
        <w:spacing w:after="0" w:line="162" w:lineRule="exact"/>
        <w:rPr>
          <w:sz w:val="20"/>
          <w:szCs w:val="20"/>
          <w:color w:val="auto"/>
        </w:rPr>
      </w:pPr>
    </w:p>
    <w:p>
      <w:pPr>
        <w:jc w:val="both"/>
        <w:ind w:firstLine="1505"/>
        <w:spacing w:after="0"/>
        <w:tabs>
          <w:tab w:leader="none" w:pos="203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415; Cutback</w:t>
      </w:r>
      <w:r>
        <w:rPr>
          <w:rFonts w:ascii="Times New Roman" w:cs="Times New Roman" w:eastAsia="Times New Roman" w:hAnsi="Times New Roman"/>
          <w:sz w:val="20"/>
          <w:szCs w:val="20"/>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undertake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at such Investor’s expense, to review and oversee any registration or matters pursuant to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the SEC refuses to alter its position, the Company shall (i) remove from such Registration Statement such portion of the Registrable Securities (the “</w:t>
      </w:r>
      <w:r>
        <w:rPr>
          <w:rFonts w:ascii="Times New Roman" w:cs="Times New Roman" w:eastAsia="Times New Roman" w:hAnsi="Times New Roman"/>
          <w:sz w:val="20"/>
          <w:szCs w:val="20"/>
          <w:b w:val="1"/>
          <w:bCs w:val="1"/>
          <w:color w:val="auto"/>
        </w:rPr>
        <w:t>Cut Back Shares</w:t>
      </w:r>
      <w:r>
        <w:rPr>
          <w:rFonts w:ascii="Times New Roman" w:cs="Times New Roman" w:eastAsia="Times New Roman" w:hAnsi="Times New Roman"/>
          <w:sz w:val="20"/>
          <w:szCs w:val="20"/>
          <w:color w:val="auto"/>
        </w:rPr>
        <w:t>”)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20"/>
          <w:szCs w:val="20"/>
          <w:b w:val="1"/>
          <w:bCs w:val="1"/>
          <w:color w:val="auto"/>
        </w:rPr>
        <w:t>SEC Restrictions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20"/>
          <w:szCs w:val="20"/>
          <w:u w:val="single" w:color="auto"/>
          <w:color w:val="auto"/>
        </w:rPr>
        <w:t>Section 2(f)</w:t>
      </w:r>
      <w:r>
        <w:rPr>
          <w:rFonts w:ascii="Times New Roman" w:cs="Times New Roman" w:eastAsia="Times New Roman" w:hAnsi="Times New Roman"/>
          <w:sz w:val="20"/>
          <w:szCs w:val="20"/>
          <w:color w:val="auto"/>
        </w:rPr>
        <w:t xml:space="preserve">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 w:cs="Times New Roman" w:eastAsia="Times New Roman" w:hAnsi="Times New Roman"/>
          <w:sz w:val="20"/>
          <w:szCs w:val="20"/>
          <w:b w:val="1"/>
          <w:bCs w:val="1"/>
          <w:color w:val="auto"/>
        </w:rPr>
        <w:t>Restriction Termination Date</w:t>
      </w:r>
      <w:r>
        <w:rPr>
          <w:rFonts w:ascii="Times New Roman" w:cs="Times New Roman" w:eastAsia="Times New Roman" w:hAnsi="Times New Roman"/>
          <w:sz w:val="20"/>
          <w:szCs w:val="20"/>
          <w:color w:val="auto"/>
        </w:rPr>
        <w:t xml:space="preserve">”). From and after the Restriction Termination Date applicable to any Cut Back Shares, all of the provisions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(including the Company’s obligations with respect to the filing of a Registration Statement and its obligations to use commercially reasonable efforts to have such Registration Statement declared effective within the time periods set forth herein and the liquidated damages provisions relating thereto) shall again be applicable to such Cut Back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immediately after the Restriction Termination Date.</w:t>
      </w:r>
    </w:p>
    <w:p>
      <w:pPr>
        <w:spacing w:after="0" w:line="198"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COMPANY OBLIGATIONS.</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With respect to the Registration Statement and whenever any Registrable Securities are to be Registered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including on the Initial Registration Statement or on any New Registration Statement, the Company shall use its reasonable best efforts to effect the registration of the Registrable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Securities in accordance with the intended method of disposition thereof and, pursuant thereto, the Company shall have the following obligations:</w:t>
      </w:r>
    </w:p>
    <w:p>
      <w:pPr>
        <w:spacing w:after="0" w:line="159" w:lineRule="exact"/>
        <w:rPr>
          <w:sz w:val="20"/>
          <w:szCs w:val="20"/>
          <w:color w:val="auto"/>
        </w:rPr>
      </w:pPr>
    </w:p>
    <w:p>
      <w:pPr>
        <w:jc w:val="both"/>
        <w:ind w:firstLine="1505"/>
        <w:spacing w:after="0" w:line="246"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Notifications</w:t>
      </w:r>
      <w:r>
        <w:rPr>
          <w:rFonts w:ascii="Times New Roman" w:cs="Times New Roman" w:eastAsia="Times New Roman" w:hAnsi="Times New Roman"/>
          <w:sz w:val="20"/>
          <w:szCs w:val="20"/>
          <w:color w:val="auto"/>
        </w:rPr>
        <w:t>. The Company will promptly notify the Investors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Investor Review</w:t>
      </w:r>
      <w:r>
        <w:rPr>
          <w:rFonts w:ascii="Times New Roman" w:cs="Times New Roman" w:eastAsia="Times New Roman" w:hAnsi="Times New Roman"/>
          <w:sz w:val="20"/>
          <w:szCs w:val="20"/>
          <w:color w:val="auto"/>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Business Days prior to filing with the SEC and (B) the Company shall have given reasonable due consideration to any comments thereon received from the Investors or their counsel.</w:t>
      </w:r>
    </w:p>
    <w:p>
      <w:pPr>
        <w:spacing w:after="0" w:line="184"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Copies Available</w:t>
      </w:r>
      <w:r>
        <w:rPr>
          <w:rFonts w:ascii="Times New Roman" w:cs="Times New Roman" w:eastAsia="Times New Roman" w:hAnsi="Times New Roman"/>
          <w:sz w:val="19"/>
          <w:szCs w:val="19"/>
          <w:color w:val="auto"/>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Investor may reasonably request in order to facilitate the disposition of the Registrable Securities owned by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Company shall not be required to furnish any document to the Investors to the extent such document is available on EDGAR.</w:t>
      </w:r>
    </w:p>
    <w:p>
      <w:pPr>
        <w:spacing w:after="0" w:line="177" w:lineRule="exact"/>
        <w:rPr>
          <w:rFonts w:ascii="Times New Roman" w:cs="Times New Roman" w:eastAsia="Times New Roman" w:hAnsi="Times New Roman"/>
          <w:sz w:val="19"/>
          <w:szCs w:val="19"/>
          <w:color w:val="auto"/>
        </w:rPr>
      </w:pPr>
    </w:p>
    <w:p>
      <w:pPr>
        <w:jc w:val="both"/>
        <w:ind w:firstLine="1505"/>
        <w:spacing w:after="0" w:line="260" w:lineRule="auto"/>
        <w:tabs>
          <w:tab w:leader="none" w:pos="203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Notification of Stop Orders; Material Changes</w:t>
      </w:r>
      <w:r>
        <w:rPr>
          <w:rFonts w:ascii="Times New Roman" w:cs="Times New Roman" w:eastAsia="Times New Roman" w:hAnsi="Times New Roman"/>
          <w:sz w:val="19"/>
          <w:szCs w:val="19"/>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 w:cs="Times New Roman" w:eastAsia="Times New Roman" w:hAnsi="Times New Roman"/>
          <w:sz w:val="20"/>
          <w:szCs w:val="20"/>
          <w:b w:val="1"/>
          <w:bCs w:val="1"/>
          <w:color w:val="auto"/>
        </w:rPr>
        <w:t>Suspension Event</w:t>
      </w:r>
      <w:r>
        <w:rPr>
          <w:rFonts w:ascii="Times New Roman" w:cs="Times New Roman" w:eastAsia="Times New Roman" w:hAnsi="Times New Roman"/>
          <w:sz w:val="20"/>
          <w:szCs w:val="20"/>
          <w:color w:val="auto"/>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3(e)</w:t>
      </w:r>
      <w:r>
        <w:rPr>
          <w:rFonts w:ascii="Times New Roman" w:cs="Times New Roman" w:eastAsia="Times New Roman" w:hAnsi="Times New Roman"/>
          <w:sz w:val="20"/>
          <w:szCs w:val="20"/>
          <w:color w:val="auto"/>
        </w:rPr>
        <w:t xml:space="preserve">, the Company will use its commercially reasonable efforts to publicly disclose such event as soon as reasonably practicable, or otherwise resolve the matter such that sales under Registration Statements may resume;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Company has a bona fide business purpose for not making such information public, the Company may suspend the use of all Registration Statements for up to 60 consecutive calendar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Company may not suspend the use of all Registration Statements more than twice, or for more than 90 total calendar days, in each case during any twelve-month period.</w:t>
      </w:r>
    </w:p>
    <w:p>
      <w:pPr>
        <w:spacing w:after="0" w:line="206" w:lineRule="exact"/>
        <w:rPr>
          <w:sz w:val="20"/>
          <w:szCs w:val="20"/>
          <w:color w:val="auto"/>
        </w:rPr>
      </w:pPr>
    </w:p>
    <w:p>
      <w:pPr>
        <w:jc w:val="both"/>
        <w:ind w:firstLine="1505"/>
        <w:spacing w:after="0" w:line="249" w:lineRule="auto"/>
        <w:tabs>
          <w:tab w:leader="none" w:pos="20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Confirmation of Effectiveness</w:t>
      </w:r>
      <w:r>
        <w:rPr>
          <w:rFonts w:ascii="Times New Roman" w:cs="Times New Roman" w:eastAsia="Times New Roman" w:hAnsi="Times New Roman"/>
          <w:sz w:val="20"/>
          <w:szCs w:val="20"/>
          <w:color w:val="auto"/>
        </w:rPr>
        <w:t>. If reasonably requested by an Investor at any time in respect of any Registration Statement, the Company shall deliver to such Investor a written confirmation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Listing</w:t>
      </w:r>
      <w:r>
        <w:rPr>
          <w:rFonts w:ascii="Times New Roman" w:cs="Times New Roman" w:eastAsia="Times New Roman" w:hAnsi="Times New Roman"/>
          <w:sz w:val="20"/>
          <w:szCs w:val="20"/>
          <w:color w:val="auto"/>
        </w:rPr>
        <w:t>. The Company shall use best efforts to cause (i) all shares of Common Stock included in the Registrable Securities, and (ii) all shares of Common Stock issuable upon conversion of the Non-Voting Shares or exercise of the Warrants (to the extent such shares are Registrable Securities) to be listed on the Nasdaq Capital Market (or such other national securities exchange on which the Company’s Common Stock is then listed).</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Securities Act, including Rule 158 promulgated thereunder (for the purpose of this </w:t>
      </w:r>
      <w:r>
        <w:rPr>
          <w:rFonts w:ascii="Times New Roman" w:cs="Times New Roman" w:eastAsia="Times New Roman" w:hAnsi="Times New Roman"/>
          <w:sz w:val="20"/>
          <w:szCs w:val="20"/>
          <w:u w:val="single" w:color="auto"/>
          <w:color w:val="auto"/>
        </w:rPr>
        <w:t>Section 3(h)</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Availability Date</w:t>
      </w:r>
      <w:r>
        <w:rPr>
          <w:rFonts w:ascii="Times New Roman" w:cs="Times New Roman" w:eastAsia="Times New Roman" w:hAnsi="Times New Roman"/>
          <w:sz w:val="20"/>
          <w:szCs w:val="20"/>
          <w:color w:val="auto"/>
        </w:rPr>
        <w:t>” means the 45</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following the end of the fourth fiscal quarter that includes the effective date of such Registration Statement, except that, if such fourth fiscal quarter is the last quarter of the Company’s fiscal year, “</w:t>
      </w:r>
      <w:r>
        <w:rPr>
          <w:rFonts w:ascii="Times New Roman" w:cs="Times New Roman" w:eastAsia="Times New Roman" w:hAnsi="Times New Roman"/>
          <w:sz w:val="20"/>
          <w:szCs w:val="20"/>
          <w:b w:val="1"/>
          <w:bCs w:val="1"/>
          <w:color w:val="auto"/>
        </w:rPr>
        <w:t>Availability Date</w:t>
      </w:r>
      <w:r>
        <w:rPr>
          <w:rFonts w:ascii="Times New Roman" w:cs="Times New Roman" w:eastAsia="Times New Roman" w:hAnsi="Times New Roman"/>
          <w:sz w:val="20"/>
          <w:szCs w:val="20"/>
          <w:color w:val="auto"/>
        </w:rPr>
        <w:t>” means the 90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after the end of such fourth fiscal quarter).</w:t>
      </w:r>
    </w:p>
    <w:p>
      <w:pPr>
        <w:spacing w:after="0" w:line="173" w:lineRule="exact"/>
        <w:rPr>
          <w:sz w:val="20"/>
          <w:szCs w:val="20"/>
          <w:color w:val="auto"/>
        </w:rPr>
      </w:pPr>
    </w:p>
    <w:p>
      <w:pPr>
        <w:jc w:val="both"/>
        <w:ind w:firstLine="1505"/>
        <w:spacing w:after="0" w:line="245" w:lineRule="auto"/>
        <w:tabs>
          <w:tab w:leader="none" w:pos="203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Blue-Sky</w:t>
      </w:r>
      <w:r>
        <w:rPr>
          <w:rFonts w:ascii="Times New Roman" w:cs="Times New Roman" w:eastAsia="Times New Roman" w:hAnsi="Times New Roman"/>
          <w:sz w:val="20"/>
          <w:szCs w:val="20"/>
          <w:color w:val="auto"/>
        </w:rPr>
        <w:t xml:space="preserve">. The Company shall use its commercially reasonable efforts to register or qualify or cooperate with the Investor and their counsel in connection with the registration or qualification of such Registrable Securities for the offer and sale under the securities or “Blue Sky” laws of such jurisdictions reasonably requested by the Investor;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20"/>
          <w:szCs w:val="20"/>
          <w:u w:val="single" w:color="auto"/>
          <w:color w:val="auto"/>
        </w:rPr>
        <w:t>Section 3(i)</w:t>
      </w:r>
      <w:r>
        <w:rPr>
          <w:rFonts w:ascii="Times New Roman" w:cs="Times New Roman" w:eastAsia="Times New Roman" w:hAnsi="Times New Roman"/>
          <w:sz w:val="20"/>
          <w:szCs w:val="20"/>
          <w:color w:val="auto"/>
        </w:rPr>
        <w:t xml:space="preserve">, (ii) subject itself to general taxation in any jurisdiction where it would not otherwise be so subject but for this </w:t>
      </w:r>
      <w:r>
        <w:rPr>
          <w:rFonts w:ascii="Times New Roman" w:cs="Times New Roman" w:eastAsia="Times New Roman" w:hAnsi="Times New Roman"/>
          <w:sz w:val="20"/>
          <w:szCs w:val="20"/>
          <w:u w:val="single" w:color="auto"/>
          <w:color w:val="auto"/>
        </w:rPr>
        <w:t>Section 3(i)</w:t>
      </w:r>
      <w:r>
        <w:rPr>
          <w:rFonts w:ascii="Times New Roman" w:cs="Times New Roman" w:eastAsia="Times New Roman" w:hAnsi="Times New Roman"/>
          <w:sz w:val="20"/>
          <w:szCs w:val="20"/>
          <w:color w:val="auto"/>
        </w:rPr>
        <w:t>, or (iii) file a general consent to service of process in any such jurisdiction.</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With a view to making available to the Investors the benefits of Rule 144 (or its successor rule) and any other rule or regulation of the SEC that may at any time permit the Investors to sell shares of Common Stock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and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89"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stock certificates through the use of The Depository Trust Company’s Direct Registration System.</w:t>
      </w:r>
    </w:p>
    <w:p>
      <w:pPr>
        <w:spacing w:after="0" w:line="180"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OBLIGATIONS OF THE INVESTORS.</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45" w:lineRule="auto"/>
        <w:tabs>
          <w:tab w:leader="none" w:pos="203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Investor Information</w:t>
      </w:r>
      <w:r>
        <w:rPr>
          <w:rFonts w:ascii="Times New Roman" w:cs="Times New Roman" w:eastAsia="Times New Roman" w:hAnsi="Times New Roman"/>
          <w:sz w:val="20"/>
          <w:szCs w:val="20"/>
          <w:color w:val="auto"/>
        </w:rPr>
        <w:t xml:space="preserve">. Each Investor shall provide a completed Investor Questionnaire in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of questionnaire or information reasonably required by the Company in connection with the registration of the Registrable Securities no later than the end of the third (3rd) Business Day following the date on which such Investor receives draft materials in accordance with </w:t>
      </w:r>
      <w:r>
        <w:rPr>
          <w:rFonts w:ascii="Times New Roman" w:cs="Times New Roman" w:eastAsia="Times New Roman" w:hAnsi="Times New Roman"/>
          <w:sz w:val="20"/>
          <w:szCs w:val="20"/>
          <w:u w:val="single" w:color="auto"/>
          <w:color w:val="auto"/>
        </w:rPr>
        <w:t>Section 2(a)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Information Deadline</w:t>
      </w:r>
      <w:r>
        <w:rPr>
          <w:rFonts w:ascii="Times New Roman" w:cs="Times New Roman" w:eastAsia="Times New Roman" w:hAnsi="Times New Roman"/>
          <w:sz w:val="20"/>
          <w:szCs w:val="20"/>
          <w:color w:val="auto"/>
        </w:rPr>
        <w:t>”). If the Company has not received such completed Questionnaire from an Investor by the Information Deadline, the Company may file the Registration Statement without including such Investor’s Registrable Securities.</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Suspension of Sales</w:t>
      </w:r>
      <w:r>
        <w:rPr>
          <w:rFonts w:ascii="Times New Roman" w:cs="Times New Roman" w:eastAsia="Times New Roman" w:hAnsi="Times New Roman"/>
          <w:sz w:val="20"/>
          <w:szCs w:val="20"/>
          <w:color w:val="auto"/>
        </w:rPr>
        <w:t>. Each Investor, severally and not jointly with any other Investor, agrees that, upon receipt of any notice from the Company of the existence of an Allowed Delay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or Suspension Event as set forth in </w:t>
      </w:r>
      <w:r>
        <w:rPr>
          <w:rFonts w:ascii="Times New Roman" w:cs="Times New Roman" w:eastAsia="Times New Roman" w:hAnsi="Times New Roman"/>
          <w:sz w:val="20"/>
          <w:szCs w:val="20"/>
          <w:u w:val="single" w:color="auto"/>
          <w:color w:val="auto"/>
        </w:rPr>
        <w:t>Section 3(e)</w:t>
      </w:r>
      <w:r>
        <w:rPr>
          <w:rFonts w:ascii="Times New Roman" w:cs="Times New Roman" w:eastAsia="Times New Roman" w:hAnsi="Times New Roman"/>
          <w:sz w:val="20"/>
          <w:szCs w:val="20"/>
          <w:color w:val="auto"/>
        </w:rPr>
        <w:t>, the Investor will immediately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w:t>
      </w:r>
    </w:p>
    <w:p>
      <w:pPr>
        <w:spacing w:after="0" w:line="174" w:lineRule="exact"/>
        <w:rPr>
          <w:sz w:val="20"/>
          <w:szCs w:val="20"/>
          <w:color w:val="auto"/>
        </w:rPr>
      </w:pPr>
    </w:p>
    <w:p>
      <w:pPr>
        <w:jc w:val="both"/>
        <w:ind w:firstLine="1505"/>
        <w:spacing w:after="0" w:line="249" w:lineRule="auto"/>
        <w:tabs>
          <w:tab w:leader="none" w:pos="2036"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Investor Cooperation</w:t>
      </w:r>
      <w:r>
        <w:rPr>
          <w:rFonts w:ascii="Times New Roman" w:cs="Times New Roman" w:eastAsia="Times New Roman" w:hAnsi="Times New Roman"/>
          <w:sz w:val="20"/>
          <w:szCs w:val="20"/>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175"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EXPENSES OF REGISTRATION.</w:t>
      </w:r>
    </w:p>
    <w:p>
      <w:pPr>
        <w:spacing w:after="0" w:line="220"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spacing w:after="0" w:line="170" w:lineRule="exact"/>
        <w:rPr>
          <w:sz w:val="20"/>
          <w:szCs w:val="20"/>
          <w:color w:val="auto"/>
        </w:rPr>
      </w:pPr>
    </w:p>
    <w:p>
      <w:pPr>
        <w:ind w:left="1140" w:hanging="383"/>
        <w:spacing w:after="0"/>
        <w:tabs>
          <w:tab w:leader="none" w:pos="114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54" w:lineRule="auto"/>
        <w:tabs>
          <w:tab w:leader="none" w:pos="2036"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permitted by law, the Company will, and hereby does, indemnify, hold harmless and defend the Investors, each Person, if any, who controls the Investors, the members, the directors, officers, partners, employees, members, managers, agents, representatives and advisors of the Investors and each Person, if any, who controls the Investors within the meaning of the Securities Act or the Exchange Act (each, an “</w:t>
      </w:r>
      <w:r>
        <w:rPr>
          <w:rFonts w:ascii="Times New Roman" w:cs="Times New Roman" w:eastAsia="Times New Roman" w:hAnsi="Times New Roman"/>
          <w:sz w:val="19"/>
          <w:szCs w:val="19"/>
          <w:b w:val="1"/>
          <w:bCs w:val="1"/>
          <w:color w:val="auto"/>
        </w:rPr>
        <w:t>Indemnified Person</w:t>
      </w:r>
      <w:r>
        <w:rPr>
          <w:rFonts w:ascii="Times New Roman" w:cs="Times New Roman" w:eastAsia="Times New Roman" w:hAnsi="Times New Roman"/>
          <w:sz w:val="19"/>
          <w:szCs w:val="19"/>
          <w:color w:val="auto"/>
        </w:rPr>
        <w:t>”), against any losses, obligation, claims, damages, liabilities, contingencies, judgments, fines, penalties, charges,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9"/>
          <w:szCs w:val="19"/>
          <w:b w:val="1"/>
          <w:bCs w:val="1"/>
          <w:color w:val="auto"/>
        </w:rPr>
        <w:t>Claims</w:t>
      </w:r>
      <w:r>
        <w:rPr>
          <w:rFonts w:ascii="Times New Roman" w:cs="Times New Roman" w:eastAsia="Times New Roman" w:hAnsi="Times New Roman"/>
          <w:sz w:val="19"/>
          <w:szCs w:val="19"/>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Person is or may be a party thereto (“</w:t>
      </w:r>
      <w:r>
        <w:rPr>
          <w:rFonts w:ascii="Times New Roman" w:cs="Times New Roman" w:eastAsia="Times New Roman" w:hAnsi="Times New Roman"/>
          <w:sz w:val="19"/>
          <w:szCs w:val="19"/>
          <w:b w:val="1"/>
          <w:bCs w:val="1"/>
          <w:color w:val="auto"/>
        </w:rPr>
        <w:t>Indemnified Damages</w:t>
      </w:r>
      <w:r>
        <w:rPr>
          <w:rFonts w:ascii="Times New Roman" w:cs="Times New Roman" w:eastAsia="Times New Roman" w:hAnsi="Times New Roman"/>
          <w:sz w:val="19"/>
          <w:szCs w:val="19"/>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9"/>
          <w:szCs w:val="19"/>
          <w:b w:val="1"/>
          <w:bCs w:val="1"/>
          <w:color w:val="auto"/>
        </w:rPr>
        <w:t>Violations</w:t>
      </w:r>
      <w:r>
        <w:rPr>
          <w:rFonts w:ascii="Times New Roman" w:cs="Times New Roman" w:eastAsia="Times New Roman" w:hAnsi="Times New Roman"/>
          <w:sz w:val="19"/>
          <w:szCs w:val="19"/>
          <w:color w:val="auto"/>
        </w:rPr>
        <w:t xml:space="preserve">”). The Company shall reimburse each Indemnified Person promptly as such expenses are incurred and are due and payable, for any reasonable and documented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9"/>
          <w:szCs w:val="19"/>
          <w:u w:val="single" w:color="auto"/>
          <w:color w:val="auto"/>
        </w:rPr>
        <w:t>Section 6(a)</w:t>
      </w:r>
      <w:r>
        <w:rPr>
          <w:rFonts w:ascii="Times New Roman" w:cs="Times New Roman" w:eastAsia="Times New Roman" w:hAnsi="Times New Roman"/>
          <w:sz w:val="19"/>
          <w:szCs w:val="19"/>
          <w:color w:val="auto"/>
        </w:rPr>
        <w:t>: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505"/>
        <w:spacing w:after="0" w:line="241" w:lineRule="auto"/>
        <w:tabs>
          <w:tab w:leader="none" w:pos="203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w:t>
      </w:r>
      <w:r>
        <w:rPr>
          <w:rFonts w:ascii="Times New Roman" w:cs="Times New Roman" w:eastAsia="Times New Roman" w:hAnsi="Times New Roman"/>
          <w:sz w:val="20"/>
          <w:szCs w:val="20"/>
          <w:b w:val="1"/>
          <w:bCs w:val="1"/>
          <w:color w:val="auto"/>
        </w:rPr>
        <w:t>Indemnified Party</w:t>
      </w:r>
      <w:r>
        <w:rPr>
          <w:rFonts w:ascii="Times New Roman" w:cs="Times New Roman" w:eastAsia="Times New Roman" w:hAnsi="Times New Roman"/>
          <w:sz w:val="20"/>
          <w:szCs w:val="20"/>
          <w:color w:val="auto"/>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firstLine="1505"/>
        <w:spacing w:after="0" w:line="255" w:lineRule="auto"/>
        <w:tabs>
          <w:tab w:leader="none" w:pos="2036"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Promptly after receipt by an Indemnified Person or Indemnified Party under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w:t>
      </w:r>
    </w:p>
    <w:p>
      <w:pPr>
        <w:spacing w:after="0" w:line="1" w:lineRule="exact"/>
        <w:rPr>
          <w:sz w:val="20"/>
          <w:szCs w:val="20"/>
          <w:color w:val="auto"/>
        </w:rPr>
      </w:pPr>
    </w:p>
    <w:p>
      <w:pPr>
        <w:jc w:val="both"/>
        <w:ind w:firstLine="8"/>
        <w:spacing w:after="0"/>
        <w:tabs>
          <w:tab w:leader="none" w:pos="25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except to the extent that the indemnifying party is prejudiced in its ability to defend such action.</w:t>
      </w:r>
    </w:p>
    <w:p>
      <w:pPr>
        <w:spacing w:after="0" w:line="18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indemnification required by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which person is later determined to not be entitled to such payment shall return such payment (including reimbursement of expenses) to the person making it.</w:t>
      </w:r>
    </w:p>
    <w:p>
      <w:pPr>
        <w:spacing w:after="0" w:line="179"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2"/>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70" w:lineRule="exact"/>
        <w:rPr>
          <w:rFonts w:ascii="Times New Roman" w:cs="Times New Roman" w:eastAsia="Times New Roman" w:hAnsi="Times New Roman"/>
          <w:sz w:val="20"/>
          <w:szCs w:val="20"/>
          <w:color w:val="auto"/>
        </w:rPr>
      </w:pPr>
    </w:p>
    <w:p>
      <w:pPr>
        <w:ind w:left="1140" w:hanging="383"/>
        <w:spacing w:after="0"/>
        <w:tabs>
          <w:tab w:leader="none" w:pos="1140" w:val="left"/>
        </w:tabs>
        <w:numPr>
          <w:ilvl w:val="1"/>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CONTRIBUTION.</w:t>
      </w:r>
    </w:p>
    <w:p>
      <w:pPr>
        <w:spacing w:after="0" w:line="22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to the fullest extent permitted by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85" w:lineRule="exact"/>
        <w:rPr>
          <w:sz w:val="20"/>
          <w:szCs w:val="20"/>
          <w:color w:val="auto"/>
        </w:rPr>
      </w:pPr>
    </w:p>
    <w:p>
      <w:pPr>
        <w:ind w:left="1140" w:hanging="383"/>
        <w:spacing w:after="0"/>
        <w:tabs>
          <w:tab w:leader="none" w:pos="114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OF REGISTRATION RIGHTS.</w:t>
      </w:r>
    </w:p>
    <w:p>
      <w:pPr>
        <w:spacing w:after="0" w:line="220"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0"/>
          <w:szCs w:val="20"/>
          <w:color w:val="auto"/>
        </w:rPr>
        <w:t>The Company shall not assign this Agreement or any rights or obligations hereunder (whether by operation of law or otherwise) without the prior written consent of the Investors holding a majority of the Registrable Securities then outstanding (determined as if all of the shares of Non-Voting Stock then outstanding have been converted into Common Stock and all of the Warrants then outstanding have been exercised without regard to any limitations on the conversion of such Non-Voting Shares or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exercise of such Warrants);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(determined as if all of the Non-Voting Shares then outstanding have been converted into Common Stock and all of the Warrants then outstanding have been exercised without regard to any limitations on the conversion of such Non-Voting Shares or exercise of such Warrants) shall not be required for such transaction. </w:t>
      </w:r>
      <w:r>
        <w:rPr>
          <w:rFonts w:ascii="Times New Roman" w:cs="Times New Roman" w:eastAsia="Times New Roman" w:hAnsi="Times New Roman"/>
          <w:sz w:val="20"/>
          <w:szCs w:val="20"/>
          <w:color w:val="222222"/>
        </w:rPr>
        <w:t>An Investor may transfer or assign its</w:t>
      </w:r>
      <w:r>
        <w:rPr>
          <w:rFonts w:ascii="Times New Roman" w:cs="Times New Roman" w:eastAsia="Times New Roman" w:hAnsi="Times New Roman"/>
          <w:sz w:val="20"/>
          <w:szCs w:val="20"/>
          <w:color w:val="auto"/>
        </w:rPr>
        <w:t xml:space="preserve"> rights </w:t>
      </w:r>
      <w:r>
        <w:rPr>
          <w:rFonts w:ascii="Times New Roman" w:cs="Times New Roman" w:eastAsia="Times New Roman" w:hAnsi="Times New Roman"/>
          <w:sz w:val="20"/>
          <w:szCs w:val="20"/>
          <w:color w:val="222222"/>
        </w:rPr>
        <w:t xml:space="preserve">hereunder, in whole or from time to time in part, to one or more Persons in connection with the transfer of not fewer </w:t>
      </w:r>
      <w:r>
        <w:rPr>
          <w:rFonts w:ascii="Times New Roman" w:cs="Times New Roman" w:eastAsia="Times New Roman" w:hAnsi="Times New Roman"/>
          <w:sz w:val="20"/>
          <w:szCs w:val="20"/>
          <w:color w:val="000000"/>
        </w:rPr>
        <w:t>than</w:t>
      </w:r>
      <w:r>
        <w:rPr>
          <w:rFonts w:ascii="Times New Roman" w:cs="Times New Roman" w:eastAsia="Times New Roman" w:hAnsi="Times New Roman"/>
          <w:sz w:val="20"/>
          <w:szCs w:val="20"/>
          <w:color w:val="222222"/>
        </w:rPr>
        <w:t xml:space="preserve"> 75% of the Registrable Securities (including Registrable Securities issuable upon exercise of Warrants) held by </w:t>
      </w:r>
      <w:r>
        <w:rPr>
          <w:rFonts w:ascii="Times New Roman" w:cs="Times New Roman" w:eastAsia="Times New Roman" w:hAnsi="Times New Roman"/>
          <w:sz w:val="20"/>
          <w:szCs w:val="20"/>
          <w:color w:val="000000"/>
        </w:rPr>
        <w:t>such Investor</w:t>
      </w:r>
      <w:r>
        <w:rPr>
          <w:rFonts w:ascii="Times New Roman" w:cs="Times New Roman" w:eastAsia="Times New Roman" w:hAnsi="Times New Roman"/>
          <w:sz w:val="20"/>
          <w:szCs w:val="20"/>
          <w:color w:val="222222"/>
        </w:rPr>
        <w:t xml:space="preserve"> to such Person; </w:t>
      </w:r>
      <w:r>
        <w:rPr>
          <w:rFonts w:ascii="Times New Roman" w:cs="Times New Roman" w:eastAsia="Times New Roman" w:hAnsi="Times New Roman"/>
          <w:sz w:val="20"/>
          <w:szCs w:val="20"/>
          <w:u w:val="single" w:color="auto"/>
          <w:color w:val="222222"/>
        </w:rPr>
        <w:t>provided</w:t>
      </w:r>
      <w:r>
        <w:rPr>
          <w:rFonts w:ascii="Times New Roman" w:cs="Times New Roman" w:eastAsia="Times New Roman" w:hAnsi="Times New Roman"/>
          <w:sz w:val="20"/>
          <w:szCs w:val="20"/>
          <w:color w:val="222222"/>
        </w:rPr>
        <w:t xml:space="preserve">, that such Investor complies with all laws applicable thereto, and </w:t>
      </w:r>
      <w:r>
        <w:rPr>
          <w:rFonts w:ascii="Times New Roman" w:cs="Times New Roman" w:eastAsia="Times New Roman" w:hAnsi="Times New Roman"/>
          <w:sz w:val="20"/>
          <w:szCs w:val="20"/>
          <w:color w:val="000000"/>
        </w:rPr>
        <w:t>the</w:t>
      </w:r>
      <w:r>
        <w:rPr>
          <w:rFonts w:ascii="Times New Roman" w:cs="Times New Roman" w:eastAsia="Times New Roman" w:hAnsi="Times New Roman"/>
          <w:sz w:val="20"/>
          <w:szCs w:val="20"/>
          <w:color w:val="222222"/>
        </w:rPr>
        <w:t xml:space="preserve"> provisions of the Purchase Agreement, and provides </w:t>
      </w:r>
      <w:r>
        <w:rPr>
          <w:rFonts w:ascii="Times New Roman" w:cs="Times New Roman" w:eastAsia="Times New Roman" w:hAnsi="Times New Roman"/>
          <w:sz w:val="20"/>
          <w:szCs w:val="20"/>
          <w:color w:val="000000"/>
        </w:rPr>
        <w:t>written</w:t>
      </w:r>
      <w:r>
        <w:rPr>
          <w:rFonts w:ascii="Times New Roman" w:cs="Times New Roman" w:eastAsia="Times New Roman" w:hAnsi="Times New Roman"/>
          <w:sz w:val="20"/>
          <w:szCs w:val="20"/>
          <w:color w:val="222222"/>
        </w:rPr>
        <w:t xml:space="preserve"> notice </w:t>
      </w:r>
      <w:r>
        <w:rPr>
          <w:rFonts w:ascii="Times New Roman" w:cs="Times New Roman" w:eastAsia="Times New Roman" w:hAnsi="Times New Roman"/>
          <w:sz w:val="20"/>
          <w:szCs w:val="20"/>
          <w:color w:val="000000"/>
        </w:rPr>
        <w:t>of</w:t>
      </w:r>
      <w:r>
        <w:rPr>
          <w:rFonts w:ascii="Times New Roman" w:cs="Times New Roman" w:eastAsia="Times New Roman" w:hAnsi="Times New Roman"/>
          <w:sz w:val="20"/>
          <w:szCs w:val="20"/>
          <w:color w:val="222222"/>
        </w:rPr>
        <w:t xml:space="preserve"> assignment to </w:t>
      </w:r>
      <w:r>
        <w:rPr>
          <w:rFonts w:ascii="Times New Roman" w:cs="Times New Roman" w:eastAsia="Times New Roman" w:hAnsi="Times New Roman"/>
          <w:sz w:val="20"/>
          <w:szCs w:val="20"/>
          <w:color w:val="000000"/>
        </w:rPr>
        <w:t>the Company</w:t>
      </w:r>
      <w:r>
        <w:rPr>
          <w:rFonts w:ascii="Times New Roman" w:cs="Times New Roman" w:eastAsia="Times New Roman" w:hAnsi="Times New Roman"/>
          <w:sz w:val="20"/>
          <w:szCs w:val="20"/>
          <w:color w:val="222222"/>
        </w:rPr>
        <w:t xml:space="preserve"> promptly after such assignment is effected, and such Person agrees in writing to be bound by all of the provisions contained herein. </w:t>
      </w:r>
      <w:r>
        <w:rPr>
          <w:rFonts w:ascii="Times New Roman" w:cs="Times New Roman" w:eastAsia="Times New Roman" w:hAnsi="Times New Roman"/>
          <w:sz w:val="20"/>
          <w:szCs w:val="20"/>
          <w:color w:val="000000"/>
        </w:rPr>
        <w:t>The provisions of this Agreement shall be binding upon and inure to the benefit of the Investor and its successors and</w:t>
      </w:r>
      <w:r>
        <w:rPr>
          <w:rFonts w:ascii="Times New Roman" w:cs="Times New Roman" w:eastAsia="Times New Roman" w:hAnsi="Times New Roman"/>
          <w:sz w:val="20"/>
          <w:szCs w:val="20"/>
          <w:color w:val="222222"/>
        </w:rPr>
        <w:t xml:space="preserve"> </w:t>
      </w:r>
      <w:r>
        <w:rPr>
          <w:rFonts w:ascii="Times New Roman" w:cs="Times New Roman" w:eastAsia="Times New Roman" w:hAnsi="Times New Roman"/>
          <w:sz w:val="20"/>
          <w:szCs w:val="20"/>
          <w:color w:val="000000"/>
        </w:rPr>
        <w:t>permitted assigns.</w:t>
      </w:r>
    </w:p>
    <w:p>
      <w:pPr>
        <w:spacing w:after="0" w:line="190" w:lineRule="exact"/>
        <w:rPr>
          <w:sz w:val="20"/>
          <w:szCs w:val="20"/>
          <w:color w:val="auto"/>
        </w:rPr>
      </w:pPr>
    </w:p>
    <w:p>
      <w:pPr>
        <w:ind w:left="1140" w:hanging="383"/>
        <w:spacing w:after="0"/>
        <w:tabs>
          <w:tab w:leader="none" w:pos="114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 AND WAIVERS.</w:t>
      </w:r>
    </w:p>
    <w:p>
      <w:pPr>
        <w:spacing w:after="0" w:line="220"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 xml:space="preserve">The provisions of this Agreement, including the provisions of this sentence, may be amended, modified or supplemented, or waived only by a written instrument executed by (i) the Company and (ii) the holders of a majority of the then outstanding Registrable Securities (determined as if all of the Non-Voting Shares then outstanding have been converted into Common Stock and all of the Warrants then outstanding have been exercised without regard to any limitations on the conversion of such Non-Voting Shares or exercise of such Warrants);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party may give a waiver as to itself and provided further that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the Non-Voting Shares then outstanding have been converted into Common Stock and all of the Warrants then outstanding have been exercised without regard to any limitations on the conversion of such Non-Voting Shares or exercise of such Warrants) to which such waiver or consent relates.</w:t>
      </w:r>
    </w:p>
    <w:p>
      <w:pPr>
        <w:spacing w:after="0" w:line="183" w:lineRule="exact"/>
        <w:rPr>
          <w:sz w:val="20"/>
          <w:szCs w:val="20"/>
          <w:color w:val="auto"/>
        </w:rPr>
      </w:pPr>
    </w:p>
    <w:p>
      <w:pPr>
        <w:ind w:left="1140" w:hanging="383"/>
        <w:spacing w:after="0"/>
        <w:tabs>
          <w:tab w:leader="none" w:pos="114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45" w:lineRule="auto"/>
        <w:tabs>
          <w:tab w:leader="none" w:pos="2036"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earlier of (x) confirmation of receipt or (y) the opening of business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spacing w:after="0" w:line="184" w:lineRule="exact"/>
        <w:rPr>
          <w:rFonts w:ascii="Times New Roman" w:cs="Times New Roman" w:eastAsia="Times New Roman" w:hAnsi="Times New Roman"/>
          <w:sz w:val="20"/>
          <w:szCs w:val="20"/>
          <w:color w:val="auto"/>
        </w:rPr>
      </w:pPr>
    </w:p>
    <w:p>
      <w:pPr>
        <w:ind w:left="2560" w:hanging="306"/>
        <w:spacing w:after="0"/>
        <w:tabs>
          <w:tab w:leader="none" w:pos="2560"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addressed as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ind w:left="3760"/>
        <w:spacing w:after="0"/>
        <w:rPr>
          <w:sz w:val="20"/>
          <w:szCs w:val="20"/>
          <w:color w:val="auto"/>
        </w:rPr>
      </w:pPr>
      <w:r>
        <w:rPr>
          <w:rFonts w:ascii="Times New Roman" w:cs="Times New Roman" w:eastAsia="Times New Roman" w:hAnsi="Times New Roman"/>
          <w:sz w:val="20"/>
          <w:szCs w:val="20"/>
          <w:color w:val="auto"/>
        </w:rPr>
        <w:t>c/o Aligos Therapeutics, Inc.</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One Corporate Dr., 2nd Floor</w:t>
      </w:r>
    </w:p>
    <w:p>
      <w:pPr>
        <w:ind w:left="3760"/>
        <w:spacing w:after="0"/>
        <w:rPr>
          <w:sz w:val="20"/>
          <w:szCs w:val="20"/>
          <w:color w:val="auto"/>
        </w:rPr>
      </w:pPr>
      <w:r>
        <w:rPr>
          <w:rFonts w:ascii="Times New Roman" w:cs="Times New Roman" w:eastAsia="Times New Roman" w:hAnsi="Times New Roman"/>
          <w:sz w:val="20"/>
          <w:szCs w:val="20"/>
          <w:color w:val="auto"/>
        </w:rPr>
        <w:t>South San Francisco, CA 94080</w:t>
      </w:r>
    </w:p>
    <w:p>
      <w:pPr>
        <w:ind w:left="3760"/>
        <w:spacing w:after="0"/>
        <w:rPr>
          <w:sz w:val="20"/>
          <w:szCs w:val="20"/>
          <w:color w:val="auto"/>
        </w:rPr>
      </w:pPr>
      <w:r>
        <w:rPr>
          <w:rFonts w:ascii="Times New Roman" w:cs="Times New Roman" w:eastAsia="Times New Roman" w:hAnsi="Times New Roman"/>
          <w:sz w:val="20"/>
          <w:szCs w:val="20"/>
          <w:color w:val="auto"/>
        </w:rPr>
        <w:t>Attention: Chief Financial Officer</w:t>
      </w:r>
    </w:p>
    <w:p>
      <w:pPr>
        <w:ind w:left="3760"/>
        <w:spacing w:after="0"/>
        <w:rPr>
          <w:sz w:val="20"/>
          <w:szCs w:val="20"/>
          <w:color w:val="auto"/>
        </w:rPr>
      </w:pPr>
      <w:r>
        <w:rPr>
          <w:rFonts w:ascii="Times New Roman" w:cs="Times New Roman" w:eastAsia="Times New Roman" w:hAnsi="Times New Roman"/>
          <w:sz w:val="20"/>
          <w:szCs w:val="20"/>
          <w:color w:val="auto"/>
        </w:rPr>
        <w:t>Email: ##########</w:t>
      </w:r>
    </w:p>
    <w:p>
      <w:pPr>
        <w:spacing w:after="0" w:line="194" w:lineRule="exact"/>
        <w:rPr>
          <w:sz w:val="20"/>
          <w:szCs w:val="20"/>
          <w:color w:val="auto"/>
        </w:rPr>
      </w:pPr>
    </w:p>
    <w:p>
      <w:pPr>
        <w:jc w:val="center"/>
        <w:ind w:right="1520"/>
        <w:spacing w:after="0"/>
        <w:rPr>
          <w:sz w:val="20"/>
          <w:szCs w:val="20"/>
          <w:color w:val="auto"/>
        </w:rPr>
      </w:pPr>
      <w:r>
        <w:rPr>
          <w:rFonts w:ascii="Times New Roman" w:cs="Times New Roman" w:eastAsia="Times New Roman" w:hAnsi="Times New Roman"/>
          <w:sz w:val="20"/>
          <w:szCs w:val="20"/>
          <w:color w:val="auto"/>
        </w:rPr>
        <w:t>with a copy (which shall not constitute notice):</w:t>
      </w:r>
    </w:p>
    <w:p>
      <w:pPr>
        <w:spacing w:after="0" w:line="21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c/o Latham &amp; Watkins LLP</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140 Scott Drive</w:t>
      </w:r>
    </w:p>
    <w:p>
      <w:pPr>
        <w:ind w:left="3760"/>
        <w:spacing w:after="0"/>
        <w:rPr>
          <w:sz w:val="20"/>
          <w:szCs w:val="20"/>
          <w:color w:val="auto"/>
        </w:rPr>
      </w:pPr>
      <w:r>
        <w:rPr>
          <w:rFonts w:ascii="Times New Roman" w:cs="Times New Roman" w:eastAsia="Times New Roman" w:hAnsi="Times New Roman"/>
          <w:sz w:val="20"/>
          <w:szCs w:val="20"/>
          <w:color w:val="auto"/>
        </w:rPr>
        <w:t>Menlo Park, CA 94025</w:t>
      </w:r>
    </w:p>
    <w:p>
      <w:pPr>
        <w:ind w:left="3760"/>
        <w:spacing w:after="0"/>
        <w:rPr>
          <w:sz w:val="20"/>
          <w:szCs w:val="20"/>
          <w:color w:val="auto"/>
        </w:rPr>
      </w:pPr>
      <w:r>
        <w:rPr>
          <w:rFonts w:ascii="Times New Roman" w:cs="Times New Roman" w:eastAsia="Times New Roman" w:hAnsi="Times New Roman"/>
          <w:sz w:val="20"/>
          <w:szCs w:val="20"/>
          <w:color w:val="auto"/>
        </w:rPr>
        <w:t>Attention: Mark V. Roeder and John C. Williams</w:t>
      </w:r>
    </w:p>
    <w:p>
      <w:pPr>
        <w:spacing w:after="0" w:line="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Email: ##########</w:t>
      </w:r>
    </w:p>
    <w:p>
      <w:pPr>
        <w:spacing w:after="0" w:line="214" w:lineRule="exact"/>
        <w:rPr>
          <w:sz w:val="20"/>
          <w:szCs w:val="20"/>
          <w:color w:val="auto"/>
        </w:rPr>
      </w:pPr>
    </w:p>
    <w:p>
      <w:pPr>
        <w:ind w:left="760" w:right="20" w:firstLine="1494"/>
        <w:spacing w:after="0" w:line="269" w:lineRule="auto"/>
        <w:tabs>
          <w:tab w:leader="none" w:pos="255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any Investor, at its e-mail address or address set forth on its signature page to the Purchase Agreement or to such e-mail address, or address as subsequently modified by written notice given in accordance with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Person may change the address to which notices and communications to it are to be addressed by notification as provided for herein.</w:t>
      </w:r>
    </w:p>
    <w:p>
      <w:pPr>
        <w:spacing w:after="0" w:line="216" w:lineRule="exact"/>
        <w:rPr>
          <w:sz w:val="20"/>
          <w:szCs w:val="20"/>
          <w:color w:val="auto"/>
        </w:rPr>
      </w:pPr>
    </w:p>
    <w:p>
      <w:pPr>
        <w:jc w:val="both"/>
        <w:ind w:firstLine="1505"/>
        <w:spacing w:after="0" w:line="254"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4"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Submission to Jurisdiction; Venue; Waiver of Trial by Jury</w:t>
      </w:r>
      <w:r>
        <w:rPr>
          <w:rFonts w:ascii="Times New Roman" w:cs="Times New Roman" w:eastAsia="Times New Roman" w:hAnsi="Times New Roman"/>
          <w:sz w:val="20"/>
          <w:szCs w:val="20"/>
          <w:color w:val="auto"/>
        </w:rPr>
        <w:t xml:space="preserve">. The provisions of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xml:space="preserve"> of the Purchase Agreement are incorporated by reference herein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the Purchase Agreement, the Common Warrants and the Pre-Funded Warrants (including all schedules and exhibits hereto and thereto) constitute the entire agreement between the parties hereto respecting the subject matter hereof and supersedes all prior agreements, negotiations, understandings, representations and statements respecting the subject matter hereof, whether written or oral.</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titles, subtitles and headings in this Agreement are for convenience of reference and shall not form part of, or affect the interpretation of, this Agreement.</w:t>
      </w:r>
    </w:p>
    <w:p>
      <w:pPr>
        <w:spacing w:after="0" w:line="15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spacing w:after="0" w:line="189" w:lineRule="exact"/>
        <w:rPr>
          <w:sz w:val="20"/>
          <w:szCs w:val="20"/>
          <w:color w:val="auto"/>
        </w:rPr>
      </w:pPr>
    </w:p>
    <w:p>
      <w:pPr>
        <w:jc w:val="both"/>
        <w:ind w:firstLine="1505"/>
        <w:spacing w:after="0" w:line="254" w:lineRule="auto"/>
        <w:tabs>
          <w:tab w:leader="none" w:pos="203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Contract Interpretation</w:t>
      </w:r>
      <w:r>
        <w:rPr>
          <w:rFonts w:ascii="Times New Roman" w:cs="Times New Roman" w:eastAsia="Times New Roman" w:hAnsi="Times New Roman"/>
          <w:sz w:val="20"/>
          <w:szCs w:val="20"/>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Third-Party Beneficiaries</w:t>
      </w:r>
      <w:r>
        <w:rPr>
          <w:rFonts w:ascii="Times New Roman" w:cs="Times New Roman" w:eastAsia="Times New Roman" w:hAnsi="Times New Roman"/>
          <w:sz w:val="20"/>
          <w:szCs w:val="20"/>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w:t>
      </w:r>
    </w:p>
    <w:p>
      <w:pPr>
        <w:spacing w:after="0" w:line="18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Non-Recourse</w:t>
      </w:r>
      <w:r>
        <w:rPr>
          <w:rFonts w:ascii="Times New Roman" w:cs="Times New Roman" w:eastAsia="Times New Roman" w:hAnsi="Times New Roman"/>
          <w:sz w:val="20"/>
          <w:szCs w:val="20"/>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85" w:lineRule="exact"/>
        <w:rPr>
          <w:rFonts w:ascii="Times New Roman" w:cs="Times New Roman" w:eastAsia="Times New Roman" w:hAnsi="Times New Roman"/>
          <w:sz w:val="20"/>
          <w:szCs w:val="20"/>
          <w:color w:val="auto"/>
        </w:rPr>
      </w:pPr>
    </w:p>
    <w:p>
      <w:pPr>
        <w:jc w:val="both"/>
        <w:ind w:firstLine="1505"/>
        <w:spacing w:after="0" w:line="254" w:lineRule="auto"/>
        <w:tabs>
          <w:tab w:leader="none" w:pos="2036"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Cumulative Remedies</w:t>
      </w:r>
      <w:r>
        <w:rPr>
          <w:rFonts w:ascii="Times New Roman" w:cs="Times New Roman" w:eastAsia="Times New Roman" w:hAnsi="Times New Roman"/>
          <w:sz w:val="19"/>
          <w:szCs w:val="19"/>
          <w:color w:val="auto"/>
        </w:rPr>
        <w:t>. The remedies provided herein are cumulative and not exclusive of any remedies provided by</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-3196590</wp:posOffset>
            </wp:positionV>
            <wp:extent cx="311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3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ALIGOS THERAPEUTICS, INC.</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By: /s/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3108960</wp:posOffset>
            </wp:positionH>
            <wp:positionV relativeFrom="paragraph">
              <wp:posOffset>-10795</wp:posOffset>
            </wp:positionV>
            <wp:extent cx="12560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9">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5060"/>
        <w:spacing w:after="0"/>
        <w:tabs>
          <w:tab w:leader="none" w:pos="5840" w:val="left"/>
        </w:tabs>
        <w:rPr>
          <w:sz w:val="20"/>
          <w:szCs w:val="20"/>
          <w:color w:val="auto"/>
        </w:rPr>
      </w:pPr>
      <w:r>
        <w:rPr>
          <w:rFonts w:ascii="Times New Roman" w:cs="Times New Roman" w:eastAsia="Times New Roman" w:hAnsi="Times New Roman"/>
          <w:sz w:val="20"/>
          <w:szCs w:val="20"/>
          <w:color w:val="auto"/>
        </w:rPr>
        <w:t>Name:</w:t>
        <w:tab/>
        <w:t>Lesley Ann Calhoun</w:t>
      </w:r>
    </w:p>
    <w:p>
      <w:pPr>
        <w:ind w:left="5060"/>
        <w:spacing w:after="0"/>
        <w:tabs>
          <w:tab w:leader="none" w:pos="58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EVP, Chief Operating Officer &amp;</w:t>
      </w:r>
    </w:p>
    <w:p>
      <w:pPr>
        <w:ind w:left="582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3" w:name="page174"/>
    <w:bookmarkEnd w:id="173"/>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667, L.P.</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BAKER BROS. ADVISORS LP,</w:t>
      </w:r>
    </w:p>
    <w:p>
      <w:pPr>
        <w:spacing w:after="0" w:line="22" w:lineRule="exact"/>
        <w:rPr>
          <w:sz w:val="20"/>
          <w:szCs w:val="20"/>
          <w:color w:val="auto"/>
        </w:rPr>
      </w:pPr>
    </w:p>
    <w:p>
      <w:pPr>
        <w:ind w:left="4880" w:right="280"/>
        <w:spacing w:after="0" w:line="242" w:lineRule="auto"/>
        <w:rPr>
          <w:sz w:val="20"/>
          <w:szCs w:val="20"/>
          <w:color w:val="auto"/>
        </w:rPr>
      </w:pPr>
      <w:r>
        <w:rPr>
          <w:rFonts w:ascii="Times New Roman" w:cs="Times New Roman" w:eastAsia="Times New Roman" w:hAnsi="Times New Roman"/>
          <w:sz w:val="20"/>
          <w:szCs w:val="20"/>
          <w:color w:val="auto"/>
        </w:rPr>
        <w:t>management company and investment adviser to 667, L.P., pursuant to authority granted to it by Baker Biotech Capital, L.P., general partner to 667, L.P., and not as the general partner</w:t>
      </w:r>
    </w:p>
    <w:p>
      <w:pPr>
        <w:spacing w:after="0" w:line="18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1">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Scott L. Lessing</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BAKER BROTHERS LIFE SCIENCES, L.P.</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BAKER BROS. ADVISORS LP,</w:t>
      </w:r>
    </w:p>
    <w:p>
      <w:pPr>
        <w:spacing w:after="0" w:line="22" w:lineRule="exact"/>
        <w:rPr>
          <w:sz w:val="20"/>
          <w:szCs w:val="20"/>
          <w:color w:val="auto"/>
        </w:rPr>
      </w:pPr>
    </w:p>
    <w:p>
      <w:pPr>
        <w:ind w:left="4880" w:right="240"/>
        <w:spacing w:after="0" w:line="241" w:lineRule="auto"/>
        <w:rPr>
          <w:sz w:val="20"/>
          <w:szCs w:val="20"/>
          <w:color w:val="auto"/>
        </w:rPr>
      </w:pPr>
      <w:r>
        <w:rPr>
          <w:rFonts w:ascii="Times New Roman" w:cs="Times New Roman" w:eastAsia="Times New Roman" w:hAnsi="Times New Roman"/>
          <w:sz w:val="20"/>
          <w:szCs w:val="20"/>
          <w:color w:val="auto"/>
        </w:rPr>
        <w:t>management company and investment adviser to BAKER BROTHERS LIFE SCIENCES, L.P., pursuant to authority granted to it by Baker Brothers Life Sciences Capital, L.P., general partner to BAKER BROTHERS LIFE SCIENCES, L.P., and not as the general partner</w:t>
      </w:r>
    </w:p>
    <w:p>
      <w:pPr>
        <w:spacing w:after="0" w:line="18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2">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Scott L. Lessing</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4" w:name="page175"/>
    <w:bookmarkEnd w:id="174"/>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ADAGE CAPITAL PARTNERS, L.P.</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/s/ Daniel Lehan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4">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Daniel Lehan</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5" w:name="page176"/>
    <w:bookmarkEnd w:id="175"/>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ALYESKA MASTER FUND, L.P.</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Jason Bragg</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Jason Bragg</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CFO Alyeska Investment Group,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6" w:name="page177"/>
    <w:bookmarkEnd w:id="176"/>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CVI INVESTMENTS, INC.</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Heights Capital Management, Inc., its authorized</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agent</w:t>
      </w:r>
    </w:p>
    <w:p>
      <w:pPr>
        <w:spacing w:after="0" w:line="1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Martin Kobinger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Martin Kobinger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7" w:name="page178"/>
    <w:bookmarkEnd w:id="177"/>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DEEP TRACK BIOTECHNOLOGY MASTER FUND, LTD.</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Nir Messafi</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Nir Messafi</w:t>
      </w:r>
    </w:p>
    <w:p>
      <w:pPr>
        <w:spacing w:after="0" w:line="21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8" w:name="page179"/>
    <w:bookmarkEnd w:id="178"/>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HUDSON BAY MASTER FUND LTD.</w:t>
      </w:r>
    </w:p>
    <w:p>
      <w:pPr>
        <w:spacing w:after="0" w:line="200" w:lineRule="exact"/>
        <w:rPr>
          <w:sz w:val="20"/>
          <w:szCs w:val="20"/>
          <w:color w:val="auto"/>
        </w:rPr>
      </w:pPr>
    </w:p>
    <w:p>
      <w:pPr>
        <w:spacing w:after="0" w:line="2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By: /s/ Richard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9">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Richard Allison</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Hudson Bay Capital Management LP</w:t>
      </w:r>
    </w:p>
    <w:p>
      <w:pPr>
        <w:ind w:left="4500"/>
        <w:spacing w:after="0"/>
        <w:rPr>
          <w:sz w:val="20"/>
          <w:szCs w:val="20"/>
          <w:color w:val="auto"/>
        </w:rPr>
      </w:pPr>
      <w:r>
        <w:rPr>
          <w:rFonts w:ascii="Times New Roman" w:cs="Times New Roman" w:eastAsia="Times New Roman" w:hAnsi="Times New Roman"/>
          <w:sz w:val="20"/>
          <w:szCs w:val="20"/>
          <w:color w:val="auto"/>
        </w:rPr>
        <w:t>not individually, but solely as</w:t>
      </w:r>
    </w:p>
    <w:p>
      <w:pPr>
        <w:ind w:left="4500"/>
        <w:spacing w:after="0"/>
        <w:rPr>
          <w:sz w:val="20"/>
          <w:szCs w:val="20"/>
          <w:color w:val="auto"/>
        </w:rPr>
      </w:pPr>
      <w:r>
        <w:rPr>
          <w:rFonts w:ascii="Times New Roman" w:cs="Times New Roman" w:eastAsia="Times New Roman" w:hAnsi="Times New Roman"/>
          <w:sz w:val="20"/>
          <w:szCs w:val="20"/>
          <w:color w:val="auto"/>
        </w:rPr>
        <w:t>Investment Advisor to Hudson Bay Master Fund Ltd.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9" w:name="page180"/>
    <w:bookmarkEnd w:id="179"/>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COMPASS OFFSHORE MAV LTD.</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 /s/ Michael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1">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Michael Castor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Managing Member of Sio Capital Management, LLC, as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0" w:name="page181"/>
    <w:bookmarkEnd w:id="180"/>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COMPASS MAV LLC</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 /s/ Michael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3">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Michael Castor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Managing Member of Sio Capital Management, LLC, as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1" w:name="page182"/>
    <w:bookmarkEnd w:id="181"/>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SIO PARTNERS OFFSHORE, LTD.</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 /s/ Michael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Michael Castor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Managing Member of Sio Capital Management, LLC, as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2" w:name="page183"/>
    <w:bookmarkEnd w:id="182"/>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SIO PARTNERS, LP</w:t>
      </w:r>
    </w:p>
    <w:p>
      <w:pPr>
        <w:spacing w:after="0" w:line="200" w:lineRule="exact"/>
        <w:rPr>
          <w:sz w:val="20"/>
          <w:szCs w:val="20"/>
          <w:color w:val="auto"/>
        </w:rPr>
      </w:pPr>
    </w:p>
    <w:p>
      <w:pPr>
        <w:spacing w:after="0" w:line="2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By: /s/ Michael Castor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3070860</wp:posOffset>
            </wp:positionH>
            <wp:positionV relativeFrom="paragraph">
              <wp:posOffset>-10795</wp:posOffset>
            </wp:positionV>
            <wp:extent cx="104330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7">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Michael Castor</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Managing Member of Sio Capital Management, LLC, as Investment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3" w:name="page184"/>
    <w:bookmarkEnd w:id="183"/>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the parties have caused this Registration Rights Agreement to be duly executed as of the date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above.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10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WOODLINE MASTER FUND LP</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Erin Mullen</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Erin Mullen</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GC &amp; CCO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84" w:name="page185"/>
    <w:bookmarkEnd w:id="184"/>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PLAN OF DISTRIBUTION</w:t>
      </w:r>
    </w:p>
    <w:p>
      <w:pPr>
        <w:spacing w:after="0" w:line="220"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selling stockholders may use any one or more of the following methods when disposing of shares or interests therein:</w:t>
      </w:r>
    </w:p>
    <w:p>
      <w:pPr>
        <w:spacing w:after="0" w:line="216" w:lineRule="exact"/>
        <w:rPr>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distributions to members, partners, stockholders or other equityholders of the selling stockholders;</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brokerage transactions and transactions in which the broker-dealer solicits purchasers;</w:t>
      </w:r>
    </w:p>
    <w:p>
      <w:pPr>
        <w:spacing w:after="0" w:line="215" w:lineRule="exact"/>
        <w:rPr>
          <w:rFonts w:ascii="Times New Roman" w:cs="Times New Roman" w:eastAsia="Times New Roman" w:hAnsi="Times New Roman"/>
          <w:sz w:val="20"/>
          <w:szCs w:val="20"/>
          <w:color w:val="auto"/>
        </w:rPr>
      </w:pPr>
    </w:p>
    <w:p>
      <w:pPr>
        <w:ind w:left="1040" w:right="20" w:hanging="283"/>
        <w:spacing w:after="0" w:line="269" w:lineRule="auto"/>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block trades in which the broker-dealer will attempt to sell the shares as agent, but may position and resell a portion of the block as principal to facilitate the transaction;</w:t>
      </w:r>
    </w:p>
    <w:p>
      <w:pPr>
        <w:spacing w:after="0" w:line="159"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by a broker-dealer as principal and resale by the broker-dealer for its account;</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exchange distribution in accordance with the rules of the applicable exchange;</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privately negotiated transactions;</w:t>
      </w:r>
    </w:p>
    <w:p>
      <w:pPr>
        <w:spacing w:after="0" w:line="215" w:lineRule="exact"/>
        <w:rPr>
          <w:rFonts w:ascii="Times New Roman" w:cs="Times New Roman" w:eastAsia="Times New Roman" w:hAnsi="Times New Roman"/>
          <w:sz w:val="20"/>
          <w:szCs w:val="20"/>
          <w:color w:val="auto"/>
        </w:rPr>
      </w:pPr>
    </w:p>
    <w:p>
      <w:pPr>
        <w:ind w:left="1040" w:hanging="283"/>
        <w:spacing w:after="0" w:line="269" w:lineRule="auto"/>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and settlement of short sales entered into after the effective date of the registration statement of which this prospectus is a part;</w:t>
      </w:r>
    </w:p>
    <w:p>
      <w:pPr>
        <w:spacing w:after="0" w:line="159"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the writing or settlement of options or other hedging transactions, whether through an options exchange or otherwise;</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broker-dealers may agree with the selling stockholders to sell a specified number of such shares at a stipulated price per share;</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combination of any such methods of sale; and</w:t>
      </w:r>
    </w:p>
    <w:p>
      <w:pPr>
        <w:spacing w:after="0" w:line="215" w:lineRule="exact"/>
        <w:rPr>
          <w:rFonts w:ascii="Times New Roman" w:cs="Times New Roman" w:eastAsia="Times New Roman" w:hAnsi="Times New Roman"/>
          <w:sz w:val="20"/>
          <w:szCs w:val="20"/>
          <w:color w:val="auto"/>
        </w:rPr>
      </w:pPr>
    </w:p>
    <w:p>
      <w:pPr>
        <w:ind w:left="1040" w:hanging="283"/>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permitted pursuant to applicable law.</w:t>
      </w:r>
    </w:p>
    <w:p>
      <w:pPr>
        <w:spacing w:after="0" w:line="21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|US-DOCS\156547625.10||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85" w:name="page186"/>
    <w:bookmarkEnd w:id="185"/>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7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w:t>
      </w:r>
    </w:p>
    <w:p>
      <w:pPr>
        <w:spacing w:after="0" w:line="185" w:lineRule="exact"/>
        <w:rPr>
          <w:sz w:val="20"/>
          <w:szCs w:val="20"/>
          <w:color w:val="auto"/>
        </w:rPr>
      </w:pPr>
    </w:p>
    <w:p>
      <w:pPr>
        <w:ind w:right="420"/>
        <w:spacing w:after="0" w:line="254" w:lineRule="auto"/>
        <w:rPr>
          <w:sz w:val="20"/>
          <w:szCs w:val="20"/>
          <w:color w:val="auto"/>
        </w:rPr>
      </w:pPr>
      <w:r>
        <w:rPr>
          <w:rFonts w:ascii="Times New Roman" w:cs="Times New Roman" w:eastAsia="Times New Roman" w:hAnsi="Times New Roman"/>
          <w:sz w:val="20"/>
          <w:szCs w:val="20"/>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In order to comply with the securities laws of some states, if applicable, the common stock may be sold in these jurisdictions only through registered or licensed brokers or dealers. In addition, in some states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89"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common stock may not be sold unless it has been registered or qualified for sale or an exemption from registration or qualification requirements is available and is complied with.</w:t>
      </w:r>
    </w:p>
    <w:p>
      <w:pPr>
        <w:spacing w:after="0" w:line="15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5"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We have agreed to indemnify the selling stockholders against liabilities, including liabilities under the Securities Act and state securities laws, relating to the registration of the shares offered by this prospectus.</w:t>
      </w:r>
    </w:p>
    <w:p>
      <w:pPr>
        <w:spacing w:after="0" w:line="15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and (iii) five years after the date of the Registration Rights Agreement.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7" w:name="page188"/>
    <w:bookmarkEnd w:id="187"/>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Investor Questionnaire</w:t>
      </w:r>
    </w:p>
    <w:p>
      <w:pPr>
        <w:spacing w:after="0" w:line="23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9"/>
          <w:szCs w:val="19"/>
          <w:color w:val="auto"/>
        </w:rPr>
        <w:t>The undersigned hereby provides the following information to the Company and represents and warrants that such information is accurate:</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QUESTIONNAIRE</w:t>
      </w:r>
    </w:p>
    <w:p>
      <w:pPr>
        <w:spacing w:after="0" w:line="216" w:lineRule="exact"/>
        <w:rPr>
          <w:sz w:val="20"/>
          <w:szCs w:val="20"/>
          <w:color w:val="auto"/>
        </w:rPr>
      </w:pPr>
    </w:p>
    <w:p>
      <w:pPr>
        <w:ind w:left="400" w:hanging="392"/>
        <w:spacing w:after="0"/>
        <w:tabs>
          <w:tab w:leader="none" w:pos="40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Name.</w:t>
      </w:r>
    </w:p>
    <w:p>
      <w:pPr>
        <w:spacing w:after="0" w:line="219" w:lineRule="exact"/>
        <w:rPr>
          <w:rFonts w:ascii="Times New Roman" w:cs="Times New Roman" w:eastAsia="Times New Roman" w:hAnsi="Times New Roman"/>
          <w:sz w:val="20"/>
          <w:szCs w:val="20"/>
          <w:b w:val="1"/>
          <w:bCs w:val="1"/>
          <w:color w:val="auto"/>
        </w:rPr>
      </w:pPr>
    </w:p>
    <w:p>
      <w:pPr>
        <w:ind w:left="800" w:hanging="396"/>
        <w:spacing w:after="0"/>
        <w:tabs>
          <w:tab w:leader="none" w:pos="80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Legal Name of Investor</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44"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7" w:lineRule="exact"/>
        <w:rPr>
          <w:rFonts w:ascii="Times New Roman" w:cs="Times New Roman" w:eastAsia="Times New Roman" w:hAnsi="Times New Roman"/>
          <w:sz w:val="20"/>
          <w:szCs w:val="20"/>
          <w:color w:val="auto"/>
        </w:rPr>
      </w:pPr>
    </w:p>
    <w:p>
      <w:pPr>
        <w:ind w:left="1500" w:hanging="1096"/>
        <w:spacing w:after="0" w:line="269" w:lineRule="auto"/>
        <w:tabs>
          <w:tab w:leader="none" w:pos="79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24" w:lineRule="exact"/>
        <w:rPr>
          <w:rFonts w:ascii="Times New Roman" w:cs="Times New Roman" w:eastAsia="Times New Roman" w:hAnsi="Times New Roman"/>
          <w:sz w:val="20"/>
          <w:szCs w:val="20"/>
          <w:color w:val="auto"/>
        </w:rPr>
      </w:pPr>
    </w:p>
    <w:p>
      <w:pPr>
        <w:ind w:left="260" w:hanging="252"/>
        <w:spacing w:after="0"/>
        <w:tabs>
          <w:tab w:leader="none" w:pos="26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-2957195</wp:posOffset>
            </wp:positionV>
            <wp:extent cx="61290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-1894205</wp:posOffset>
            </wp:positionV>
            <wp:extent cx="61290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-676910</wp:posOffset>
            </wp:positionV>
            <wp:extent cx="61290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5">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410845</wp:posOffset>
            </wp:positionV>
            <wp:extent cx="70548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6">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676910</wp:posOffset>
            </wp:positionV>
            <wp:extent cx="70548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7">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70548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8">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15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E-Mail: _____________________________________________________________________</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Contact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88" w:name="page189"/>
    <w:bookmarkEnd w:id="188"/>
    <w:p>
      <w:pPr>
        <w:spacing w:after="0" w:line="374" w:lineRule="exact"/>
        <w:rPr>
          <w:sz w:val="20"/>
          <w:szCs w:val="20"/>
          <w:color w:val="auto"/>
        </w:rPr>
      </w:pPr>
    </w:p>
    <w:p>
      <w:pPr>
        <w:ind w:left="260" w:hanging="252"/>
        <w:spacing w:after="0"/>
        <w:tabs>
          <w:tab w:leader="none" w:pos="26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Broker-Dealer Status:</w:t>
      </w:r>
    </w:p>
    <w:p>
      <w:pPr>
        <w:spacing w:after="0" w:line="219" w:lineRule="exact"/>
        <w:rPr>
          <w:rFonts w:ascii="Times New Roman" w:cs="Times New Roman" w:eastAsia="Times New Roman" w:hAnsi="Times New Roman"/>
          <w:sz w:val="20"/>
          <w:szCs w:val="20"/>
          <w:b w:val="1"/>
          <w:bCs w:val="1"/>
          <w:color w:val="auto"/>
        </w:rPr>
      </w:pPr>
    </w:p>
    <w:p>
      <w:pPr>
        <w:ind w:left="1160" w:right="8460" w:hanging="756"/>
        <w:spacing w:after="0" w:line="464" w:lineRule="auto"/>
        <w:tabs>
          <w:tab w:leader="none" w:pos="80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you a broker-dealer? Yes No</w:t>
      </w:r>
    </w:p>
    <w:p>
      <w:pPr>
        <w:spacing w:after="0" w:line="1" w:lineRule="exact"/>
        <w:rPr>
          <w:rFonts w:ascii="Times New Roman" w:cs="Times New Roman" w:eastAsia="Times New Roman" w:hAnsi="Times New Roman"/>
          <w:sz w:val="20"/>
          <w:szCs w:val="20"/>
          <w:color w:val="auto"/>
        </w:rPr>
      </w:pPr>
    </w:p>
    <w:p>
      <w:pPr>
        <w:ind w:left="1500" w:right="80" w:hanging="1096"/>
        <w:spacing w:after="0" w:line="269" w:lineRule="auto"/>
        <w:tabs>
          <w:tab w:leader="none" w:pos="79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“yes” to Section 3(a), did you receive your Registrable Securities as compensation for investment banking services to the Company?</w:t>
      </w:r>
    </w:p>
    <w:p>
      <w:pPr>
        <w:sectPr>
          <w:pgSz w:w="11900" w:h="16838" w:orient="portrait"/>
          <w:cols w:equalWidth="0" w:num="1">
            <w:col w:w="11240"/>
          </w:cols>
          <w:pgMar w:left="320" w:top="1440" w:right="339" w:bottom="1440" w:gutter="0" w:footer="0" w:header="0"/>
        </w:sectPr>
      </w:pPr>
    </w:p>
    <w:p>
      <w:pPr>
        <w:spacing w:after="0" w:line="1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Yes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t>
      </w:r>
    </w:p>
    <w:p>
      <w:pPr>
        <w:spacing w:after="0" w:line="200" w:lineRule="exact"/>
        <w:rPr>
          <w:sz w:val="20"/>
          <w:szCs w:val="20"/>
          <w:color w:val="auto"/>
        </w:rPr>
      </w:pPr>
    </w:p>
    <w:p>
      <w:pPr>
        <w:sectPr>
          <w:pgSz w:w="11900" w:h="16838" w:orient="portrait"/>
          <w:cols w:equalWidth="0" w:num="2">
            <w:col w:w="1460" w:space="480"/>
            <w:col w:w="9300"/>
          </w:cols>
          <w:pgMar w:left="320" w:top="1440" w:right="339" w:bottom="1440" w:gutter="0" w:footer="0" w:header="0"/>
          <w:type w:val="continuous"/>
        </w:sectPr>
      </w:pP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Note: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0" w:hanging="309"/>
        <w:spacing w:after="0" w:line="269" w:lineRule="auto"/>
        <w:rPr>
          <w:sz w:val="20"/>
          <w:szCs w:val="20"/>
          <w:color w:val="auto"/>
        </w:rPr>
      </w:pPr>
      <w:r>
        <w:rPr>
          <w:rFonts w:ascii="Times New Roman" w:cs="Times New Roman" w:eastAsia="Times New Roman" w:hAnsi="Times New Roman"/>
          <w:sz w:val="20"/>
          <w:szCs w:val="20"/>
          <w:color w:val="auto"/>
        </w:rPr>
        <w:t>If “no” to Section 3(b), the Securities and Exchange Commission’s staff has indicated that you should be identified as an underwriter in the Registration Statement.</w:t>
      </w:r>
    </w:p>
    <w:p>
      <w:pPr>
        <w:spacing w:after="0" w:line="159" w:lineRule="exact"/>
        <w:rPr>
          <w:sz w:val="20"/>
          <w:szCs w:val="20"/>
          <w:color w:val="auto"/>
        </w:rPr>
      </w:pPr>
    </w:p>
    <w:p>
      <w:pPr>
        <w:sectPr>
          <w:pgSz w:w="11900" w:h="16838" w:orient="portrait"/>
          <w:cols w:equalWidth="0" w:num="2">
            <w:col w:w="840" w:space="660"/>
            <w:col w:w="9740"/>
          </w:cols>
          <w:pgMar w:left="320" w:top="1440" w:right="339" w:bottom="1440" w:gutter="0" w:footer="0" w:header="0"/>
          <w:type w:val="continuous"/>
        </w:sectPr>
      </w:pPr>
    </w:p>
    <w:p>
      <w:pPr>
        <w:ind w:left="1160" w:right="7340" w:hanging="756"/>
        <w:spacing w:after="0" w:line="464" w:lineRule="auto"/>
        <w:tabs>
          <w:tab w:leader="none" w:pos="80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you an affiliate of a broker-dealer? Yes No</w:t>
      </w:r>
    </w:p>
    <w:p>
      <w:pPr>
        <w:spacing w:after="0" w:line="1" w:lineRule="exact"/>
        <w:rPr>
          <w:rFonts w:ascii="Times New Roman" w:cs="Times New Roman" w:eastAsia="Times New Roman" w:hAnsi="Times New Roman"/>
          <w:sz w:val="20"/>
          <w:szCs w:val="20"/>
          <w:color w:val="auto"/>
        </w:rPr>
      </w:pPr>
    </w:p>
    <w:p>
      <w:pPr>
        <w:ind w:left="1500" w:hanging="1096"/>
        <w:spacing w:after="0" w:line="254" w:lineRule="auto"/>
        <w:tabs>
          <w:tab w:leader="none" w:pos="79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ectPr>
          <w:pgSz w:w="11900" w:h="16838" w:orient="portrait"/>
          <w:cols w:equalWidth="0" w:num="1">
            <w:col w:w="11240"/>
          </w:cols>
          <w:pgMar w:left="320" w:top="1440" w:right="339" w:bottom="1440" w:gutter="0" w:footer="0" w:header="0"/>
          <w:type w:val="continuous"/>
        </w:sectPr>
      </w:pPr>
    </w:p>
    <w:p>
      <w:pPr>
        <w:spacing w:after="0" w:line="1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Yes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w:t>
      </w:r>
    </w:p>
    <w:p>
      <w:pPr>
        <w:spacing w:after="0" w:line="200" w:lineRule="exact"/>
        <w:rPr>
          <w:sz w:val="20"/>
          <w:szCs w:val="20"/>
          <w:color w:val="auto"/>
        </w:rPr>
      </w:pPr>
    </w:p>
    <w:p>
      <w:pPr>
        <w:sectPr>
          <w:pgSz w:w="11900" w:h="16838" w:orient="portrait"/>
          <w:cols w:equalWidth="0" w:num="2">
            <w:col w:w="1460" w:space="480"/>
            <w:col w:w="9300"/>
          </w:cols>
          <w:pgMar w:left="320" w:top="1440" w:right="339" w:bottom="1440" w:gutter="0" w:footer="0" w:header="0"/>
          <w:type w:val="continuous"/>
        </w:sectPr>
      </w:pP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9"/>
          <w:szCs w:val="19"/>
          <w:color w:val="auto"/>
        </w:rPr>
        <w:t>Note: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60" w:hanging="309"/>
        <w:spacing w:after="0" w:line="269" w:lineRule="auto"/>
        <w:rPr>
          <w:sz w:val="20"/>
          <w:szCs w:val="20"/>
          <w:color w:val="auto"/>
        </w:rPr>
      </w:pPr>
      <w:r>
        <w:rPr>
          <w:rFonts w:ascii="Times New Roman" w:cs="Times New Roman" w:eastAsia="Times New Roman" w:hAnsi="Times New Roman"/>
          <w:sz w:val="20"/>
          <w:szCs w:val="20"/>
          <w:color w:val="auto"/>
        </w:rPr>
        <w:t>If “no” to Section 3(d), the Securities and Exchange Commission’s staff has indicated that you should be identified as an underwriter in the Registration Statement.</w:t>
      </w:r>
    </w:p>
    <w:p>
      <w:pPr>
        <w:spacing w:after="0" w:line="155" w:lineRule="exact"/>
        <w:rPr>
          <w:sz w:val="20"/>
          <w:szCs w:val="20"/>
          <w:color w:val="auto"/>
        </w:rPr>
      </w:pPr>
    </w:p>
    <w:p>
      <w:pPr>
        <w:sectPr>
          <w:pgSz w:w="11900" w:h="16838" w:orient="portrait"/>
          <w:cols w:equalWidth="0" w:num="2">
            <w:col w:w="840" w:space="660"/>
            <w:col w:w="97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b w:val="1"/>
          <w:bCs w:val="1"/>
          <w:color w:val="auto"/>
        </w:rPr>
        <w:t>4. Beneficial Ownership of Securities of the Company Owned by the Investor.</w:t>
      </w:r>
    </w:p>
    <w:p>
      <w:pPr>
        <w:spacing w:after="0" w:line="216"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i w:val="1"/>
          <w:iCs w:val="1"/>
          <w:color w:val="auto"/>
        </w:rPr>
        <w:t>Except as set forth below in this Item 4, the undersigned is not the beneficial or registered owner of any securities of the Company other than the securities issued or issuable pursuant to the Purchase Agreement.</w:t>
      </w:r>
    </w:p>
    <w:p>
      <w:pPr>
        <w:spacing w:after="0" w:line="156" w:lineRule="exact"/>
        <w:rPr>
          <w:sz w:val="20"/>
          <w:szCs w:val="20"/>
          <w:color w:val="auto"/>
        </w:rPr>
      </w:pPr>
    </w:p>
    <w:p>
      <w:pPr>
        <w:ind w:left="400"/>
        <w:spacing w:after="0"/>
        <w:tabs>
          <w:tab w:leader="none" w:pos="78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408305</wp:posOffset>
            </wp:positionV>
            <wp:extent cx="60604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0">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1024890</wp:posOffset>
            </wp:positionH>
            <wp:positionV relativeFrom="paragraph">
              <wp:posOffset>674370</wp:posOffset>
            </wp:positionV>
            <wp:extent cx="60604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Relationships with the Company:</w:t>
      </w:r>
    </w:p>
    <w:p>
      <w:pPr>
        <w:spacing w:after="0" w:line="216" w:lineRule="exact"/>
        <w:rPr>
          <w:sz w:val="20"/>
          <w:szCs w:val="20"/>
          <w:color w:val="auto"/>
        </w:rPr>
      </w:pPr>
    </w:p>
    <w:p>
      <w:pPr>
        <w:ind w:left="760"/>
        <w:spacing w:after="0" w:line="273" w:lineRule="auto"/>
        <w:rPr>
          <w:sz w:val="20"/>
          <w:szCs w:val="20"/>
          <w:color w:val="auto"/>
        </w:rPr>
      </w:pPr>
      <w:r>
        <w:rPr>
          <w:rFonts w:ascii="Times New Roman" w:cs="Times New Roman" w:eastAsia="Times New Roman" w:hAnsi="Times New Roman"/>
          <w:sz w:val="20"/>
          <w:szCs w:val="20"/>
          <w:i w:val="1"/>
          <w:iCs w:val="1"/>
          <w:color w:val="auto"/>
        </w:rPr>
        <w:t>Except as set forth below, neither the undersigned nor any of its affiliates, officers, directors or principal equity holders (owners of 5% of more of the equity securities of the undersigned) has held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9" w:name="page190"/>
    <w:bookmarkEnd w:id="189"/>
    <w:p>
      <w:pPr>
        <w:ind w:left="760"/>
        <w:spacing w:after="0" w:line="273" w:lineRule="auto"/>
        <w:rPr>
          <w:sz w:val="20"/>
          <w:szCs w:val="20"/>
          <w:color w:val="auto"/>
        </w:rPr>
      </w:pPr>
      <w:r>
        <w:rPr>
          <w:rFonts w:ascii="Times New Roman" w:cs="Times New Roman" w:eastAsia="Times New Roman" w:hAnsi="Times New Roman"/>
          <w:sz w:val="20"/>
          <w:szCs w:val="20"/>
          <w:i w:val="1"/>
          <w:iCs w:val="1"/>
          <w:color w:val="auto"/>
        </w:rPr>
        <w:t>any position or office or has had any other material relationship with the Company (or its predecessors or affiliates) during the past three years.</w:t>
      </w:r>
    </w:p>
    <w:p>
      <w:pPr>
        <w:spacing w:after="0" w:line="15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408305</wp:posOffset>
            </wp:positionV>
            <wp:extent cx="655764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674370</wp:posOffset>
            </wp:positionV>
            <wp:extent cx="655764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The undersigned agrees to promptly notify the Company of any material inaccuracies or changes in the information provided herein that may occur subsequent to the date hereof at any time while the Registration Statement remains effective;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undersigned shall not be required to notify the Company of any changes to the number of securities held or owned by the undersigned or its affiliates.</w:t>
      </w:r>
    </w:p>
    <w:p>
      <w:pPr>
        <w:spacing w:after="0" w:line="15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the undersigned, by authority duly given, has caused this Notice and Questionnaire to be executed and delivered either in person or by its duly authorized agent.</w:t>
      </w:r>
    </w:p>
    <w:p>
      <w:pPr>
        <w:spacing w:after="0" w:line="15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-10795</wp:posOffset>
            </wp:positionV>
            <wp:extent cx="1987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5">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0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-10795</wp:posOffset>
            </wp:positionV>
            <wp:extent cx="2514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6">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Name:</w:t>
      </w:r>
    </w:p>
    <w:p>
      <w:pPr>
        <w:ind w:left="1200"/>
        <w:spacing w:after="0"/>
        <w:rPr>
          <w:sz w:val="20"/>
          <w:szCs w:val="20"/>
          <w:color w:val="auto"/>
        </w:rPr>
      </w:pPr>
      <w:r>
        <w:rPr>
          <w:rFonts w:ascii="Times New Roman" w:cs="Times New Roman" w:eastAsia="Times New Roman" w:hAnsi="Times New Roman"/>
          <w:sz w:val="20"/>
          <w:szCs w:val="20"/>
          <w:color w:val="auto"/>
        </w:rPr>
        <w:t>Title: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0" w:name="page191"/>
    <w:bookmarkEnd w:id="190"/>
    <w:p>
      <w:pPr>
        <w:ind w:left="10060"/>
        <w:spacing w:after="0"/>
        <w:rPr>
          <w:sz w:val="20"/>
          <w:szCs w:val="20"/>
          <w:color w:val="auto"/>
        </w:rPr>
      </w:pPr>
      <w:r>
        <w:rPr>
          <w:rFonts w:ascii="Times New Roman" w:cs="Times New Roman" w:eastAsia="Times New Roman" w:hAnsi="Times New Roman"/>
          <w:sz w:val="21"/>
          <w:szCs w:val="2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RIGHTS AGREEMENT</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Registration Rights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February 13, 2025 by and between Aligos Therapeutics,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the persons listed on the attached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who are signatories to this Agreement (each, an “</w:t>
      </w:r>
      <w:r>
        <w:rPr>
          <w:rFonts w:ascii="Times New Roman" w:cs="Times New Roman" w:eastAsia="Times New Roman" w:hAnsi="Times New Roman"/>
          <w:sz w:val="22"/>
          <w:szCs w:val="22"/>
          <w:u w:val="single" w:color="auto"/>
          <w:color w:val="auto"/>
        </w:rPr>
        <w:t>Investor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xml:space="preserve">”). Unless otherwise defined herein, capitalized terms used in this Agreement have the respective meanings ascribed to them in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Investors wish to provide for certain arrangements with respect to the registration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Registrable Securities (as defined below) by the Company under the Securities Act (as defined below).</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set forth herein, and other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and adequacy of which are hereby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Section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u w:val="single" w:color="auto"/>
          <w:color w:val="000000"/>
        </w:rPr>
        <w:t>Certain Definitions</w:t>
      </w:r>
      <w:r>
        <w:rPr>
          <w:rFonts w:ascii="Times New Roman" w:cs="Times New Roman" w:eastAsia="Times New Roman" w:hAnsi="Times New Roman"/>
          <w:sz w:val="22"/>
          <w:szCs w:val="22"/>
          <w:color w:val="000000"/>
        </w:rPr>
        <w:t>. In addition to the terms defined elsewhere in this Agreement, as used in this Agreement, the following</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terms have the respective meanings set forth below:</w:t>
      </w:r>
    </w:p>
    <w:p>
      <w:pPr>
        <w:spacing w:after="0" w:line="158" w:lineRule="exact"/>
        <w:rPr>
          <w:sz w:val="20"/>
          <w:szCs w:val="20"/>
          <w:color w:val="auto"/>
        </w:rPr>
      </w:pPr>
    </w:p>
    <w:p>
      <w:pPr>
        <w:ind w:firstLine="8"/>
        <w:spacing w:after="0" w:line="258" w:lineRule="auto"/>
        <w:tabs>
          <w:tab w:leader="none" w:pos="50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Block Trade</w:t>
      </w:r>
      <w:r>
        <w:rPr>
          <w:rFonts w:ascii="Times New Roman" w:cs="Times New Roman" w:eastAsia="Times New Roman" w:hAnsi="Times New Roman"/>
          <w:sz w:val="22"/>
          <w:szCs w:val="22"/>
          <w:color w:val="auto"/>
        </w:rPr>
        <w:t>” shall mean an offering of Registrable Securities, which requires both the Investors and the Company to enter into a sale agreement and is limited in scope of selling efforts as compared to an Underwritten Offering.</w:t>
      </w:r>
    </w:p>
    <w:p>
      <w:pPr>
        <w:spacing w:after="0" w:line="158"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shall mean the Securities and Exchange Commission or any other federal agency at the time administering the Securities Act.</w:t>
      </w:r>
    </w:p>
    <w:p>
      <w:pPr>
        <w:spacing w:after="0" w:line="158"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shall mean the voting common stock of the Company, par value $0.0001 per share.</w:t>
      </w:r>
    </w:p>
    <w:p>
      <w:pPr>
        <w:spacing w:after="0" w:line="206"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shall mean the Securities Exchange Act of 1934, as amended, or any similar successor federal statute and the rules and regulations thereunder, all as the same shall be in effect from time to time.</w:t>
      </w:r>
    </w:p>
    <w:p>
      <w:pPr>
        <w:spacing w:after="0" w:line="158"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Entity</w:t>
      </w:r>
      <w:r>
        <w:rPr>
          <w:rFonts w:ascii="Times New Roman" w:cs="Times New Roman" w:eastAsia="Times New Roman" w:hAnsi="Times New Roman"/>
          <w:sz w:val="22"/>
          <w:szCs w:val="22"/>
          <w:color w:val="auto"/>
        </w:rPr>
        <w:t>” shall mean any federal, state, local or foreign government, or any department, agency, or instrumentality of any government; any public international organization, any transnational governmental organization; any court of competent jurisdiction, arbitral, administrative agency, commission, or other governmental regulatory authority or quasi-governmental authority, any political party; and any national securities exchange or national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91" w:name="page192"/>
    <w:bookmarkEnd w:id="191"/>
    <w:p>
      <w:pPr>
        <w:spacing w:after="0" w:line="185"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Non-Voting Common Stock</w:t>
      </w:r>
      <w:r>
        <w:rPr>
          <w:rFonts w:ascii="Times New Roman" w:cs="Times New Roman" w:eastAsia="Times New Roman" w:hAnsi="Times New Roman"/>
          <w:sz w:val="22"/>
          <w:szCs w:val="22"/>
          <w:color w:val="auto"/>
        </w:rPr>
        <w:t>” shall mean the non-voting common stock, par value $0.0001 per share, of the Company.</w:t>
      </w:r>
    </w:p>
    <w:p>
      <w:pPr>
        <w:spacing w:after="0" w:line="206" w:lineRule="exact"/>
        <w:rPr>
          <w:rFonts w:ascii="Times New Roman" w:cs="Times New Roman" w:eastAsia="Times New Roman" w:hAnsi="Times New Roman"/>
          <w:sz w:val="22"/>
          <w:szCs w:val="22"/>
          <w:color w:val="010000"/>
        </w:rPr>
      </w:pPr>
    </w:p>
    <w:p>
      <w:pPr>
        <w:ind w:left="520" w:hanging="512"/>
        <w:spacing w:after="0"/>
        <w:tabs>
          <w:tab w:leader="none" w:pos="520"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Securities</w:t>
      </w:r>
      <w:r>
        <w:rPr>
          <w:rFonts w:ascii="Times New Roman" w:cs="Times New Roman" w:eastAsia="Times New Roman" w:hAnsi="Times New Roman"/>
          <w:sz w:val="22"/>
          <w:szCs w:val="22"/>
          <w:color w:val="auto"/>
        </w:rPr>
        <w:t>” shall mean securities of the Company, other than Registrable Securities (as defined below).</w:t>
      </w:r>
    </w:p>
    <w:p>
      <w:pPr>
        <w:spacing w:after="0" w:line="206"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partnership, corporation, company, association, trust, joint venture, limited liability company, unincorporated organization, entity or division, or any government, governmental department or agency or political subdivision thereof.</w:t>
      </w:r>
    </w:p>
    <w:p>
      <w:pPr>
        <w:spacing w:after="0" w:line="173" w:lineRule="exact"/>
        <w:rPr>
          <w:rFonts w:ascii="Times New Roman" w:cs="Times New Roman" w:eastAsia="Times New Roman" w:hAnsi="Times New Roman"/>
          <w:sz w:val="22"/>
          <w:szCs w:val="22"/>
          <w:color w:val="010000"/>
        </w:rPr>
      </w:pPr>
    </w:p>
    <w:p>
      <w:pPr>
        <w:jc w:val="both"/>
        <w:ind w:firstLine="8"/>
        <w:spacing w:after="0" w:line="233" w:lineRule="auto"/>
        <w:tabs>
          <w:tab w:leader="none" w:pos="50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Registrable Securities</w:t>
      </w:r>
      <w:r>
        <w:rPr>
          <w:rFonts w:ascii="Times New Roman" w:cs="Times New Roman" w:eastAsia="Times New Roman" w:hAnsi="Times New Roman"/>
          <w:sz w:val="22"/>
          <w:szCs w:val="22"/>
          <w:color w:val="auto"/>
        </w:rPr>
        <w:t>” shall mean the shares of Common Stock and any Common Stock issued or issuable upon the exercise or conversion of Non-Voting Common Stock and any other securities (whether equity, debt or otherwise) of the Company now owned or hereafter acquired by any of the Investors. Registrable Securities shall cease to be Registrable Securities upon the earliest to occur of the following events: (i) such Registrable Securities have been sold pursuant to an effective Registration Statement; (ii) such Registrable Securities have been sold by the Investors pursuant to Rule 144 (or other similar rule), (iii) at any time after any of the Investors become an affiliate of the Company, such Registrable Securities may be resold by the Investor holding such Registrable Securities without limitations as to volume or manner of sale pursuant to Rule 144; or (iv) ten (10) years after the date of this Agreement. For purposes of this definition, in order to determine whether an Investor is an “affiliate” (as such term is defined and used in Rule 144, and including for determining whether volume or manner of sale limitations of Rule 144 apply) the parties will assume that all convertible securities (whether equity, debt or otherwise) have been converted into Common Stock.</w:t>
      </w:r>
    </w:p>
    <w:p>
      <w:pPr>
        <w:spacing w:after="0" w:line="187" w:lineRule="exact"/>
        <w:rPr>
          <w:rFonts w:ascii="Times New Roman" w:cs="Times New Roman" w:eastAsia="Times New Roman" w:hAnsi="Times New Roman"/>
          <w:sz w:val="22"/>
          <w:szCs w:val="22"/>
          <w:color w:val="010000"/>
        </w:rPr>
      </w:pPr>
    </w:p>
    <w:p>
      <w:pPr>
        <w:jc w:val="both"/>
        <w:ind w:right="20" w:firstLine="8"/>
        <w:spacing w:after="0" w:line="244" w:lineRule="auto"/>
        <w:tabs>
          <w:tab w:leader="none" w:pos="50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shall refer to a registration effected by preparing and filing a Registration Statement in compliance with the Securities Act, and such Registration Statement becoming effective under the Securities Act.</w:t>
      </w:r>
    </w:p>
    <w:p>
      <w:pPr>
        <w:spacing w:after="0" w:line="173"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Expenses</w:t>
      </w:r>
      <w:r>
        <w:rPr>
          <w:rFonts w:ascii="Times New Roman" w:cs="Times New Roman" w:eastAsia="Times New Roman" w:hAnsi="Times New Roman"/>
          <w:sz w:val="22"/>
          <w:szCs w:val="22"/>
          <w:color w:val="auto"/>
        </w:rPr>
        <w:t>” shall mean all expenses incurred by the Company in effecting any registration pursuant to this Agreement, including, without limitation, all registration, qualification, and filing fees, printing expenses, escrow fees, fees and disbursements of counsel for the Company, up to (i) $50,000 of reasonable out-of-pocket legal expenses of one outside counsel for Investors (if different from the Company’s counsel and if such counsel is reasonably approved by the Company) in connection with the preparation and filing of the Resale Registration Shelf (as defined below), and (ii) up to $50,000 of reasonable out-of-pocket legal expenses of one outside counsel for the Investors (if different from the Company’s counsel and if such counsel is reasonably approved by the Company) per Underwritten Offering, blue sky fees and expenses, and expenses of any regular or special audits incident to or required by any such registration, but shall not include Selling Expenses.</w:t>
      </w:r>
    </w:p>
    <w:p>
      <w:pPr>
        <w:spacing w:after="0" w:line="178" w:lineRule="exact"/>
        <w:rPr>
          <w:rFonts w:ascii="Times New Roman" w:cs="Times New Roman" w:eastAsia="Times New Roman" w:hAnsi="Times New Roman"/>
          <w:sz w:val="22"/>
          <w:szCs w:val="22"/>
          <w:color w:val="010000"/>
        </w:rPr>
      </w:pPr>
    </w:p>
    <w:p>
      <w:pPr>
        <w:jc w:val="both"/>
        <w:ind w:firstLine="8"/>
        <w:spacing w:after="0" w:line="238" w:lineRule="auto"/>
        <w:tabs>
          <w:tab w:leader="none" w:pos="509" w:val="left"/>
        </w:tabs>
        <w:numPr>
          <w:ilvl w:val="0"/>
          <w:numId w:val="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any registration statement of the Company filed with, or to be filed with, the Commission under the Securities Act,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other than a registration statement (and related prospectus) filed on Form S-4 or Form S-8 or any successor forms thereto.</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85" w:lineRule="exact"/>
        <w:rPr>
          <w:sz w:val="20"/>
          <w:szCs w:val="20"/>
          <w:color w:val="auto"/>
        </w:rPr>
      </w:pPr>
    </w:p>
    <w:p>
      <w:pPr>
        <w:ind w:firstLine="8"/>
        <w:spacing w:after="0" w:line="258" w:lineRule="auto"/>
        <w:tabs>
          <w:tab w:leader="none" w:pos="509"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Rule 144</w:t>
      </w:r>
      <w:r>
        <w:rPr>
          <w:rFonts w:ascii="Times New Roman" w:cs="Times New Roman" w:eastAsia="Times New Roman" w:hAnsi="Times New Roman"/>
          <w:sz w:val="22"/>
          <w:szCs w:val="22"/>
          <w:color w:val="auto"/>
        </w:rPr>
        <w:t>” shall mean Rule 144 as promulgated by the Commission under the Securities Act, as such rule may be amended from time to time, or any similar successor rule that may be promulgated by the Commission.</w:t>
      </w:r>
    </w:p>
    <w:p>
      <w:pPr>
        <w:spacing w:after="0" w:line="158" w:lineRule="exact"/>
        <w:rPr>
          <w:rFonts w:ascii="Times New Roman" w:cs="Times New Roman" w:eastAsia="Times New Roman" w:hAnsi="Times New Roman"/>
          <w:sz w:val="22"/>
          <w:szCs w:val="22"/>
          <w:color w:val="010000"/>
        </w:rPr>
      </w:pPr>
    </w:p>
    <w:p>
      <w:pPr>
        <w:ind w:right="20" w:firstLine="8"/>
        <w:spacing w:after="0" w:line="258" w:lineRule="auto"/>
        <w:tabs>
          <w:tab w:leader="none" w:pos="509"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shall mean the Securities Act of 1933, as amended, or any similar successor federal statute and the rules and regulations thereunder, all as the same shall be in effect from time to time.</w:t>
      </w:r>
    </w:p>
    <w:p>
      <w:pPr>
        <w:spacing w:after="0" w:line="158" w:lineRule="exact"/>
        <w:rPr>
          <w:rFonts w:ascii="Times New Roman" w:cs="Times New Roman" w:eastAsia="Times New Roman" w:hAnsi="Times New Roman"/>
          <w:sz w:val="22"/>
          <w:szCs w:val="22"/>
          <w:color w:val="010000"/>
        </w:rPr>
      </w:pPr>
    </w:p>
    <w:p>
      <w:pPr>
        <w:jc w:val="both"/>
        <w:ind w:firstLine="8"/>
        <w:spacing w:after="0" w:line="239" w:lineRule="auto"/>
        <w:tabs>
          <w:tab w:leader="none" w:pos="509"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Selling Expenses</w:t>
      </w:r>
      <w:r>
        <w:rPr>
          <w:rFonts w:ascii="Times New Roman" w:cs="Times New Roman" w:eastAsia="Times New Roman" w:hAnsi="Times New Roman"/>
          <w:sz w:val="22"/>
          <w:szCs w:val="22"/>
          <w:color w:val="auto"/>
        </w:rPr>
        <w:t>” shall mean all underwriting discounts and selling commissions applicable to the sale of Registrable Securities, the fees and expenses of any legal counsel (except as provided in the definition of “Registration Expenses”) and any other advisors any of the Investors engage and all similar fees and commissions relating to the Investors’ disposition of the Registrable Securities.</w:t>
      </w:r>
    </w:p>
    <w:p>
      <w:pPr>
        <w:spacing w:after="0" w:line="180"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9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Underwritten Offering</w:t>
      </w:r>
      <w:r>
        <w:rPr>
          <w:rFonts w:ascii="Times New Roman" w:cs="Times New Roman" w:eastAsia="Times New Roman" w:hAnsi="Times New Roman"/>
          <w:sz w:val="22"/>
          <w:szCs w:val="22"/>
          <w:color w:val="auto"/>
        </w:rPr>
        <w:t>” shall mean a public offering of Registrable Securities pursuant to an effective registration statement under the Securities Act (other than pursuant to a registration statement on Form S-4 or S-8 or any similar or successor form), which requires the Investors and the Company to enter into an underwriting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Section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Resale Registration Rights</w:t>
      </w:r>
    </w:p>
    <w:p>
      <w:pPr>
        <w:spacing w:after="0" w:line="18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u w:val="single" w:color="auto"/>
          <w:color w:val="auto"/>
        </w:rPr>
        <w:t>Resale Registration Rights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
        <w:spacing w:after="0" w:line="233" w:lineRule="auto"/>
        <w:tabs>
          <w:tab w:leader="none" w:pos="509"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Following demand by any Investor (provided that such demand shall not be made earlier than the three-month anniversary of the date of this Agreement), the Company shall file with the Commission a Registration Statement on Form S-3 (except if the Company is not then eligible to register for resale the Registrable Securities on Form S-3, in which case such registration shall be on another appropriate form in accordance with the Securities Act) covering the resale of the Registrable Securities by the Investors (the “</w:t>
      </w:r>
      <w:r>
        <w:rPr>
          <w:rFonts w:ascii="Times New Roman" w:cs="Times New Roman" w:eastAsia="Times New Roman" w:hAnsi="Times New Roman"/>
          <w:sz w:val="22"/>
          <w:szCs w:val="22"/>
          <w:u w:val="single" w:color="auto"/>
          <w:color w:val="auto"/>
        </w:rPr>
        <w:t>Resale Registration Shelf</w:t>
      </w:r>
      <w:r>
        <w:rPr>
          <w:rFonts w:ascii="Times New Roman" w:cs="Times New Roman" w:eastAsia="Times New Roman" w:hAnsi="Times New Roman"/>
          <w:sz w:val="22"/>
          <w:szCs w:val="22"/>
          <w:color w:val="auto"/>
        </w:rPr>
        <w:t xml:space="preserve">”), and the Company shall file such Resale Registration Shelf as promptly as reasonably practicable following such demand, and in any event within sixty (60) days of such demand. Such Resale Registration Shelf shall include a “final” prospectus, including the information required by Item 507 of Regulation S-K of the Securities Act, as provided by the Investors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Notwithstanding the foregoing, before filing the Resale Registration Shelf, the Company shall furnish to the Investors a copy of the Resale Registration Shelf and afford the Investors an opportunity to review and comment on the Resale Registration Shelf. The Company’s obligation pursuant to this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xml:space="preserve"> is conditioned upon the Investors providing the information contemplated in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w:t>
      </w:r>
    </w:p>
    <w:p>
      <w:pPr>
        <w:spacing w:after="0" w:line="187"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9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 shall use its reasonable best efforts to cause the Resale Registration Shelf and related prospectuses to become effective as promptly as practicable after filing. The Company shall use its reasonable best efforts to cause such Registration Statement to remain effective under the Securities Act until the earlier of the date (i) all Registrable Securities covered by the Resale Registration Shelf have been sold or may be sold freely without limitations or restrictions as to volume or manner of sale pursuant to Rule 144 or (ii) all Registrable Securities covered by the Resale Registration Shelf otherwise cease to be Registrable Securities pursuant to the definition of Registrable Securities. The Company shall promptly, and within two (2) business days after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8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22"/>
          <w:szCs w:val="22"/>
          <w:color w:val="auto"/>
        </w:rPr>
        <w:t>Company confirms the effectiveness of the Resale Registration Shelf with the Commission, notify the Investors of the effectiveness of the Resale Registration Shelf.</w:t>
      </w:r>
    </w:p>
    <w:p>
      <w:pPr>
        <w:spacing w:after="0" w:line="158" w:lineRule="exact"/>
        <w:rPr>
          <w:sz w:val="20"/>
          <w:szCs w:val="20"/>
          <w:color w:val="auto"/>
        </w:rPr>
      </w:pPr>
    </w:p>
    <w:p>
      <w:pPr>
        <w:ind w:firstLine="8"/>
        <w:spacing w:after="0" w:line="258" w:lineRule="auto"/>
        <w:tabs>
          <w:tab w:leader="none" w:pos="509" w:val="left"/>
        </w:tabs>
        <w:numPr>
          <w:ilvl w:val="0"/>
          <w:numId w:val="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anything contained herein to the contrary, the Company shall not be obligated to effect, or to take any action to effect, a registration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8"/>
        <w:spacing w:after="0" w:line="258" w:lineRule="auto"/>
        <w:tabs>
          <w:tab w:leader="none" w:pos="509"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Company has and maintains an effective Registration Statement on Form S-3ASR that provides for the resale of an unlimited number of securities by selling stockholders (a “</w:t>
      </w:r>
      <w:r>
        <w:rPr>
          <w:rFonts w:ascii="Times New Roman" w:cs="Times New Roman" w:eastAsia="Times New Roman" w:hAnsi="Times New Roman"/>
          <w:sz w:val="22"/>
          <w:szCs w:val="22"/>
          <w:u w:val="single" w:color="auto"/>
          <w:color w:val="auto"/>
        </w:rPr>
        <w:t>Company Registration Shelf</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the period forty-five (45) days prior to the Company’s good faith estimate of the date of filing of a Company Registration Shelf; or</w:t>
      </w:r>
    </w:p>
    <w:p>
      <w:pPr>
        <w:spacing w:after="0" w:line="158"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has caused a Registration Statement to become effective pursuant to this </w:t>
      </w:r>
      <w:r>
        <w:rPr>
          <w:rFonts w:ascii="Times New Roman" w:cs="Times New Roman" w:eastAsia="Times New Roman" w:hAnsi="Times New Roman"/>
          <w:sz w:val="22"/>
          <w:szCs w:val="22"/>
          <w:u w:val="single" w:color="auto"/>
          <w:color w:val="auto"/>
        </w:rPr>
        <w:t>Section 2.1</w:t>
      </w:r>
      <w:r>
        <w:rPr>
          <w:rFonts w:ascii="Times New Roman" w:cs="Times New Roman" w:eastAsia="Times New Roman" w:hAnsi="Times New Roman"/>
          <w:sz w:val="22"/>
          <w:szCs w:val="22"/>
          <w:color w:val="auto"/>
        </w:rPr>
        <w:t xml:space="preserve"> during the prior twelve (12) month period.</w:t>
      </w:r>
    </w:p>
    <w:p>
      <w:pPr>
        <w:spacing w:after="0" w:line="158" w:lineRule="exact"/>
        <w:rPr>
          <w:sz w:val="20"/>
          <w:szCs w:val="20"/>
          <w:color w:val="auto"/>
        </w:rPr>
      </w:pPr>
    </w:p>
    <w:p>
      <w:pPr>
        <w:jc w:val="both"/>
        <w:ind w:firstLine="8"/>
        <w:spacing w:after="0" w:line="234" w:lineRule="auto"/>
        <w:tabs>
          <w:tab w:leader="none" w:pos="50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Company has a Company Registration Shelf in place at any time in which the Investors make a demand pursuant to </w:t>
      </w:r>
      <w:r>
        <w:rPr>
          <w:rFonts w:ascii="Times New Roman" w:cs="Times New Roman" w:eastAsia="Times New Roman" w:hAnsi="Times New Roman"/>
          <w:sz w:val="22"/>
          <w:szCs w:val="22"/>
          <w:u w:val="single" w:color="auto"/>
          <w:color w:val="auto"/>
        </w:rPr>
        <w:t>Section 2.1(a)</w:t>
      </w:r>
      <w:r>
        <w:rPr>
          <w:rFonts w:ascii="Times New Roman" w:cs="Times New Roman" w:eastAsia="Times New Roman" w:hAnsi="Times New Roman"/>
          <w:sz w:val="22"/>
          <w:szCs w:val="22"/>
          <w:color w:val="auto"/>
        </w:rPr>
        <w:t>, the Company shall file with the Commission, as promptly as practicable, and in any event within fifteen (15) business days after such demand, a “final” prospectus supplement to its Company Registration Shelf covering the resale of the Registrable Securities by the Investors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shall not be obligated to file more than one Prospectus pursuant to this </w:t>
      </w:r>
      <w:r>
        <w:rPr>
          <w:rFonts w:ascii="Times New Roman" w:cs="Times New Roman" w:eastAsia="Times New Roman" w:hAnsi="Times New Roman"/>
          <w:sz w:val="22"/>
          <w:szCs w:val="22"/>
          <w:u w:val="single" w:color="auto"/>
          <w:color w:val="auto"/>
        </w:rPr>
        <w:t>Section 2.1(d)</w:t>
      </w:r>
      <w:r>
        <w:rPr>
          <w:rFonts w:ascii="Times New Roman" w:cs="Times New Roman" w:eastAsia="Times New Roman" w:hAnsi="Times New Roman"/>
          <w:sz w:val="22"/>
          <w:szCs w:val="22"/>
          <w:color w:val="auto"/>
        </w:rPr>
        <w:t xml:space="preserve"> in any six month period to add additional Registrable Securities to the Company Registration Shelf that were acquired by the Investors other than directly from the Company or in an underwritten public offering by the Company. The Prospectus shall include the information required under Item 507 of Regulation S-K of the Securities Act, which information shall be provided by the Investors in accordance with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Notwithstanding the foregoing, before filing the Prospectus, the Company shall furnish to the Investors a copy of the Prospectus and afford a single outside counsel (in addition to any inside counsel) of the Investors an opportunity to review and comment on the Prospectus.</w:t>
      </w:r>
    </w:p>
    <w:p>
      <w:pPr>
        <w:spacing w:after="0" w:line="179" w:lineRule="exact"/>
        <w:rPr>
          <w:rFonts w:ascii="Times New Roman" w:cs="Times New Roman" w:eastAsia="Times New Roman" w:hAnsi="Times New Roman"/>
          <w:sz w:val="22"/>
          <w:szCs w:val="22"/>
          <w:color w:val="010000"/>
        </w:rPr>
      </w:pPr>
    </w:p>
    <w:p>
      <w:pPr>
        <w:jc w:val="both"/>
        <w:ind w:firstLine="8"/>
        <w:spacing w:after="0" w:line="233" w:lineRule="auto"/>
        <w:tabs>
          <w:tab w:leader="none" w:pos="509" w:val="left"/>
        </w:tabs>
        <w:numPr>
          <w:ilvl w:val="0"/>
          <w:numId w:val="9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Deferral and Suspension</w:t>
      </w:r>
      <w:r>
        <w:rPr>
          <w:rFonts w:ascii="Times New Roman" w:cs="Times New Roman" w:eastAsia="Times New Roman" w:hAnsi="Times New Roman"/>
          <w:sz w:val="22"/>
          <w:szCs w:val="22"/>
          <w:color w:val="auto"/>
        </w:rPr>
        <w:t xml:space="preserve">. At any time after being obligated pursuant to this Agreement to file a Resale Registration Shelf or Prospectus, or after any such Resale Registration Shelf has become effective or such Prospectus has been filed with the Commission, the Company may defer the filing of, or suspend the use of, any such Resale Registration Shelf or Prospectus, upon giving written notice of such action to the Investors with a certificate signed by the Chief Executive Officer of the Company stating that in the good faith judgment of the Board, the filing, or use of, any such Resale Registration Shelf or Prospectus covering the Registrable Securities would be seriously detrimental to the Company or its stockholders at such time and that the Board concludes, as a result, that it is in the best interests of the Company and its stockholders to defer the filing or suspend the use of such Resale Registration Shelf or Prospectus at such time. The Company shall have the right to defer the filing of or suspend the use of such Resale Registration Shelf or Prospectus for a period of not more than one hundred twenty (120) days from the date the Company notifies the Investors of such deferral or suspension;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exercise the right contained in this </w:t>
      </w:r>
      <w:r>
        <w:rPr>
          <w:rFonts w:ascii="Times New Roman" w:cs="Times New Roman" w:eastAsia="Times New Roman" w:hAnsi="Times New Roman"/>
          <w:sz w:val="22"/>
          <w:szCs w:val="22"/>
          <w:u w:val="single" w:color="auto"/>
          <w:color w:val="auto"/>
        </w:rPr>
        <w:t>Section 2.1(e)</w:t>
      </w:r>
      <w:r>
        <w:rPr>
          <w:rFonts w:ascii="Times New Roman" w:cs="Times New Roman" w:eastAsia="Times New Roman" w:hAnsi="Times New Roman"/>
          <w:sz w:val="22"/>
          <w:szCs w:val="22"/>
          <w:color w:val="auto"/>
        </w:rPr>
        <w:t xml:space="preserve"> more than once in any twelve-month period. In the case of the suspension of use of any effective Resale Registration Shelf or Prospectus, the Investors, immediately upon receipt of notice thereof from the Company, shall discontinue any offers or sales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85" w:lineRule="exact"/>
        <w:rPr>
          <w:sz w:val="20"/>
          <w:szCs w:val="20"/>
          <w:color w:val="auto"/>
        </w:rPr>
      </w:pPr>
    </w:p>
    <w:p>
      <w:pPr>
        <w:jc w:val="both"/>
        <w:ind w:firstLine="509"/>
        <w:spacing w:after="0" w:line="234" w:lineRule="auto"/>
        <w:rPr>
          <w:sz w:val="20"/>
          <w:szCs w:val="20"/>
          <w:color w:val="auto"/>
        </w:rPr>
      </w:pPr>
      <w:r>
        <w:rPr>
          <w:rFonts w:ascii="Times New Roman" w:cs="Times New Roman" w:eastAsia="Times New Roman" w:hAnsi="Times New Roman"/>
          <w:sz w:val="22"/>
          <w:szCs w:val="22"/>
          <w:color w:val="auto"/>
        </w:rPr>
        <w:t xml:space="preserve">of Registrable Securities pursuant to such Resale Registration Shelf or Prospectus until advised in writing by the Company that the use of such Resale Registration Shelf or Prospectus may be resumed. In the case of a deferred Prospectus or Resale Registration Shelf filing, the Company shall provide prompt written notice to the Investors of (i) the Company’s decision to file, or seek effectiveness of, the Prospectus or Resale Registration Shelf, as the case may be, following such deferral and (ii) in the case of a Resale Registration Shelf, the effectiveness of such Resale Registration Shelf. In the case of either a suspension of use of, or deferred filing of, any Resale Registration Shelf or Prospectus, the Company shall not, during the pendency of such suspension or deferral, be required to take any action hereunder (including any action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hereof) with respect to the registration or sale of any Registrable Securities pursuant to any such Resale Registration Shelf, Company Registration Shelf or Prospectus.</w:t>
      </w:r>
    </w:p>
    <w:p>
      <w:pPr>
        <w:spacing w:after="0" w:line="183" w:lineRule="exact"/>
        <w:rPr>
          <w:sz w:val="20"/>
          <w:szCs w:val="20"/>
          <w:color w:val="auto"/>
        </w:rPr>
      </w:pPr>
    </w:p>
    <w:p>
      <w:pPr>
        <w:jc w:val="both"/>
        <w:ind w:firstLine="8"/>
        <w:spacing w:after="0" w:line="238" w:lineRule="auto"/>
        <w:tabs>
          <w:tab w:leader="none" w:pos="509" w:val="left"/>
        </w:tabs>
        <w:numPr>
          <w:ilvl w:val="0"/>
          <w:numId w:val="9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Securities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 xml:space="preserve"> below, any Resale Registration Shelf or Prospectus may include Other Securities, and may include securities of the Company being sold for the account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Other Securities are excluded first from such Registration Statement in order to comply with any applicable laws or request from any Governmental Entity, Nasdaq or any applicable listing agency. No Other Securities may be included in an Underwritten Offering pursuant to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without the consent of the Investors.</w:t>
      </w:r>
    </w:p>
    <w:p>
      <w:pPr>
        <w:spacing w:after="0" w:line="1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2.2.</w:t>
      </w:r>
      <w:r>
        <w:rPr>
          <w:sz w:val="20"/>
          <w:szCs w:val="20"/>
          <w:color w:val="auto"/>
        </w:rPr>
        <w:tab/>
      </w:r>
      <w:r>
        <w:rPr>
          <w:rFonts w:ascii="Times New Roman" w:cs="Times New Roman" w:eastAsia="Times New Roman" w:hAnsi="Times New Roman"/>
          <w:sz w:val="21"/>
          <w:szCs w:val="21"/>
          <w:u w:val="single" w:color="auto"/>
          <w:color w:val="auto"/>
        </w:rPr>
        <w:t>Sales and Underwritten Offerings of the Registrable Securities</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
        <w:spacing w:after="0" w:line="239" w:lineRule="auto"/>
        <w:tabs>
          <w:tab w:leader="none" w:pos="509"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any provision contained herein to the contrary, the Investors, collectively, shall and subject to the limitations set forth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be permitted (i) one Underwritten Offering per calendar year, but no more than three Underwritten Offerings in total, and (ii) no more than two Underwritten Offerings or Block Trades in any twelve-month period, to effect the sale or distribution of Registrable Securities.</w:t>
      </w:r>
    </w:p>
    <w:p>
      <w:pPr>
        <w:spacing w:after="0" w:line="180" w:lineRule="exact"/>
        <w:rPr>
          <w:rFonts w:ascii="Times New Roman" w:cs="Times New Roman" w:eastAsia="Times New Roman" w:hAnsi="Times New Roman"/>
          <w:sz w:val="22"/>
          <w:szCs w:val="22"/>
          <w:color w:val="010000"/>
        </w:rPr>
      </w:pPr>
    </w:p>
    <w:p>
      <w:pPr>
        <w:jc w:val="both"/>
        <w:ind w:firstLine="8"/>
        <w:spacing w:after="0" w:line="255" w:lineRule="auto"/>
        <w:tabs>
          <w:tab w:leader="none" w:pos="509"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Investors intend to effect an Underwritten Offering or Block Trade pursuant to a Resale Registration Shelf or Company Registration Shelf to sell or otherwise distribute Registrable Securities, they shall so advise the Company and provide as much notice to the Company as reasonably practicable (and, in either case, not less than fifteen (15) business days prior to the Investors’ request that the Company file a prospectus supplement to a Resale Registration Shelf or Company Registration Shelf).</w:t>
      </w:r>
    </w:p>
    <w:p>
      <w:pPr>
        <w:spacing w:after="0" w:line="161" w:lineRule="exact"/>
        <w:rPr>
          <w:rFonts w:ascii="Times New Roman" w:cs="Times New Roman" w:eastAsia="Times New Roman" w:hAnsi="Times New Roman"/>
          <w:sz w:val="21"/>
          <w:szCs w:val="21"/>
          <w:color w:val="010000"/>
        </w:rPr>
      </w:pPr>
    </w:p>
    <w:p>
      <w:pPr>
        <w:jc w:val="both"/>
        <w:ind w:firstLine="8"/>
        <w:spacing w:after="0" w:line="244" w:lineRule="auto"/>
        <w:tabs>
          <w:tab w:leader="none" w:pos="509"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connection with any offering initiated by the Investors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involving an underwriting of shares of Registrable Securities, the Investors shall be entitled to select the underwriter or underwriters for such offering, subject to the consent of the Company, such consent not to be unreasonably withheld, conditioned or delayed.</w:t>
      </w:r>
    </w:p>
    <w:p>
      <w:pPr>
        <w:spacing w:after="0" w:line="173"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connection with any offering initiated by the Investors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involving an Underwritten Offering of Registrable Securities, the Company shall not be required to include any of the Registrable Securities in such underwriting unless the Investors (i) enter into an underwriting agreement in customary form with the underwriter or underwriters, (ii) accept customary terms in such underwriting agreement with regard to representations and warranties relating to ownership of the Registrable Securities and authority and power to enter into such underwriting agreement and (iii) complete and execute all questionnaires, powers of attorney, custody agreements, indemnities and other documents as may be requested by such underwriter or</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85" w:lineRule="exact"/>
        <w:rPr>
          <w:sz w:val="20"/>
          <w:szCs w:val="20"/>
          <w:color w:val="auto"/>
        </w:rPr>
      </w:pPr>
    </w:p>
    <w:p>
      <w:pPr>
        <w:jc w:val="both"/>
        <w:ind w:firstLine="509"/>
        <w:spacing w:after="0" w:line="235" w:lineRule="auto"/>
        <w:rPr>
          <w:sz w:val="20"/>
          <w:szCs w:val="20"/>
          <w:color w:val="auto"/>
        </w:rPr>
      </w:pPr>
      <w:r>
        <w:rPr>
          <w:rFonts w:ascii="Times New Roman" w:cs="Times New Roman" w:eastAsia="Times New Roman" w:hAnsi="Times New Roman"/>
          <w:sz w:val="22"/>
          <w:szCs w:val="22"/>
          <w:color w:val="auto"/>
        </w:rPr>
        <w:t>underwriters. Further, the Company shall not be required to include any of the Registrable Securities in an Underwritten Offering or Block Trade if (Y) the underwriting/sale agreement proposed by the underwriter or underwriters contains representations, warranties or conditions that are not reasonable in light of the Company’s then-current business (for the avoidance of doubt, the limitation in this clause (Y) is not related to the Company’s then-current disclosure, which may need to be updated prior to such offering) or (Z) the underwriter, underwriters or the Investors require the Company to participate in any marketing, roadshow or comparable activity that may be required to complete the orderly sale of shares by the underwriter or underwriters.</w:t>
      </w:r>
    </w:p>
    <w:p>
      <w:pPr>
        <w:spacing w:after="0" w:line="183" w:lineRule="exact"/>
        <w:rPr>
          <w:sz w:val="20"/>
          <w:szCs w:val="20"/>
          <w:color w:val="auto"/>
        </w:rPr>
      </w:pPr>
    </w:p>
    <w:p>
      <w:pPr>
        <w:jc w:val="both"/>
        <w:ind w:firstLine="8"/>
        <w:spacing w:after="0" w:line="233" w:lineRule="auto"/>
        <w:tabs>
          <w:tab w:leader="none" w:pos="509" w:val="left"/>
        </w:tabs>
        <w:numPr>
          <w:ilvl w:val="0"/>
          <w:numId w:val="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total amount of securities to be sold in any offering initiated by the Investors pursuant to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involving an underwriting of shares of Registrable Securities exceeds the amount that the underwriters determine in their sole discretion is compatible with the success of the offering, then the Company shall be required to include in the offering only that number of such securities, including Registrable Securities (subject in each case to the cutback provisions set forth in this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 xml:space="preserve">), that the underwriters and the Company determine in their sole discretion shall not jeopardize the success of the offering. If the Underwritten Offering has been requested pursuant to </w:t>
      </w:r>
      <w:r>
        <w:rPr>
          <w:rFonts w:ascii="Times New Roman" w:cs="Times New Roman" w:eastAsia="Times New Roman" w:hAnsi="Times New Roman"/>
          <w:sz w:val="22"/>
          <w:szCs w:val="22"/>
          <w:u w:val="single" w:color="auto"/>
          <w:color w:val="auto"/>
        </w:rPr>
        <w:t>Section 2.2(a)</w:t>
      </w:r>
      <w:r>
        <w:rPr>
          <w:rFonts w:ascii="Times New Roman" w:cs="Times New Roman" w:eastAsia="Times New Roman" w:hAnsi="Times New Roman"/>
          <w:sz w:val="22"/>
          <w:szCs w:val="22"/>
          <w:color w:val="auto"/>
        </w:rPr>
        <w:t xml:space="preserve"> hereof, the number of shares that are entitled to be included in the registration and underwriting shall be allocated in the following manner: (a)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shares of Company equity securities that the Company desires to include in such registration shall be excluded and (b)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Registrable Securities requested to be included in such registration by the Investors shall be excluded. For the avoidance of doubt, no other person besides the Investors shall be entitled to participate in any Block Trade effected under this Agreement. To facilitate the allocation of shares in accordance with the above provisions, the Company or the underwriters may round down the number of shares allocated to any of the Investors to the nearest 100 shares.</w:t>
      </w:r>
    </w:p>
    <w:p>
      <w:pPr>
        <w:spacing w:after="0" w:line="185"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010000"/>
        </w:rPr>
        <w:t xml:space="preserve">2.3. </w:t>
      </w:r>
      <w:r>
        <w:rPr>
          <w:rFonts w:ascii="Times New Roman" w:cs="Times New Roman" w:eastAsia="Times New Roman" w:hAnsi="Times New Roman"/>
          <w:sz w:val="22"/>
          <w:szCs w:val="22"/>
          <w:u w:val="single" w:color="auto"/>
          <w:color w:val="000000"/>
        </w:rPr>
        <w:t>Fees and Expenses</w:t>
      </w:r>
      <w:r>
        <w:rPr>
          <w:rFonts w:ascii="Times New Roman" w:cs="Times New Roman" w:eastAsia="Times New Roman" w:hAnsi="Times New Roman"/>
          <w:sz w:val="22"/>
          <w:szCs w:val="22"/>
          <w:color w:val="000000"/>
        </w:rPr>
        <w:t>. All Registration Expenses incurred in connection with registrations pursuant to this Agreement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be borne by the Company. All Selling Expenses relating to securities registered on behalf of the Investors shall be borne by the Investors.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2.4. </w:t>
      </w:r>
      <w:r>
        <w:rPr>
          <w:rFonts w:ascii="Times New Roman" w:cs="Times New Roman" w:eastAsia="Times New Roman" w:hAnsi="Times New Roman"/>
          <w:sz w:val="22"/>
          <w:szCs w:val="22"/>
          <w:u w:val="single" w:color="auto"/>
          <w:color w:val="000000"/>
        </w:rPr>
        <w:t>Registration Procedures</w:t>
      </w:r>
      <w:r>
        <w:rPr>
          <w:rFonts w:ascii="Times New Roman" w:cs="Times New Roman" w:eastAsia="Times New Roman" w:hAnsi="Times New Roman"/>
          <w:sz w:val="22"/>
          <w:szCs w:val="22"/>
          <w:color w:val="000000"/>
        </w:rPr>
        <w:t>. In the case of each registration of Registrable Securities effected by the Company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2.1</w:t>
      </w:r>
      <w:r>
        <w:rPr>
          <w:rFonts w:ascii="Times New Roman" w:cs="Times New Roman" w:eastAsia="Times New Roman" w:hAnsi="Times New Roman"/>
          <w:sz w:val="22"/>
          <w:szCs w:val="22"/>
          <w:color w:val="000000"/>
        </w:rPr>
        <w:t xml:space="preserve"> hereof, the Company shall keep the Investors advised as to the initiation of each such registration and as to the status thereof. The Company shall use its reasonable best efforts, within the limits set forth in this </w:t>
      </w:r>
      <w:r>
        <w:rPr>
          <w:rFonts w:ascii="Times New Roman" w:cs="Times New Roman" w:eastAsia="Times New Roman" w:hAnsi="Times New Roman"/>
          <w:sz w:val="22"/>
          <w:szCs w:val="22"/>
          <w:u w:val="single" w:color="auto"/>
          <w:color w:val="000000"/>
        </w:rPr>
        <w:t>Section 2.4</w:t>
      </w:r>
      <w:r>
        <w:rPr>
          <w:rFonts w:ascii="Times New Roman" w:cs="Times New Roman" w:eastAsia="Times New Roman" w:hAnsi="Times New Roman"/>
          <w:sz w:val="22"/>
          <w:szCs w:val="22"/>
          <w:color w:val="000000"/>
        </w:rPr>
        <w:t>, to:</w:t>
      </w:r>
    </w:p>
    <w:p>
      <w:pPr>
        <w:spacing w:after="0" w:line="173" w:lineRule="exact"/>
        <w:rPr>
          <w:sz w:val="20"/>
          <w:szCs w:val="20"/>
          <w:color w:val="auto"/>
        </w:rPr>
      </w:pPr>
    </w:p>
    <w:p>
      <w:pPr>
        <w:jc w:val="both"/>
        <w:ind w:firstLine="8"/>
        <w:spacing w:after="0" w:line="239" w:lineRule="auto"/>
        <w:tabs>
          <w:tab w:leader="none" w:pos="509"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prepare and file with the Commission such amendments and supplements to such Registration Statement and the prospectuses used in connection with such Registration Statement as may be necessary to keep such Registration Statement effective and current and comply with the provisions of the Securities Act with respect to the disposition of all securities covered by such Registration Statement;</w:t>
      </w:r>
    </w:p>
    <w:p>
      <w:pPr>
        <w:spacing w:after="0" w:line="180"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 to the Investors such numbers of copies of a prospectus, including preliminary prospectuses, in conformity with the requirements of the Securities Act, and such other documents as the Investors may reasonably request in order to facilitate the disposition of Registrable Securities;</w:t>
      </w:r>
    </w:p>
    <w:p>
      <w:pPr>
        <w:spacing w:after="0" w:line="173"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use its reasonable best efforts to register and qualify the Registrable Securities covered by such Registration Statement under such other securities or blue sky laws of such jurisdictions in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8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 xml:space="preserve">the United States as shall be reasonably requested by the Investors;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shall not be required in connection therewith or as a condition thereto to qualify to do business or to file a general consent to service of process in any such states or jurisdictions;</w:t>
      </w:r>
    </w:p>
    <w:p>
      <w:pPr>
        <w:spacing w:after="0" w:line="173" w:lineRule="exact"/>
        <w:rPr>
          <w:sz w:val="20"/>
          <w:szCs w:val="20"/>
          <w:color w:val="auto"/>
        </w:rPr>
      </w:pPr>
    </w:p>
    <w:p>
      <w:pPr>
        <w:jc w:val="both"/>
        <w:ind w:firstLine="8"/>
        <w:spacing w:after="0" w:line="238" w:lineRule="auto"/>
        <w:tabs>
          <w:tab w:leader="none" w:pos="509"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in the event of any Underwritten Offering or Block Trade, and subject to </w:t>
      </w:r>
      <w:r>
        <w:rPr>
          <w:rFonts w:ascii="Times New Roman" w:cs="Times New Roman" w:eastAsia="Times New Roman" w:hAnsi="Times New Roman"/>
          <w:sz w:val="22"/>
          <w:szCs w:val="22"/>
          <w:u w:val="single" w:color="auto"/>
          <w:color w:val="auto"/>
        </w:rPr>
        <w:t>Section 2.2(d)</w:t>
      </w:r>
      <w:r>
        <w:rPr>
          <w:rFonts w:ascii="Times New Roman" w:cs="Times New Roman" w:eastAsia="Times New Roman" w:hAnsi="Times New Roman"/>
          <w:sz w:val="22"/>
          <w:szCs w:val="22"/>
          <w:color w:val="auto"/>
        </w:rPr>
        <w:t>, enter into and perform its obligations under an underwriting agreement or Block Trade sale agreement, in usual and customary form (including any “lock-ups” on behalf of the Company and its directors and officers), with the managing underwriter of such offering and take such other usual and customary action as the Investors may reasonably request in order to facilitate the disposition of such Registrable Securities;</w:t>
      </w:r>
    </w:p>
    <w:p>
      <w:pPr>
        <w:spacing w:after="0" w:line="176"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notify the Investors at any time when a prospectus relating to a Registration Statement covering any Registrable Securities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The Company shall use its reasonable best efforts to amend or supplement such prospectus in order to cause such prospectus not to include any untrue statement of a material fact or omit to state a material fact required to be stated therein or necessary to make the statements therein not misleading in the light of the circumstances then existing;</w:t>
      </w:r>
    </w:p>
    <w:p>
      <w:pPr>
        <w:spacing w:after="0" w:line="183" w:lineRule="exact"/>
        <w:rPr>
          <w:rFonts w:ascii="Times New Roman" w:cs="Times New Roman" w:eastAsia="Times New Roman" w:hAnsi="Times New Roman"/>
          <w:sz w:val="22"/>
          <w:szCs w:val="22"/>
          <w:color w:val="010000"/>
        </w:rPr>
      </w:pPr>
    </w:p>
    <w:p>
      <w:pPr>
        <w:ind w:firstLine="8"/>
        <w:spacing w:after="0" w:line="282" w:lineRule="auto"/>
        <w:tabs>
          <w:tab w:leader="none" w:pos="509"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provide a transfer agent and registrar for all Registrable Securities registered pursuant to such Registration Statement and, if required, a CUSIP number for all such Registrable Securities, in each case not later than the effective date of such registration;</w:t>
      </w:r>
    </w:p>
    <w:p>
      <w:pPr>
        <w:spacing w:after="0" w:line="134" w:lineRule="exact"/>
        <w:rPr>
          <w:rFonts w:ascii="Times New Roman" w:cs="Times New Roman" w:eastAsia="Times New Roman" w:hAnsi="Times New Roman"/>
          <w:sz w:val="21"/>
          <w:szCs w:val="21"/>
          <w:color w:val="010000"/>
        </w:rPr>
      </w:pPr>
    </w:p>
    <w:p>
      <w:pPr>
        <w:jc w:val="both"/>
        <w:ind w:firstLine="8"/>
        <w:spacing w:after="0" w:line="238" w:lineRule="auto"/>
        <w:tabs>
          <w:tab w:leader="none" w:pos="509"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requested by an Investor and permissible under applicable securities laws, use reasonable best efforts to cause the Company’s transfer agent to remove any restrictive legend from any Registrable Securities covered by the Registration Statement, within two (2) business days following such request;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Investor (and its broker, as applicable) shall be required to provide customary and appropriate letters of representation as may be reasonably requested by the Company, Company’s counsel or the transfer agent in connection therewith;</w:t>
      </w:r>
    </w:p>
    <w:p>
      <w:pPr>
        <w:spacing w:after="0" w:line="176" w:lineRule="exact"/>
        <w:rPr>
          <w:rFonts w:ascii="Times New Roman" w:cs="Times New Roman" w:eastAsia="Times New Roman" w:hAnsi="Times New Roman"/>
          <w:sz w:val="22"/>
          <w:szCs w:val="22"/>
          <w:color w:val="010000"/>
        </w:rPr>
      </w:pPr>
    </w:p>
    <w:p>
      <w:pPr>
        <w:jc w:val="both"/>
        <w:ind w:firstLine="8"/>
        <w:spacing w:after="0" w:line="236" w:lineRule="auto"/>
        <w:tabs>
          <w:tab w:leader="none" w:pos="509"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to be furnished, at the request of the Investors, on the date that Registrable Securities are delivered to underwriters for sale in connection with any Underwritten Offering or Block Trade, (i) an opinion, dated such date, of the counsel representing the Company for the purposes of such registration, in form and substance as is customarily given to underwriters in an underwritten secondary public offering by counsel to the Company, addressed to the underwriters, and (ii) a letter or letters from the independent certified public accountants of the Company, in form and substance as is customarily given by independent certified public accountants to underwriters in an underwritten public offering, addressed to the underwriters; and</w:t>
      </w:r>
    </w:p>
    <w:p>
      <w:pPr>
        <w:spacing w:after="0" w:line="181"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all such Common Stock that are Registrable Securities included in a Registration Statement pursuant to this Agreement to be listed on each securities exchange or other securities trading markets on which Common Stock is then listed.</w:t>
      </w:r>
    </w:p>
    <w:p>
      <w:pPr>
        <w:spacing w:after="0" w:line="15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2.5.</w:t>
      </w:r>
      <w:r>
        <w:rPr>
          <w:sz w:val="20"/>
          <w:szCs w:val="20"/>
          <w:color w:val="auto"/>
        </w:rPr>
        <w:tab/>
      </w:r>
      <w:r>
        <w:rPr>
          <w:rFonts w:ascii="Times New Roman" w:cs="Times New Roman" w:eastAsia="Times New Roman" w:hAnsi="Times New Roman"/>
          <w:sz w:val="21"/>
          <w:szCs w:val="21"/>
          <w:u w:val="single" w:color="auto"/>
          <w:color w:val="auto"/>
        </w:rPr>
        <w:t>The Investors’ Obligations</w:t>
      </w:r>
      <w:r>
        <w:rPr>
          <w:rFonts w:ascii="Times New Roman" w:cs="Times New Roman" w:eastAsia="Times New Roman" w:hAnsi="Times New Roman"/>
          <w:sz w:val="21"/>
          <w:szCs w:val="21"/>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85" w:lineRule="exact"/>
        <w:rPr>
          <w:sz w:val="20"/>
          <w:szCs w:val="20"/>
          <w:color w:val="auto"/>
        </w:rPr>
      </w:pPr>
    </w:p>
    <w:p>
      <w:pPr>
        <w:jc w:val="both"/>
        <w:ind w:firstLine="8"/>
        <w:spacing w:after="0" w:line="236" w:lineRule="auto"/>
        <w:tabs>
          <w:tab w:leader="none" w:pos="509"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Discontinuance of Distribution</w:t>
      </w:r>
      <w:r>
        <w:rPr>
          <w:rFonts w:ascii="Times New Roman" w:cs="Times New Roman" w:eastAsia="Times New Roman" w:hAnsi="Times New Roman"/>
          <w:sz w:val="22"/>
          <w:szCs w:val="22"/>
          <w:color w:val="auto"/>
        </w:rPr>
        <w:t xml:space="preserve">. The Investors agree that, upon receipt of any notice from the Company of the occurrence of any event of the kind described in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hereof, the Investors shall immediately discontinue disposition of Registrable Securities pursuant to any Registration Statement covering such Registrable Securities until the Investors’ receipt of the copies of the supplemented or amended prospectus contemplated by </w:t>
      </w:r>
      <w:r>
        <w:rPr>
          <w:rFonts w:ascii="Times New Roman" w:cs="Times New Roman" w:eastAsia="Times New Roman" w:hAnsi="Times New Roman"/>
          <w:sz w:val="22"/>
          <w:szCs w:val="22"/>
          <w:u w:val="single" w:color="auto"/>
          <w:color w:val="auto"/>
        </w:rPr>
        <w:t>Section 2.4(e)</w:t>
      </w:r>
      <w:r>
        <w:rPr>
          <w:rFonts w:ascii="Times New Roman" w:cs="Times New Roman" w:eastAsia="Times New Roman" w:hAnsi="Times New Roman"/>
          <w:sz w:val="22"/>
          <w:szCs w:val="22"/>
          <w:color w:val="auto"/>
        </w:rPr>
        <w:t xml:space="preserve"> hereof or receipt of notice that no supplement or amendment is required and that the Investors’ disposition of the Registrable Securities may be resumed. The Company may provide appropriate stop orders to enforce the provisions of this </w:t>
      </w:r>
      <w:r>
        <w:rPr>
          <w:rFonts w:ascii="Times New Roman" w:cs="Times New Roman" w:eastAsia="Times New Roman" w:hAnsi="Times New Roman"/>
          <w:sz w:val="22"/>
          <w:szCs w:val="22"/>
          <w:u w:val="single" w:color="auto"/>
          <w:color w:val="auto"/>
        </w:rPr>
        <w:t>Section 2.5(a)</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010000"/>
        </w:rPr>
      </w:pPr>
    </w:p>
    <w:p>
      <w:pPr>
        <w:jc w:val="both"/>
        <w:ind w:firstLine="8"/>
        <w:spacing w:after="0" w:line="244" w:lineRule="auto"/>
        <w:tabs>
          <w:tab w:leader="none" w:pos="509" w:val="left"/>
        </w:tabs>
        <w:numPr>
          <w:ilvl w:val="0"/>
          <w:numId w:val="1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Compliance with Prospectus Delivery Requirements</w:t>
      </w:r>
      <w:r>
        <w:rPr>
          <w:rFonts w:ascii="Times New Roman" w:cs="Times New Roman" w:eastAsia="Times New Roman" w:hAnsi="Times New Roman"/>
          <w:sz w:val="22"/>
          <w:szCs w:val="22"/>
          <w:color w:val="auto"/>
        </w:rPr>
        <w:t>. The Investors covenant and agree that they shall comply with the prospectus delivery requirements of the Securities Act as applicable to them or an exemption therefrom in connection with sales of Registrable Securities pursuant to any Registration Statement filed by the Company pursuant to this Agreement.</w:t>
      </w:r>
    </w:p>
    <w:p>
      <w:pPr>
        <w:spacing w:after="0" w:line="173" w:lineRule="exact"/>
        <w:rPr>
          <w:rFonts w:ascii="Times New Roman" w:cs="Times New Roman" w:eastAsia="Times New Roman" w:hAnsi="Times New Roman"/>
          <w:sz w:val="22"/>
          <w:szCs w:val="22"/>
          <w:color w:val="010000"/>
        </w:rPr>
      </w:pPr>
    </w:p>
    <w:p>
      <w:pPr>
        <w:jc w:val="both"/>
        <w:ind w:right="20" w:firstLine="8"/>
        <w:spacing w:after="0" w:line="244" w:lineRule="auto"/>
        <w:tabs>
          <w:tab w:leader="none" w:pos="52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Notification of Sale of Registrable Securities</w:t>
      </w:r>
      <w:r>
        <w:rPr>
          <w:rFonts w:ascii="Times New Roman" w:cs="Times New Roman" w:eastAsia="Times New Roman" w:hAnsi="Times New Roman"/>
          <w:sz w:val="22"/>
          <w:szCs w:val="22"/>
          <w:color w:val="auto"/>
        </w:rPr>
        <w:t>. The Investors covenant and agree that they shall notify the Company following the sale of Registrable Securities to a third party as promptly as reasonably practicable, and in any event within thirty (30) days, following the sale of such Registrable Securities.</w:t>
      </w:r>
    </w:p>
    <w:p>
      <w:pPr>
        <w:spacing w:after="0" w:line="1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2.6.</w:t>
      </w:r>
      <w:r>
        <w:rPr>
          <w:sz w:val="20"/>
          <w:szCs w:val="20"/>
          <w:color w:val="auto"/>
        </w:rPr>
        <w:tab/>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
        <w:spacing w:after="0" w:line="232" w:lineRule="auto"/>
        <w:tabs>
          <w:tab w:leader="none" w:pos="509" w:val="left"/>
        </w:tabs>
        <w:numPr>
          <w:ilvl w:val="0"/>
          <w:numId w:val="1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permitted by law, the Company shall indemnify the Investors, and, as applicable, their officers, directors, and constituent partners, legal counsel for each Investor and each Person controlling the Investors, with respect to which registration, related qualification, or related compliance of Registrable Securities has been effected pursuant to this Agreement, and each underwriter, if any, and each Person who controls any underwriter within the meaning of the Securities Act against all claims, losses, damages, or liabilities (or actions in respect thereof) to the extent such claims, losses, damages, or liabilities arise out of or are based upon (i) any untrue statement (or alleged untrue statement) of a material fact contained in any prospectus or other document (including any related Registration Statement) incident to any such registration, qualification, or compliance, or (ii) any omission (or alleged omission) to state therein a material fact required to be stated therein or necessary to make the statements therein not misleading, or (iii) any violation or alleged violation by the Company of the Securities Act, the Exchange Act, any state securities law, or any rule or regulation promulgated under the Securities Act, the Exchange Act or any state securities law applicable to the Company and relating to action or inaction required of the Company in connection with any such registration, qualification, or compliance; and the Company shall pay as incurred to the Investors, each such underwriter, and each Person who controls the Investors or underwriter, any reasonable out-of-pocket legal expenses and any other expenses reasonably incurred in connection with investigating or defending any such claim, loss, damage, liability, or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indemnity contained in this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shall not apply to amounts paid in settlement of any such claim, loss, damage, liability, or action if settlement is effected without the consent of the Company (which consent shall not unreasonably be withheld);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Company shall not be liable in any such case to the extent that any such claim, loss, damage, liability, or expense arises out of or is based upon any violation by such Investor of the obligations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2.5</w:t>
      </w:r>
      <w:r>
        <w:rPr>
          <w:rFonts w:ascii="Times New Roman" w:cs="Times New Roman" w:eastAsia="Times New Roman" w:hAnsi="Times New Roman"/>
          <w:sz w:val="22"/>
          <w:szCs w:val="22"/>
          <w:color w:val="auto"/>
        </w:rPr>
        <w:t xml:space="preserve"> hereof or any untrue statement or omission contained in such prospectus or other document based upon written information furnished to the Company by the Investors, such underwriter, 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such controlling Person and stated to be for use therein or any bad faith or willful misconduct of the Investor.</w:t>
      </w:r>
    </w:p>
    <w:p>
      <w:pPr>
        <w:spacing w:after="0" w:line="206" w:lineRule="exact"/>
        <w:rPr>
          <w:sz w:val="20"/>
          <w:szCs w:val="20"/>
          <w:color w:val="auto"/>
        </w:rPr>
      </w:pPr>
    </w:p>
    <w:p>
      <w:pPr>
        <w:jc w:val="both"/>
        <w:ind w:firstLine="8"/>
        <w:spacing w:after="0" w:line="232" w:lineRule="auto"/>
        <w:tabs>
          <w:tab w:leader="none" w:pos="509"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To the extent permitted by law, each Investor (severally and not jointly) shall, if Registrable Securities held by such Investor are included for sale in the registration and related qualification and compliance effected pursuant to this Agreement, indemnify the Company, each of its directors, each officer of the Company who signs the applicable Registration Statement, each legal counsel and each underwriter of the Company’s securities covered by such a Registration Statement, each Person who controls the Company or such underwriter within the meaning of the Securities Act against all claims, losses, damages, and liabilities (or actions in respect thereof) arising out of or based upon (i) any untrue statement (or alleged untrue statement) of a material fact contained in any such Registration Statement, or related document, or (ii) any omission (or alleged omission) to state therein a material fact required to be stated therein or necessary to make the statements therein not misleading, or (iii) any violation or alleged violation by such Investor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hereof, the Securities Act, the Exchange Act, any state securities law, or any rule or regulation promulgated under the Securities Act, the Exchange Act or any state securities law applicable to such Investor and relating to action or inaction required of such Investor in connection with any such registration and related qualification and compliance, and shall pay as incurred to such persons, any reasonable out-of-pocket legal expenses and any other expenses reasonably incurred in connection with investigating or defending any such claim, loss, damage, liability, or action, in each case only to the extent that such untrue statement (or alleged untrue statement) or omission (or alleged omission) is made in (and such violation pertains to) such Registration Statement or related document in reliance upon and in conformity with written information furnished to the Company by such Investor and stated to be specifically for use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indemnity contained in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shall not apply to amounts paid in settlement of any such claim, loss, damage, liability, or action if settlement is effected without the consent of such Investor (which consent shall not unreasonably be withheld);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the Investor shall not be liable in any such case to the extent that any such claim, loss, damage, liability or expense arises out of or is based upon any bad faith willful misconduct or gross negligence of the Company;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such Investor’s liability under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xml:space="preserve"> (when combined with any amounts such Investor is liable for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shall not exceed such Investor’s net proceeds from the offering of securities made in connection with such registration.</w:t>
      </w:r>
    </w:p>
    <w:p>
      <w:pPr>
        <w:spacing w:after="0" w:line="180" w:lineRule="exact"/>
        <w:rPr>
          <w:rFonts w:ascii="Times New Roman" w:cs="Times New Roman" w:eastAsia="Times New Roman" w:hAnsi="Times New Roman"/>
          <w:sz w:val="22"/>
          <w:szCs w:val="22"/>
          <w:color w:val="010000"/>
        </w:rPr>
      </w:pPr>
    </w:p>
    <w:p>
      <w:pPr>
        <w:jc w:val="both"/>
        <w:ind w:firstLine="8"/>
        <w:spacing w:after="0" w:line="233" w:lineRule="auto"/>
        <w:tabs>
          <w:tab w:leader="none" w:pos="509" w:val="left"/>
        </w:tabs>
        <w:numPr>
          <w:ilvl w:val="0"/>
          <w:numId w:val="1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Promptly after receipt by an indemnified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of notice of the commencement of any action, such indemnified party shall, if a claim in respect thereof is to be made against an indemnifying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notify the indemnifying party in writing of the commencement thereof and generally summarize such action. The indemnifying party shall have the right to participate in and to assume the defense of such claim at its own expense;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Investors in conducting the defense of such action, suit, or proceeding by reason of recognized claims for indemnity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8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 xml:space="preserve">indemnifying party, to the extent so prejudiced, of any liability to the indemnified party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but the omission so to notify the indemnifying party shall not relieve such party of any liability that such party may have to any indemnified party otherwise than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8"/>
        <w:spacing w:after="0" w:line="233" w:lineRule="auto"/>
        <w:tabs>
          <w:tab w:leader="none" w:pos="509"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If the indemnification provided for in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is held by a court of competent jurisdiction to be unavailable to an indemnified party with respect to any loss, liability, claim, damage, or expense referred to therein,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In no event, however, shall (i) any amount due for contribution hereunder be in excess of the amount that would otherwise be due under </w:t>
      </w:r>
      <w:r>
        <w:rPr>
          <w:rFonts w:ascii="Times New Roman" w:cs="Times New Roman" w:eastAsia="Times New Roman" w:hAnsi="Times New Roman"/>
          <w:sz w:val="22"/>
          <w:szCs w:val="22"/>
          <w:u w:val="single" w:color="auto"/>
          <w:color w:val="auto"/>
        </w:rPr>
        <w:t>Section 2.6(a)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as applicable, based on the limitations of such provisions and (ii) a Person found by a court of competent jurisdiction to be liable for fraudulent misrepresentation (within the meaning of the Securities Act), bad faith or willful misconduct be entitled to contribution from a Person who was not also found by a court of competent jurisdiction to be liable for such fraudulent misrepresentation (within the meaning of the Securities Act), bad faith or willful misconduct.</w:t>
      </w:r>
    </w:p>
    <w:p>
      <w:pPr>
        <w:spacing w:after="0" w:line="177" w:lineRule="exact"/>
        <w:rPr>
          <w:rFonts w:ascii="Times New Roman" w:cs="Times New Roman" w:eastAsia="Times New Roman" w:hAnsi="Times New Roman"/>
          <w:sz w:val="22"/>
          <w:szCs w:val="22"/>
          <w:color w:val="010000"/>
        </w:rPr>
      </w:pPr>
    </w:p>
    <w:p>
      <w:pPr>
        <w:jc w:val="both"/>
        <w:ind w:firstLine="8"/>
        <w:spacing w:after="0" w:line="236" w:lineRule="auto"/>
        <w:tabs>
          <w:tab w:leader="none" w:pos="509"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Notwithstanding the foregoing, to the extent that the provisions on indemnification and contribution contained in the underwriting agreement entered into in connection with an Underwritten Offering, or the Block Trade sale agreement, are in conflict with the foregoing provisions, the provisions in the underwriting agreement or Block Trade sale agreement shall control;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failure of the underwriting agreement to provide for or address a matter provided for or addressed by the foregoing provisions shall not be a conflict between the underwriting agreement or the Block Trade sale agreement and the foregoing provisions.</w:t>
      </w:r>
    </w:p>
    <w:p>
      <w:pPr>
        <w:spacing w:after="0" w:line="181"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10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obligations of the Company and the Investors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completion of any offering of Registrable Securities in a Registration Statement under this Agreement or otherwise.</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u w:val="single" w:color="auto"/>
          <w:color w:val="000000"/>
        </w:rPr>
        <w:t>Information</w:t>
      </w:r>
      <w:r>
        <w:rPr>
          <w:rFonts w:ascii="Times New Roman" w:cs="Times New Roman" w:eastAsia="Times New Roman" w:hAnsi="Times New Roman"/>
          <w:sz w:val="22"/>
          <w:szCs w:val="22"/>
          <w:color w:val="000000"/>
        </w:rPr>
        <w:t>. The Investors shall furnish to the Company such information regarding the Investors and the distribution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proposed by the Investors as the Company may reasonably request and as shall be reasonably required in connection with any registration referred to in this Agreement. The Investors agree to, as promptly as practicable (and in any event prior to any sales made pursuant to a prospectus), furnish to the Company all information required to be disclosed in order to make the information previously furnished to the Company by the Investors not misleading. The Investors agree to keep confidential the receipt of any notice received pursuant to </w:t>
      </w:r>
      <w:r>
        <w:rPr>
          <w:rFonts w:ascii="Times New Roman" w:cs="Times New Roman" w:eastAsia="Times New Roman" w:hAnsi="Times New Roman"/>
          <w:sz w:val="22"/>
          <w:szCs w:val="22"/>
          <w:u w:val="single" w:color="auto"/>
          <w:color w:val="000000"/>
        </w:rPr>
        <w:t>Section 2.4(e)</w:t>
      </w:r>
      <w:r>
        <w:rPr>
          <w:rFonts w:ascii="Times New Roman" w:cs="Times New Roman" w:eastAsia="Times New Roman" w:hAnsi="Times New Roman"/>
          <w:sz w:val="22"/>
          <w:szCs w:val="22"/>
          <w:color w:val="000000"/>
        </w:rPr>
        <w:t xml:space="preserve"> and the contents thereof, except as required pursuant to applicable law. Notwithstanding anything to the contrary herein, the Company shall be under no obligation to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8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 xml:space="preserve">name the Investors in any Registration Statement or include such Investors’ Registrable Securities if the Investors have not provided the information required by this </w:t>
      </w:r>
      <w:r>
        <w:rPr>
          <w:rFonts w:ascii="Times New Roman" w:cs="Times New Roman" w:eastAsia="Times New Roman" w:hAnsi="Times New Roman"/>
          <w:sz w:val="22"/>
          <w:szCs w:val="22"/>
          <w:u w:val="single" w:color="auto"/>
          <w:color w:val="auto"/>
        </w:rPr>
        <w:t>Section 2.7</w:t>
      </w:r>
      <w:r>
        <w:rPr>
          <w:rFonts w:ascii="Times New Roman" w:cs="Times New Roman" w:eastAsia="Times New Roman" w:hAnsi="Times New Roman"/>
          <w:sz w:val="22"/>
          <w:szCs w:val="22"/>
          <w:color w:val="auto"/>
        </w:rPr>
        <w:t xml:space="preserve"> with respect to the Investors as a selling securityholder in such Registration Statement or any related prospectus.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2.8. </w:t>
      </w:r>
      <w:r>
        <w:rPr>
          <w:rFonts w:ascii="Times New Roman" w:cs="Times New Roman" w:eastAsia="Times New Roman" w:hAnsi="Times New Roman"/>
          <w:sz w:val="22"/>
          <w:szCs w:val="22"/>
          <w:u w:val="single" w:color="auto"/>
          <w:color w:val="000000"/>
        </w:rPr>
        <w:t>Rule 144 Requirements</w:t>
      </w:r>
      <w:r>
        <w:rPr>
          <w:rFonts w:ascii="Times New Roman" w:cs="Times New Roman" w:eastAsia="Times New Roman" w:hAnsi="Times New Roman"/>
          <w:sz w:val="22"/>
          <w:szCs w:val="22"/>
          <w:color w:val="000000"/>
        </w:rPr>
        <w:t>. With a view to making available to the Investors the benefits of Rule 144 and any other rule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regulation of the Commission that may at any time permit the Investors to sell Registrable Securities to the public without registration, the Company agrees to use its reasonable best efforts to:</w:t>
      </w:r>
    </w:p>
    <w:p>
      <w:pPr>
        <w:spacing w:after="0" w:line="173" w:lineRule="exact"/>
        <w:rPr>
          <w:sz w:val="20"/>
          <w:szCs w:val="20"/>
          <w:color w:val="auto"/>
        </w:rPr>
      </w:pPr>
    </w:p>
    <w:p>
      <w:pPr>
        <w:ind w:firstLine="8"/>
        <w:spacing w:after="0" w:line="258" w:lineRule="auto"/>
        <w:tabs>
          <w:tab w:leader="none" w:pos="509"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make and keep public information available, as those terms are understood and defined in Rule 144 at all times after the date hereof;</w:t>
      </w:r>
    </w:p>
    <w:p>
      <w:pPr>
        <w:spacing w:after="0" w:line="158" w:lineRule="exact"/>
        <w:rPr>
          <w:rFonts w:ascii="Times New Roman" w:cs="Times New Roman" w:eastAsia="Times New Roman" w:hAnsi="Times New Roman"/>
          <w:sz w:val="22"/>
          <w:szCs w:val="22"/>
          <w:color w:val="010000"/>
        </w:rPr>
      </w:pPr>
    </w:p>
    <w:p>
      <w:pPr>
        <w:ind w:firstLine="8"/>
        <w:spacing w:after="0" w:line="258" w:lineRule="auto"/>
        <w:tabs>
          <w:tab w:leader="none" w:pos="509"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file with the Commission in a timely manner all reports and other documents required of the Company under the Securities Act and the Exchange Act;</w:t>
      </w:r>
    </w:p>
    <w:p>
      <w:pPr>
        <w:spacing w:after="0" w:line="123" w:lineRule="exact"/>
        <w:rPr>
          <w:rFonts w:ascii="Times New Roman" w:cs="Times New Roman" w:eastAsia="Times New Roman" w:hAnsi="Times New Roman"/>
          <w:sz w:val="22"/>
          <w:szCs w:val="22"/>
          <w:color w:val="010000"/>
        </w:rPr>
      </w:pPr>
    </w:p>
    <w:p>
      <w:pPr>
        <w:jc w:val="both"/>
        <w:ind w:firstLine="8"/>
        <w:spacing w:after="0" w:line="272" w:lineRule="exact"/>
        <w:tabs>
          <w:tab w:leader="none" w:pos="509"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prior to the filing of the Registration Statement or any amendment thereto (whether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effective or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effective), and prior to the filing of any prospectus or prospectus supplement related thereto, to provide the Investors with copies of all of the pages thereof (if any) that reference the Investors; and</w:t>
      </w:r>
    </w:p>
    <w:p>
      <w:pPr>
        <w:spacing w:after="0" w:line="177" w:lineRule="exact"/>
        <w:rPr>
          <w:rFonts w:ascii="Times New Roman" w:cs="Times New Roman" w:eastAsia="Times New Roman" w:hAnsi="Times New Roman"/>
          <w:sz w:val="22"/>
          <w:szCs w:val="22"/>
          <w:color w:val="010000"/>
        </w:rPr>
      </w:pPr>
    </w:p>
    <w:p>
      <w:pPr>
        <w:jc w:val="both"/>
        <w:ind w:firstLine="8"/>
        <w:spacing w:after="0" w:line="238" w:lineRule="auto"/>
        <w:tabs>
          <w:tab w:leader="none" w:pos="509" w:val="left"/>
        </w:tabs>
        <w:numPr>
          <w:ilvl w:val="0"/>
          <w:numId w:val="10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furnish to any Investor, so long as the Investor owns any Registrable Securities, forthwith upon request (i) a written statement by the Company that it has complied with the reporting requirements of Rule 144, (ii) a copy of the most recent annual or quarterly report of the Company and such other reports and documents so filed by the Company, and (iii) such other information as may be reasonably requested by an Investor in availing itself of any rule or regulation of the Commission which permits an Investor to sell any such securities without registration.</w:t>
      </w:r>
    </w:p>
    <w:p>
      <w:pPr>
        <w:spacing w:after="0" w:line="1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10000"/>
        </w:rPr>
        <w:t xml:space="preserve">2.9. </w:t>
      </w:r>
      <w:r>
        <w:rPr>
          <w:rFonts w:ascii="Times New Roman" w:cs="Times New Roman" w:eastAsia="Times New Roman" w:hAnsi="Times New Roman"/>
          <w:sz w:val="22"/>
          <w:szCs w:val="22"/>
          <w:u w:val="single" w:color="auto"/>
          <w:color w:val="000000"/>
        </w:rPr>
        <w:t>Limitations on Subsequent Registration Rights</w:t>
      </w:r>
      <w:r>
        <w:rPr>
          <w:rFonts w:ascii="Times New Roman" w:cs="Times New Roman" w:eastAsia="Times New Roman" w:hAnsi="Times New Roman"/>
          <w:sz w:val="22"/>
          <w:szCs w:val="22"/>
          <w:color w:val="000000"/>
        </w:rPr>
        <w:t>. From and after the date of this Agreement, the Company shall not, without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prior written consent of the Investors, enter into any agreement with any holder or prospective holder of any securities of the Company which would provide to such holder rights with respect to the registration of such securities under the Securities Act or the Exchange Act that would conflict with or adversely affect any of the rights provided to the Investors in this </w:t>
      </w:r>
      <w:r>
        <w:rPr>
          <w:rFonts w:ascii="Times New Roman" w:cs="Times New Roman" w:eastAsia="Times New Roman" w:hAnsi="Times New Roman"/>
          <w:sz w:val="22"/>
          <w:szCs w:val="22"/>
          <w:u w:val="single" w:color="auto"/>
          <w:color w:val="000000"/>
        </w:rPr>
        <w:t>Section 2</w:t>
      </w:r>
      <w:r>
        <w:rPr>
          <w:rFonts w:ascii="Times New Roman" w:cs="Times New Roman" w:eastAsia="Times New Roman" w:hAnsi="Times New Roman"/>
          <w:sz w:val="22"/>
          <w:szCs w:val="22"/>
          <w:color w:val="000000"/>
        </w:rPr>
        <w:t xml:space="preserve">; it being understood and agreed that any subsequent agreement of the Company with any holder or prospective holder of any securities of the Company of the same class (or convertible into or exchange for securities of the same class) as the Registrable Securities granting such Person rights under this </w:t>
      </w:r>
      <w:r>
        <w:rPr>
          <w:rFonts w:ascii="Times New Roman" w:cs="Times New Roman" w:eastAsia="Times New Roman" w:hAnsi="Times New Roman"/>
          <w:sz w:val="22"/>
          <w:szCs w:val="22"/>
          <w:u w:val="single" w:color="auto"/>
          <w:color w:val="000000"/>
        </w:rPr>
        <w:t>Section 2</w:t>
      </w:r>
      <w:r>
        <w:rPr>
          <w:rFonts w:ascii="Times New Roman" w:cs="Times New Roman" w:eastAsia="Times New Roman" w:hAnsi="Times New Roman"/>
          <w:sz w:val="22"/>
          <w:szCs w:val="22"/>
          <w:color w:val="000000"/>
        </w:rPr>
        <w:t xml:space="preserve"> substantially equivalent to the rights of the Investors under this </w:t>
      </w:r>
      <w:r>
        <w:rPr>
          <w:rFonts w:ascii="Times New Roman" w:cs="Times New Roman" w:eastAsia="Times New Roman" w:hAnsi="Times New Roman"/>
          <w:sz w:val="22"/>
          <w:szCs w:val="22"/>
          <w:u w:val="single" w:color="auto"/>
          <w:color w:val="000000"/>
        </w:rPr>
        <w:t>Section 2</w:t>
      </w:r>
      <w:r>
        <w:rPr>
          <w:rFonts w:ascii="Times New Roman" w:cs="Times New Roman" w:eastAsia="Times New Roman" w:hAnsi="Times New Roman"/>
          <w:sz w:val="22"/>
          <w:szCs w:val="22"/>
          <w:color w:val="000000"/>
        </w:rPr>
        <w:t xml:space="preserve"> will not be prohibited by the terms of this </w:t>
      </w:r>
      <w:r>
        <w:rPr>
          <w:rFonts w:ascii="Times New Roman" w:cs="Times New Roman" w:eastAsia="Times New Roman" w:hAnsi="Times New Roman"/>
          <w:sz w:val="22"/>
          <w:szCs w:val="22"/>
          <w:u w:val="single" w:color="auto"/>
          <w:color w:val="000000"/>
        </w:rPr>
        <w:t>Section 2.9</w:t>
      </w:r>
      <w:r>
        <w:rPr>
          <w:rFonts w:ascii="Times New Roman" w:cs="Times New Roman" w:eastAsia="Times New Roman" w:hAnsi="Times New Roman"/>
          <w:sz w:val="22"/>
          <w:szCs w:val="22"/>
          <w:color w:val="000000"/>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Section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010000"/>
        </w:rPr>
        <w:t xml:space="preserve">3.1. </w:t>
      </w:r>
      <w:r>
        <w:rPr>
          <w:rFonts w:ascii="Times New Roman" w:cs="Times New Roman" w:eastAsia="Times New Roman" w:hAnsi="Times New Roman"/>
          <w:sz w:val="22"/>
          <w:szCs w:val="22"/>
          <w:u w:val="single" w:color="auto"/>
          <w:color w:val="000000"/>
        </w:rPr>
        <w:t>Amendment</w:t>
      </w:r>
      <w:r>
        <w:rPr>
          <w:rFonts w:ascii="Times New Roman" w:cs="Times New Roman" w:eastAsia="Times New Roman" w:hAnsi="Times New Roman"/>
          <w:sz w:val="22"/>
          <w:szCs w:val="22"/>
          <w:color w:val="000000"/>
        </w:rPr>
        <w:t>. No amendment, alteration or modification of any of the provisions of this Agreement shall be binding unless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made in writing and signed by each of the Company and the Investors.</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Injunctive Relief</w:t>
      </w:r>
      <w:r>
        <w:rPr>
          <w:rFonts w:ascii="Times New Roman" w:cs="Times New Roman" w:eastAsia="Times New Roman" w:hAnsi="Times New Roman"/>
          <w:sz w:val="22"/>
          <w:szCs w:val="22"/>
          <w:color w:val="000000"/>
        </w:rPr>
        <w:t>. It is hereby agreed and acknowledged that it shall be impossible to measure in money the damages that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would be suffered if the parties fail to comply with any of the obligations herein imposed on them and that in the event of any such failure, an aggrieved Person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85" w:lineRule="exact"/>
        <w:rPr>
          <w:sz w:val="20"/>
          <w:szCs w:val="20"/>
          <w:color w:val="auto"/>
        </w:rPr>
      </w:pPr>
    </w:p>
    <w:p>
      <w:pPr>
        <w:jc w:val="both"/>
        <w:ind w:firstLine="509"/>
        <w:spacing w:after="0" w:line="239" w:lineRule="auto"/>
        <w:rPr>
          <w:sz w:val="20"/>
          <w:szCs w:val="20"/>
          <w:color w:val="auto"/>
        </w:rPr>
      </w:pPr>
      <w:r>
        <w:rPr>
          <w:rFonts w:ascii="Times New Roman" w:cs="Times New Roman" w:eastAsia="Times New Roman" w:hAnsi="Times New Roman"/>
          <w:sz w:val="22"/>
          <w:szCs w:val="22"/>
          <w:color w:val="auto"/>
        </w:rPr>
        <w:t>shall be irreparably damaged and shall not have an adequate remedy at law. Any such Person shall, therefore, be entitled (in addition to any other remedy to which it may be entitled in law or in equity) to injunctive relief, including, without limitation, specific performance, to enforce such obligations, and if any action should be brought in equity to enforce any of the provisions of this Agreement, none of the parties hereto shall raise the defense that there is an adequate remedy at law.</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u w:val="single" w:color="auto"/>
          <w:color w:val="000000"/>
        </w:rPr>
        <w:t>Notices</w:t>
      </w:r>
      <w:r>
        <w:rPr>
          <w:rFonts w:ascii="Times New Roman" w:cs="Times New Roman" w:eastAsia="Times New Roman" w:hAnsi="Times New Roman"/>
          <w:sz w:val="22"/>
          <w:szCs w:val="22"/>
          <w:color w:val="000000"/>
        </w:rPr>
        <w:t>. All notices required or permitted under this Agreement must be in writing and sent to the address or facsimile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number identified below. Notices must be given: (a) by personal delivery, with receipt acknowledged; (b) by electronic mail followed by hard copy delivered by the methods under </w:t>
      </w:r>
      <w:r>
        <w:rPr>
          <w:rFonts w:ascii="Times New Roman" w:cs="Times New Roman" w:eastAsia="Times New Roman" w:hAnsi="Times New Roman"/>
          <w:sz w:val="22"/>
          <w:szCs w:val="22"/>
          <w:u w:val="single" w:color="auto"/>
          <w:color w:val="000000"/>
        </w:rPr>
        <w:t>clause (c)</w:t>
      </w:r>
      <w:r>
        <w:rPr>
          <w:rFonts w:ascii="Times New Roman" w:cs="Times New Roman" w:eastAsia="Times New Roman" w:hAnsi="Times New Roman"/>
          <w:sz w:val="22"/>
          <w:szCs w:val="22"/>
          <w:color w:val="000000"/>
        </w:rPr>
        <w:t xml:space="preserve"> or </w:t>
      </w:r>
      <w:r>
        <w:rPr>
          <w:rFonts w:ascii="Times New Roman" w:cs="Times New Roman" w:eastAsia="Times New Roman" w:hAnsi="Times New Roman"/>
          <w:sz w:val="22"/>
          <w:szCs w:val="22"/>
          <w:u w:val="single" w:color="auto"/>
          <w:color w:val="000000"/>
        </w:rPr>
        <w:t>(d)</w:t>
      </w:r>
      <w:r>
        <w:rPr>
          <w:rFonts w:ascii="Times New Roman" w:cs="Times New Roman" w:eastAsia="Times New Roman" w:hAnsi="Times New Roman"/>
          <w:sz w:val="22"/>
          <w:szCs w:val="22"/>
          <w:color w:val="000000"/>
        </w:rPr>
        <w:t>; (c) by prepaid certified or registered mail, return receipt requested; or (d) by prepaid reputable overnight delivery service. Notices shall be effective upon receipt. Either party may change its notice address by providing the other party written notice of such change. Notices shall be delivered as follows:</w:t>
      </w:r>
    </w:p>
    <w:p>
      <w:pPr>
        <w:sectPr>
          <w:pgSz w:w="11900" w:h="16838" w:orient="portrait"/>
          <w:cols w:equalWidth="0" w:num="1">
            <w:col w:w="11240"/>
          </w:cols>
          <w:pgMar w:left="320" w:top="1440" w:right="339" w:bottom="1440" w:gutter="0" w:footer="0" w:header="0"/>
        </w:sect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If to the Investors: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Baker Brothers Investments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30" w:lineRule="auto"/>
        <w:rPr>
          <w:sz w:val="20"/>
          <w:szCs w:val="20"/>
          <w:color w:val="auto"/>
        </w:rPr>
      </w:pPr>
      <w:r>
        <w:rPr>
          <w:rFonts w:ascii="Times New Roman" w:cs="Times New Roman" w:eastAsia="Times New Roman" w:hAnsi="Times New Roman"/>
          <w:sz w:val="22"/>
          <w:szCs w:val="22"/>
          <w:color w:val="auto"/>
        </w:rPr>
        <w:t>Attention: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sectPr>
          <w:pgSz w:w="11900" w:h="16838" w:orient="portrait"/>
          <w:cols w:equalWidth="0" w:num="2">
            <w:col w:w="2520" w:space="720"/>
            <w:col w:w="800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Aligos Therapeutics,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Corporate Dr., 2nd Floor</w:t>
      </w:r>
    </w:p>
    <w:p>
      <w:pPr>
        <w:spacing w:after="0"/>
        <w:rPr>
          <w:sz w:val="20"/>
          <w:szCs w:val="20"/>
          <w:color w:val="auto"/>
        </w:rPr>
      </w:pPr>
      <w:r>
        <w:rPr>
          <w:rFonts w:ascii="Times New Roman" w:cs="Times New Roman" w:eastAsia="Times New Roman" w:hAnsi="Times New Roman"/>
          <w:sz w:val="21"/>
          <w:szCs w:val="21"/>
          <w:color w:val="auto"/>
        </w:rPr>
        <w:t>South San Francisco, California 94080</w:t>
      </w:r>
    </w:p>
    <w:p>
      <w:pPr>
        <w:spacing w:after="0" w:line="231" w:lineRule="auto"/>
        <w:rPr>
          <w:sz w:val="20"/>
          <w:szCs w:val="20"/>
          <w:color w:val="auto"/>
        </w:rPr>
      </w:pPr>
      <w:r>
        <w:rPr>
          <w:rFonts w:ascii="Times New Roman" w:cs="Times New Roman" w:eastAsia="Times New Roman" w:hAnsi="Times New Roman"/>
          <w:sz w:val="22"/>
          <w:szCs w:val="22"/>
          <w:color w:val="auto"/>
        </w:rPr>
        <w:t>Attention: Lesley Ann Calhoun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sectPr>
          <w:pgSz w:w="11900" w:h="16838" w:orient="portrait"/>
          <w:cols w:equalWidth="0" w:num="2">
            <w:col w:w="2520" w:space="720"/>
            <w:col w:w="800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Scott Drive</w:t>
      </w:r>
    </w:p>
    <w:p>
      <w:pPr>
        <w:spacing w:after="0" w:line="230" w:lineRule="auto"/>
        <w:rPr>
          <w:sz w:val="20"/>
          <w:szCs w:val="20"/>
          <w:color w:val="auto"/>
        </w:rPr>
      </w:pPr>
      <w:r>
        <w:rPr>
          <w:rFonts w:ascii="Times New Roman" w:cs="Times New Roman" w:eastAsia="Times New Roman" w:hAnsi="Times New Roman"/>
          <w:sz w:val="22"/>
          <w:szCs w:val="22"/>
          <w:color w:val="auto"/>
        </w:rPr>
        <w:t>Menlo Park, CA 94025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Mark Roeder and John Williams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sectPr>
          <w:pgSz w:w="11900" w:h="16838" w:orient="portrait"/>
          <w:cols w:equalWidth="0" w:num="2">
            <w:col w:w="2520" w:space="720"/>
            <w:col w:w="8000"/>
          </w:cols>
          <w:pgMar w:left="320" w:top="1440" w:right="339" w:bottom="1440" w:gutter="0" w:footer="0" w:header="0"/>
          <w:type w:val="continuous"/>
        </w:sectPr>
      </w:pPr>
    </w:p>
    <w:p>
      <w:pPr>
        <w:spacing w:after="0"/>
        <w:tabs>
          <w:tab w:leader="none" w:pos="500" w:val="left"/>
        </w:tabs>
        <w:rPr>
          <w:sz w:val="20"/>
          <w:szCs w:val="20"/>
          <w:color w:val="auto"/>
        </w:rPr>
      </w:pPr>
      <w:r>
        <w:rPr>
          <w:rFonts w:ascii="Times New Roman" w:cs="Times New Roman" w:eastAsia="Times New Roman" w:hAnsi="Times New Roman"/>
          <w:sz w:val="22"/>
          <w:szCs w:val="22"/>
          <w:color w:val="010000"/>
        </w:rPr>
        <w:t>3.4.</w:t>
      </w:r>
      <w:r>
        <w:rPr>
          <w:sz w:val="20"/>
          <w:szCs w:val="20"/>
          <w:color w:val="auto"/>
        </w:rPr>
        <w:tab/>
      </w:r>
      <w:r>
        <w:rPr>
          <w:rFonts w:ascii="Times New Roman" w:cs="Times New Roman" w:eastAsia="Times New Roman" w:hAnsi="Times New Roman"/>
          <w:sz w:val="21"/>
          <w:szCs w:val="21"/>
          <w:u w:val="single" w:color="auto"/>
          <w:color w:val="auto"/>
        </w:rPr>
        <w:t>Governing Law; Jurisdiction; Venue; Jury Trial</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firstLine="8"/>
        <w:spacing w:after="0" w:line="244" w:lineRule="auto"/>
        <w:tabs>
          <w:tab w:leader="none" w:pos="509"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This Agreement shall be governed by, and construed in accordance with, the law of the State of New York without giving effect to any choice or conflict of law provision or rule (whether of the State of New York or any other jurisdiction) that would cause the application of the laws of any jurisdiction other than the State of New York.</w:t>
      </w:r>
    </w:p>
    <w:p>
      <w:pPr>
        <w:spacing w:after="0" w:line="173" w:lineRule="exact"/>
        <w:rPr>
          <w:rFonts w:ascii="Times New Roman" w:cs="Times New Roman" w:eastAsia="Times New Roman" w:hAnsi="Times New Roman"/>
          <w:sz w:val="22"/>
          <w:szCs w:val="22"/>
          <w:color w:val="010000"/>
        </w:rPr>
      </w:pPr>
    </w:p>
    <w:p>
      <w:pPr>
        <w:jc w:val="both"/>
        <w:ind w:firstLine="8"/>
        <w:spacing w:after="0" w:line="235" w:lineRule="auto"/>
        <w:tabs>
          <w:tab w:leader="none" w:pos="509" w:val="left"/>
        </w:tabs>
        <w:numPr>
          <w:ilvl w:val="0"/>
          <w:numId w:val="10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Company and the Investors irrevocably and unconditionally submits, for itself and its property, to the nonexclusive jurisdiction of the courts of the State of New York sitting in the Borough of Manhattan, New York and of the United States District Court of the Southern District of New York, and any appellate court from any thereof, in any action or proceeding arising out of or relating to this Agreement and the transactions contemplated herein, or for recognition or enforcement of any judgment, and each of the Company and the Investors irrevocably and unconditionally agrees that all claims in respect of any such action or proceeding may be heard and determined in such New York state court or, to the fullest extent permitted by applicable law,</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2" w:name="page203"/>
    <w:bookmarkEnd w:id="202"/>
    <w:p>
      <w:pPr>
        <w:spacing w:after="0" w:line="18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22"/>
          <w:szCs w:val="22"/>
          <w:color w:val="auto"/>
        </w:rPr>
        <w:t>in such federal court. Each of the Company and the Investors hereto agrees that a final judgment in any such action or proceeding shall be conclusive and may be enforced in other jurisdictions by suit on the judgment or in any other manner provided by law.</w:t>
      </w:r>
    </w:p>
    <w:p>
      <w:pPr>
        <w:spacing w:after="0" w:line="173" w:lineRule="exact"/>
        <w:rPr>
          <w:sz w:val="20"/>
          <w:szCs w:val="20"/>
          <w:color w:val="auto"/>
        </w:rPr>
      </w:pPr>
    </w:p>
    <w:p>
      <w:pPr>
        <w:jc w:val="both"/>
        <w:ind w:firstLine="8"/>
        <w:spacing w:after="0" w:line="238" w:lineRule="auto"/>
        <w:tabs>
          <w:tab w:leader="none" w:pos="509"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Each of the Company and the Investors irrevocably and unconditionally waives, to the fullest extent permitted by applicable law, any objection that it may now or hereafter have to the laying of venue of any action or proceeding arising out of or relating to this Agreement and the transactions contemplated herein in any court referred to in </w:t>
      </w:r>
      <w:r>
        <w:rPr>
          <w:rFonts w:ascii="Times New Roman" w:cs="Times New Roman" w:eastAsia="Times New Roman" w:hAnsi="Times New Roman"/>
          <w:sz w:val="22"/>
          <w:szCs w:val="22"/>
          <w:u w:val="single" w:color="auto"/>
          <w:color w:val="auto"/>
        </w:rPr>
        <w:t>Section 3.4(b)</w:t>
      </w:r>
      <w:r>
        <w:rPr>
          <w:rFonts w:ascii="Times New Roman" w:cs="Times New Roman" w:eastAsia="Times New Roman" w:hAnsi="Times New Roman"/>
          <w:sz w:val="22"/>
          <w:szCs w:val="22"/>
          <w:color w:val="auto"/>
        </w:rPr>
        <w:t xml:space="preserve"> hereof. Each of the Company and the Investors hereby irrevocably waives, to the fullest extent permitted by applicable law, the defense of an inconvenient forum to the maintenance of such action or proceeding in any such court.</w:t>
      </w:r>
    </w:p>
    <w:p>
      <w:pPr>
        <w:spacing w:after="0" w:line="176" w:lineRule="exact"/>
        <w:rPr>
          <w:rFonts w:ascii="Times New Roman" w:cs="Times New Roman" w:eastAsia="Times New Roman" w:hAnsi="Times New Roman"/>
          <w:sz w:val="22"/>
          <w:szCs w:val="22"/>
          <w:color w:val="010000"/>
        </w:rPr>
      </w:pPr>
    </w:p>
    <w:p>
      <w:pPr>
        <w:jc w:val="both"/>
        <w:ind w:firstLine="8"/>
        <w:spacing w:after="0" w:line="234" w:lineRule="auto"/>
        <w:tabs>
          <w:tab w:leader="none" w:pos="509" w:val="left"/>
        </w:tabs>
        <w:numPr>
          <w:ilvl w:val="0"/>
          <w:numId w:val="10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OF THE COMPANY AND THE INVESTORS HEREBY IRREVOCABLY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OF THE COMPANY AND THE INVESTORS (A) CERTIFIES THAT NO REPRESENTATIVE, AGENT OR ATTORNEY OF ANY OTHER PERSON HAS REPRESENTED, EXPRESSLY OR OTHERWISE, THAT SUCH OTHER PERSON WOULD NOT, IN THE EVENT OF LITIGATION, SEEK TO ENFORCE THE FOREGOING WAIVER AND (B) ACKNOWLEDGES THAT EACH OF THE COMPANY AND THE INVESTORS HAS BEEN INDUCED TO ENTER INTO THIS AGREEMENT BY, AMONG OTHER THINGS, THE MUTUAL WAIVERS AND CERTIFICATIONS IN THIS SECTION.</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u w:val="single" w:color="auto"/>
          <w:color w:val="000000"/>
        </w:rPr>
        <w:t>Successors, Assigns and Transferees</w:t>
      </w:r>
      <w:r>
        <w:rPr>
          <w:rFonts w:ascii="Times New Roman" w:cs="Times New Roman" w:eastAsia="Times New Roman" w:hAnsi="Times New Roman"/>
          <w:sz w:val="22"/>
          <w:szCs w:val="22"/>
          <w:color w:val="000000"/>
        </w:rPr>
        <w:t>. Any and all rights, duties and obligations hereunder shall not be assigned,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transferred, delegated or sublicensed by any party hereto without the prior written consent of the other party;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xml:space="preserve">, that the Investors shall be entitled to transfer Registrable Securities to one or more of their affiliates and, solely in connection therewith, may assign their rights hereunder in respect of such transferred Registrable Securities, in each case, so long as such Investor is not relieved of any liability or obligations hereunder, without the prior consent of the Company. Any transfer or assignment made other than as provided in the first sentence of this </w:t>
      </w:r>
      <w:r>
        <w:rPr>
          <w:rFonts w:ascii="Times New Roman" w:cs="Times New Roman" w:eastAsia="Times New Roman" w:hAnsi="Times New Roman"/>
          <w:sz w:val="22"/>
          <w:szCs w:val="22"/>
          <w:u w:val="single" w:color="auto"/>
          <w:color w:val="000000"/>
        </w:rPr>
        <w:t>Section 3.5</w:t>
      </w:r>
      <w:r>
        <w:rPr>
          <w:rFonts w:ascii="Times New Roman" w:cs="Times New Roman" w:eastAsia="Times New Roman" w:hAnsi="Times New Roman"/>
          <w:sz w:val="22"/>
          <w:szCs w:val="22"/>
          <w:color w:val="000000"/>
        </w:rPr>
        <w:t xml:space="preserve"> shall be null and void. Subject to the foregoing and except as otherwise provided herein, the provisions of this Agreement shall inure to the benefit of, and be binding upon, the successors, permitted assigns, heirs, executors and administrators of the parties hereto. The Company shall not consummate any recapitalization, merger, consolidation, reorganization or other similar transaction whereby stockholders of the Company receive (either directly, through an exchange, via dividend from the Company or otherwise) equity (the “</w:t>
      </w:r>
      <w:r>
        <w:rPr>
          <w:rFonts w:ascii="Times New Roman" w:cs="Times New Roman" w:eastAsia="Times New Roman" w:hAnsi="Times New Roman"/>
          <w:sz w:val="22"/>
          <w:szCs w:val="22"/>
          <w:u w:val="single" w:color="auto"/>
          <w:color w:val="000000"/>
        </w:rPr>
        <w:t>Other Equity</w:t>
      </w:r>
      <w:r>
        <w:rPr>
          <w:rFonts w:ascii="Times New Roman" w:cs="Times New Roman" w:eastAsia="Times New Roman" w:hAnsi="Times New Roman"/>
          <w:sz w:val="22"/>
          <w:szCs w:val="22"/>
          <w:color w:val="000000"/>
        </w:rPr>
        <w:t>”) in any other entity (the “</w:t>
      </w:r>
      <w:r>
        <w:rPr>
          <w:rFonts w:ascii="Times New Roman" w:cs="Times New Roman" w:eastAsia="Times New Roman" w:hAnsi="Times New Roman"/>
          <w:sz w:val="22"/>
          <w:szCs w:val="22"/>
          <w:u w:val="single" w:color="auto"/>
          <w:color w:val="000000"/>
        </w:rPr>
        <w:t>Other Entity</w:t>
      </w:r>
      <w:r>
        <w:rPr>
          <w:rFonts w:ascii="Times New Roman" w:cs="Times New Roman" w:eastAsia="Times New Roman" w:hAnsi="Times New Roman"/>
          <w:sz w:val="22"/>
          <w:szCs w:val="22"/>
          <w:color w:val="000000"/>
        </w:rPr>
        <w:t>”) with respect to Registrable Securities hereunder, unless prior to the consummation thereof, the Other Entity assumes, by written instrument, the obligations under this Agreement with respect to such Other Equity as if such Other Equity were Registrable Securities hereunder. Notwithstanding the foregoing, such Other Entity shall not be required to assume such obligations if, upon consummation of such transaction, the Investors would be able to resell the Other Equity without limitations as to volume or manner of sales pursuant to Rule 144.</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u w:val="single" w:color="auto"/>
          <w:color w:val="000000"/>
        </w:rPr>
        <w:t>Entire Agreement</w:t>
      </w:r>
      <w:r>
        <w:rPr>
          <w:rFonts w:ascii="Times New Roman" w:cs="Times New Roman" w:eastAsia="Times New Roman" w:hAnsi="Times New Roman"/>
          <w:sz w:val="22"/>
          <w:szCs w:val="22"/>
          <w:color w:val="000000"/>
        </w:rPr>
        <w:t>. This Agreement, together with any exhibits hereto, constitute the entire agreement between the parties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relating to the subject matter hereof and all previous agreements or arrangements between the parties, written or oral, relating to the subject matter hereof are superseded.</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u w:val="single" w:color="auto"/>
          <w:color w:val="000000"/>
        </w:rPr>
        <w:t>Waiver</w:t>
      </w:r>
      <w:r>
        <w:rPr>
          <w:rFonts w:ascii="Times New Roman" w:cs="Times New Roman" w:eastAsia="Times New Roman" w:hAnsi="Times New Roman"/>
          <w:sz w:val="22"/>
          <w:szCs w:val="22"/>
          <w:color w:val="000000"/>
        </w:rPr>
        <w:t>. No failure on the part of either party hereto to exercise any power, right, privilege or remedy under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u w:val="single" w:color="auto"/>
          <w:color w:val="000000"/>
        </w:rPr>
        <w:t>Severability</w:t>
      </w:r>
      <w:r>
        <w:rPr>
          <w:rFonts w:ascii="Times New Roman" w:cs="Times New Roman" w:eastAsia="Times New Roman" w:hAnsi="Times New Roman"/>
          <w:sz w:val="22"/>
          <w:szCs w:val="22"/>
          <w:color w:val="000000"/>
        </w:rPr>
        <w:t>. If any part of this Agreement is declared invalid or unenforceable by any court of competent jurisdiction,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such declaration shall not affect the remainder of the Agreement and the invalidated provision shall be revised in a manner that shall render such provision valid while preserving the parties’ original intent to the maximum extent possible.</w:t>
      </w:r>
    </w:p>
    <w:p>
      <w:pPr>
        <w:spacing w:after="0" w:line="173"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u w:val="single" w:color="auto"/>
          <w:color w:val="000000"/>
        </w:rPr>
        <w:t>Titles and Subtitles</w:t>
      </w:r>
      <w:r>
        <w:rPr>
          <w:rFonts w:ascii="Times New Roman" w:cs="Times New Roman" w:eastAsia="Times New Roman" w:hAnsi="Times New Roman"/>
          <w:sz w:val="22"/>
          <w:szCs w:val="22"/>
          <w:color w:val="000000"/>
        </w:rPr>
        <w:t>. The titles and subtitles used in this Agreement are used for convenience only and are not to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considered in construing or interpreting this Agreement. All references in this Agreement to sections, paragraphs and exhibits shall, unless otherwise provided, refer to sections and paragraphs hereof and exhibits attached hereto.</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3.10. </w:t>
      </w:r>
      <w:r>
        <w:rPr>
          <w:rFonts w:ascii="Times New Roman" w:cs="Times New Roman" w:eastAsia="Times New Roman" w:hAnsi="Times New Roman"/>
          <w:sz w:val="22"/>
          <w:szCs w:val="22"/>
          <w:u w:val="single" w:color="auto"/>
          <w:color w:val="000000"/>
        </w:rPr>
        <w:t>Counterparts</w:t>
      </w:r>
      <w:r>
        <w:rPr>
          <w:rFonts w:ascii="Times New Roman" w:cs="Times New Roman" w:eastAsia="Times New Roman" w:hAnsi="Times New Roman"/>
          <w:sz w:val="22"/>
          <w:szCs w:val="22"/>
          <w:color w:val="000000"/>
        </w:rPr>
        <w:t>. This Agreement may be executed in any number of counterparts, each of which shall be enforceable against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 that execute such counterparts (including by facsimile or other electronic means), and all of which together shall constitute one instrument.</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010000"/>
        </w:rPr>
        <w:t xml:space="preserve">3.11. </w:t>
      </w:r>
      <w:r>
        <w:rPr>
          <w:rFonts w:ascii="Times New Roman" w:cs="Times New Roman" w:eastAsia="Times New Roman" w:hAnsi="Times New Roman"/>
          <w:sz w:val="22"/>
          <w:szCs w:val="22"/>
          <w:u w:val="single" w:color="auto"/>
          <w:color w:val="000000"/>
        </w:rPr>
        <w:t>Term and Termination</w:t>
      </w:r>
      <w:r>
        <w:rPr>
          <w:rFonts w:ascii="Times New Roman" w:cs="Times New Roman" w:eastAsia="Times New Roman" w:hAnsi="Times New Roman"/>
          <w:sz w:val="22"/>
          <w:szCs w:val="22"/>
          <w:color w:val="000000"/>
        </w:rPr>
        <w:t>. The Investors’ rights to demand the registration of the Registrable Securities under this Agreement,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as well as the Company’s obligations under </w:t>
      </w:r>
      <w:r>
        <w:rPr>
          <w:rFonts w:ascii="Times New Roman" w:cs="Times New Roman" w:eastAsia="Times New Roman" w:hAnsi="Times New Roman"/>
          <w:sz w:val="22"/>
          <w:szCs w:val="22"/>
          <w:u w:val="single" w:color="auto"/>
          <w:color w:val="000000"/>
        </w:rPr>
        <w:t>Section 2.1</w:t>
      </w:r>
      <w:r>
        <w:rPr>
          <w:rFonts w:ascii="Times New Roman" w:cs="Times New Roman" w:eastAsia="Times New Roman" w:hAnsi="Times New Roman"/>
          <w:sz w:val="22"/>
          <w:szCs w:val="22"/>
          <w:color w:val="000000"/>
        </w:rPr>
        <w:t xml:space="preserve"> hereof, shall terminate automatically once all Registrable Securities cease to be Registrable Securities pursuant to the terms of this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Registration Rights Agreement effective as of the day, month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-13970</wp:posOffset>
            </wp:positionV>
            <wp:extent cx="13716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5060"/>
        <w:spacing w:after="0"/>
        <w:tabs>
          <w:tab w:leader="none" w:pos="5900" w:val="left"/>
        </w:tabs>
        <w:rPr>
          <w:sz w:val="20"/>
          <w:szCs w:val="20"/>
          <w:color w:val="auto"/>
        </w:rPr>
      </w:pPr>
      <w:r>
        <w:rPr>
          <w:rFonts w:ascii="Times New Roman" w:cs="Times New Roman" w:eastAsia="Times New Roman" w:hAnsi="Times New Roman"/>
          <w:sz w:val="22"/>
          <w:szCs w:val="22"/>
          <w:color w:val="auto"/>
        </w:rPr>
        <w:t>Name:</w:t>
        <w:tab/>
        <w:t>Lesley Ann Calhoun</w:t>
      </w:r>
    </w:p>
    <w:p>
      <w:pPr>
        <w:ind w:left="5060"/>
        <w:spacing w:after="0" w:line="230" w:lineRule="auto"/>
        <w:tabs>
          <w:tab w:leader="none" w:pos="59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EVP, Chief Operating Officer</w:t>
      </w:r>
    </w:p>
    <w:p>
      <w:pPr>
        <w:spacing w:after="0" w:line="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205" w:name="page206"/>
    <w:bookmarkEnd w:id="205"/>
    <w:p>
      <w:pPr>
        <w:ind w:right="260"/>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executed this Registration Rights Agreement effective as of the day, month and year first above written.</w:t>
      </w:r>
    </w:p>
    <w:p>
      <w:pPr>
        <w:spacing w:after="0" w:line="3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667, L.P.</w:t>
      </w:r>
    </w:p>
    <w:p>
      <w:pPr>
        <w:spacing w:after="0" w:line="210" w:lineRule="exact"/>
        <w:rPr>
          <w:sz w:val="20"/>
          <w:szCs w:val="20"/>
          <w:color w:val="auto"/>
        </w:rPr>
      </w:pPr>
    </w:p>
    <w:p>
      <w:pPr>
        <w:ind w:left="5060" w:hanging="560"/>
        <w:spacing w:after="0" w:line="239" w:lineRule="auto"/>
        <w:rPr>
          <w:sz w:val="20"/>
          <w:szCs w:val="20"/>
          <w:color w:val="auto"/>
        </w:rPr>
      </w:pPr>
      <w:r>
        <w:rPr>
          <w:rFonts w:ascii="Times New Roman" w:cs="Times New Roman" w:eastAsia="Times New Roman" w:hAnsi="Times New Roman"/>
          <w:sz w:val="22"/>
          <w:szCs w:val="22"/>
          <w:color w:val="auto"/>
        </w:rPr>
        <w:t>By: BAKER BROS. ADVISORS LP, management company and investment adviser to 667, L.P., pursuant to authority granted to it by Baker Biotech Capital, L.P., general partner to 667, L.P., and not as the general partner</w:t>
      </w:r>
    </w:p>
    <w:p>
      <w:pPr>
        <w:spacing w:after="0" w:line="18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 Lessing</w:t>
      </w:r>
    </w:p>
    <w:p>
      <w:pPr>
        <w:spacing w:after="0" w:line="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Scott L. Lessing</w:t>
      </w:r>
    </w:p>
    <w:p>
      <w:pPr>
        <w:ind w:left="5540"/>
        <w:spacing w:after="0"/>
        <w:rPr>
          <w:sz w:val="20"/>
          <w:szCs w:val="20"/>
          <w:color w:val="auto"/>
        </w:rPr>
      </w:pPr>
      <w:r>
        <w:rPr>
          <w:rFonts w:ascii="Times New Roman" w:cs="Times New Roman" w:eastAsia="Times New Roman" w:hAnsi="Times New Roman"/>
          <w:sz w:val="22"/>
          <w:szCs w:val="22"/>
          <w:color w:val="auto"/>
        </w:rPr>
        <w:t>President</w:t>
      </w:r>
    </w:p>
    <w:p>
      <w:pPr>
        <w:spacing w:after="0" w:line="3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BAKER BROTHERS LIFE SCIENCES, L.P.</w:t>
      </w:r>
    </w:p>
    <w:p>
      <w:pPr>
        <w:spacing w:after="0" w:line="210" w:lineRule="exact"/>
        <w:rPr>
          <w:sz w:val="20"/>
          <w:szCs w:val="20"/>
          <w:color w:val="auto"/>
        </w:rPr>
      </w:pPr>
    </w:p>
    <w:p>
      <w:pPr>
        <w:ind w:left="5060" w:hanging="560"/>
        <w:spacing w:after="0" w:line="238" w:lineRule="auto"/>
        <w:rPr>
          <w:sz w:val="20"/>
          <w:szCs w:val="20"/>
          <w:color w:val="auto"/>
        </w:rPr>
      </w:pPr>
      <w:r>
        <w:rPr>
          <w:rFonts w:ascii="Times New Roman" w:cs="Times New Roman" w:eastAsia="Times New Roman" w:hAnsi="Times New Roman"/>
          <w:sz w:val="22"/>
          <w:szCs w:val="22"/>
          <w:color w:val="auto"/>
        </w:rPr>
        <w:t>By: BAKER BROS. ADVISORS LP, management company and investment adviser to BAKER BROTHERS LIFE SCIENCES, L.P., pursuant to authority granted to it by Baker Brothers Life Sciences Capital, L.P., general partner to BAKER BROTHERS LIFE SCIENCES, L.P., and not as the general partner</w:t>
      </w:r>
    </w:p>
    <w:p>
      <w:pPr>
        <w:spacing w:after="0" w:line="17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 Lessing</w:t>
      </w:r>
    </w:p>
    <w:p>
      <w:pPr>
        <w:spacing w:after="0" w:line="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Scott L. Lessing</w:t>
      </w:r>
    </w:p>
    <w:p>
      <w:pPr>
        <w:ind w:left="554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06" w:name="page207"/>
    <w:bookmarkEnd w:id="206"/>
    <w:p>
      <w:pPr>
        <w:spacing w:after="0" w:line="1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The Investors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 L.P.</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BAKER BROTHERS LIFE SCIENCES, 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the above Investors: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Baker Brothers Investments</w:t>
      </w:r>
    </w:p>
    <w:p>
      <w:pPr>
        <w:spacing w:after="0" w:line="230" w:lineRule="auto"/>
        <w:rPr>
          <w:sz w:val="20"/>
          <w:szCs w:val="20"/>
          <w:color w:val="auto"/>
        </w:rPr>
      </w:pPr>
      <w:r>
        <w:rPr>
          <w:rFonts w:ascii="Times New Roman" w:cs="Times New Roman" w:eastAsia="Times New Roman" w:hAnsi="Times New Roman"/>
          <w:sz w:val="22"/>
          <w:szCs w:val="22"/>
          <w:color w:val="auto"/>
        </w:rPr>
        <w:t>##########</w:t>
      </w:r>
    </w:p>
    <w:p>
      <w:pPr>
        <w:spacing w:after="0" w:line="231" w:lineRule="auto"/>
        <w:rPr>
          <w:sz w:val="20"/>
          <w:szCs w:val="20"/>
          <w:color w:val="auto"/>
        </w:rPr>
      </w:pPr>
      <w:r>
        <w:rPr>
          <w:rFonts w:ascii="Times New Roman" w:cs="Times New Roman" w:eastAsia="Times New Roman" w:hAnsi="Times New Roman"/>
          <w:sz w:val="22"/>
          <w:szCs w:val="22"/>
          <w:color w:val="auto"/>
        </w:rPr>
        <w:t>Attn: ##########</w:t>
      </w: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color w:val="auto"/>
        </w:rPr>
        <w:t>Exhibit 10.20</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ind w:left="4300"/>
        <w:spacing w:after="0" w:line="184" w:lineRule="auto"/>
        <w:rPr>
          <w:sz w:val="20"/>
          <w:szCs w:val="20"/>
          <w:color w:val="auto"/>
        </w:rPr>
      </w:pPr>
      <w:r>
        <w:rPr>
          <w:rFonts w:ascii="Times New Roman" w:cs="Times New Roman" w:eastAsia="Times New Roman" w:hAnsi="Times New Roman"/>
          <w:sz w:val="22"/>
          <w:szCs w:val="22"/>
          <w:color w:val="auto"/>
        </w:rPr>
        <w:t>One Corporate Drive, 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Floor</w:t>
      </w:r>
    </w:p>
    <w:p>
      <w:pPr>
        <w:jc w:val="center"/>
        <w:spacing w:after="0"/>
        <w:rPr>
          <w:sz w:val="20"/>
          <w:szCs w:val="20"/>
          <w:color w:val="auto"/>
        </w:rPr>
      </w:pPr>
      <w:r>
        <w:rPr>
          <w:rFonts w:ascii="Times New Roman" w:cs="Times New Roman" w:eastAsia="Times New Roman" w:hAnsi="Times New Roman"/>
          <w:sz w:val="22"/>
          <w:szCs w:val="22"/>
          <w:color w:val="auto"/>
        </w:rPr>
        <w:t>South San Francisco, California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Baker Brothers Life Sciences,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667, L.P.</w:t>
      </w:r>
    </w:p>
    <w:p>
      <w:pPr>
        <w:spacing w:after="0"/>
        <w:rPr>
          <w:sz w:val="20"/>
          <w:szCs w:val="20"/>
          <w:color w:val="auto"/>
        </w:rPr>
      </w:pP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Aligos Therapeutics, Inc.</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Reference is made to that certain Securities Purchase Agreement, dated as of February 11, 2025, by and among Aligos Therapeutics,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Baker Bros. Life Sciences, L.P. and 667, L.P. (collectively, and together with their investment adviser, Baker Bros. Advisors LP, the “</w:t>
      </w:r>
      <w:r>
        <w:rPr>
          <w:rFonts w:ascii="Times New Roman" w:cs="Times New Roman" w:eastAsia="Times New Roman" w:hAnsi="Times New Roman"/>
          <w:sz w:val="22"/>
          <w:szCs w:val="22"/>
          <w:b w:val="1"/>
          <w:bCs w:val="1"/>
          <w:color w:val="auto"/>
        </w:rPr>
        <w:t>Lead Investor</w:t>
      </w:r>
      <w:r>
        <w:rPr>
          <w:rFonts w:ascii="Times New Roman" w:cs="Times New Roman" w:eastAsia="Times New Roman" w:hAnsi="Times New Roman"/>
          <w:sz w:val="22"/>
          <w:szCs w:val="22"/>
          <w:color w:val="auto"/>
        </w:rPr>
        <w:t>”) and the other investors party thereto (the “</w:t>
      </w:r>
      <w:r>
        <w:rPr>
          <w:rFonts w:ascii="Times New Roman" w:cs="Times New Roman" w:eastAsia="Times New Roman" w:hAnsi="Times New Roman"/>
          <w:sz w:val="22"/>
          <w:szCs w:val="22"/>
          <w:b w:val="1"/>
          <w:bCs w:val="1"/>
          <w:color w:val="auto"/>
        </w:rPr>
        <w:t>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Defined terms that are used but not defined in this letter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shall have the meanings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given to them in the Purchase Agreement.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Effective as of the Closing, and subject to the Lead Investor’s purchase of at least $60.0 million of Securities,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Lead Investor agree as follows:</w:t>
      </w:r>
    </w:p>
    <w:p>
      <w:pPr>
        <w:spacing w:after="0" w:line="182" w:lineRule="exact"/>
        <w:rPr>
          <w:sz w:val="20"/>
          <w:szCs w:val="20"/>
          <w:color w:val="auto"/>
        </w:rPr>
      </w:pPr>
    </w:p>
    <w:p>
      <w:pPr>
        <w:jc w:val="both"/>
        <w:ind w:left="1020" w:hanging="503"/>
        <w:spacing w:after="0" w:line="234" w:lineRule="auto"/>
        <w:tabs>
          <w:tab w:leader="none" w:pos="10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Investor shall have the right to nominate and recommend at each Election Meeting (as defined below) the election of (i) following such time (the “</w:t>
      </w:r>
      <w:r>
        <w:rPr>
          <w:rFonts w:ascii="Times New Roman" w:cs="Times New Roman" w:eastAsia="Times New Roman" w:hAnsi="Times New Roman"/>
          <w:sz w:val="22"/>
          <w:szCs w:val="22"/>
          <w:b w:val="1"/>
          <w:bCs w:val="1"/>
          <w:color w:val="auto"/>
        </w:rPr>
        <w:t>First Threshold</w:t>
      </w:r>
      <w:r>
        <w:rPr>
          <w:rFonts w:ascii="Times New Roman" w:cs="Times New Roman" w:eastAsia="Times New Roman" w:hAnsi="Times New Roman"/>
          <w:sz w:val="22"/>
          <w:szCs w:val="22"/>
          <w:color w:val="auto"/>
        </w:rPr>
        <w:t>”) and for so long as the Lead Investor (collectively with its Affiliates) maintains at least 5.5% of the voting power of the Company’s outstanding securities entitled to vote at an election of directors, one individual to serve as a member of the Board of Directors (the “</w:t>
      </w:r>
      <w:r>
        <w:rPr>
          <w:rFonts w:ascii="Times New Roman" w:cs="Times New Roman" w:eastAsia="Times New Roman" w:hAnsi="Times New Roman"/>
          <w:sz w:val="22"/>
          <w:szCs w:val="22"/>
          <w:b w:val="1"/>
          <w:bCs w:val="1"/>
          <w:color w:val="auto"/>
        </w:rPr>
        <w:t>First Designee</w:t>
      </w:r>
      <w:r>
        <w:rPr>
          <w:rFonts w:ascii="Times New Roman" w:cs="Times New Roman" w:eastAsia="Times New Roman" w:hAnsi="Times New Roman"/>
          <w:sz w:val="22"/>
          <w:szCs w:val="22"/>
          <w:color w:val="auto"/>
        </w:rPr>
        <w:t>”), and (ii) following such time (the “</w:t>
      </w:r>
      <w:r>
        <w:rPr>
          <w:rFonts w:ascii="Times New Roman" w:cs="Times New Roman" w:eastAsia="Times New Roman" w:hAnsi="Times New Roman"/>
          <w:sz w:val="22"/>
          <w:szCs w:val="22"/>
          <w:b w:val="1"/>
          <w:bCs w:val="1"/>
          <w:color w:val="auto"/>
        </w:rPr>
        <w:t>Second Threshold</w:t>
      </w:r>
      <w:r>
        <w:rPr>
          <w:rFonts w:ascii="Times New Roman" w:cs="Times New Roman" w:eastAsia="Times New Roman" w:hAnsi="Times New Roman"/>
          <w:sz w:val="22"/>
          <w:szCs w:val="22"/>
          <w:color w:val="auto"/>
        </w:rPr>
        <w:t>”) and for so long as (x) the Lead Investor (collectively with its Affiliates) maintains at least 19.9% of the voting power of the Company’s outstanding securities entitled to vote at an election of directors and (y) after giving effect to the Second Designee (as defined below) there are at least seven members of the Board of Directors, a second individual (the “</w:t>
      </w:r>
      <w:r>
        <w:rPr>
          <w:rFonts w:ascii="Times New Roman" w:cs="Times New Roman" w:eastAsia="Times New Roman" w:hAnsi="Times New Roman"/>
          <w:sz w:val="22"/>
          <w:szCs w:val="22"/>
          <w:b w:val="1"/>
          <w:bCs w:val="1"/>
          <w:color w:val="auto"/>
        </w:rPr>
        <w:t>Second Designee</w:t>
      </w:r>
      <w:r>
        <w:rPr>
          <w:rFonts w:ascii="Times New Roman" w:cs="Times New Roman" w:eastAsia="Times New Roman" w:hAnsi="Times New Roman"/>
          <w:sz w:val="22"/>
          <w:szCs w:val="22"/>
          <w:color w:val="auto"/>
        </w:rPr>
        <w:t>” and, together with the First Designee, the “</w:t>
      </w:r>
      <w:r>
        <w:rPr>
          <w:rFonts w:ascii="Times New Roman" w:cs="Times New Roman" w:eastAsia="Times New Roman" w:hAnsi="Times New Roman"/>
          <w:sz w:val="22"/>
          <w:szCs w:val="22"/>
          <w:b w:val="1"/>
          <w:bCs w:val="1"/>
          <w:color w:val="auto"/>
        </w:rPr>
        <w:t>Designees</w:t>
      </w:r>
      <w:r>
        <w:rPr>
          <w:rFonts w:ascii="Times New Roman" w:cs="Times New Roman" w:eastAsia="Times New Roman" w:hAnsi="Times New Roman"/>
          <w:sz w:val="22"/>
          <w:szCs w:val="22"/>
          <w:color w:val="auto"/>
        </w:rPr>
        <w:t>”) to serve as a member of the Board of Directors.</w:t>
      </w:r>
    </w:p>
    <w:p>
      <w:pPr>
        <w:spacing w:after="0" w:line="75" w:lineRule="exact"/>
        <w:rPr>
          <w:rFonts w:ascii="Times New Roman" w:cs="Times New Roman" w:eastAsia="Times New Roman" w:hAnsi="Times New Roman"/>
          <w:sz w:val="22"/>
          <w:szCs w:val="22"/>
          <w:color w:val="auto"/>
        </w:rPr>
      </w:pPr>
    </w:p>
    <w:p>
      <w:pPr>
        <w:jc w:val="both"/>
        <w:ind w:left="1020" w:hanging="503"/>
        <w:spacing w:after="0" w:line="244" w:lineRule="auto"/>
        <w:tabs>
          <w:tab w:leader="none" w:pos="10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Lead Investor’s valid exercise of its right pursuant to paragraph (a) to appoint a Designee, the Company shall use its reasonable best efforts to have such Designee nominated or appointed to the Board of Directors.</w:t>
      </w:r>
    </w:p>
    <w:p>
      <w:pPr>
        <w:spacing w:after="0" w:line="65" w:lineRule="exact"/>
        <w:rPr>
          <w:rFonts w:ascii="Times New Roman" w:cs="Times New Roman" w:eastAsia="Times New Roman" w:hAnsi="Times New Roman"/>
          <w:sz w:val="22"/>
          <w:szCs w:val="22"/>
          <w:color w:val="auto"/>
        </w:rPr>
      </w:pPr>
    </w:p>
    <w:p>
      <w:pPr>
        <w:jc w:val="both"/>
        <w:ind w:left="1020" w:hanging="503"/>
        <w:spacing w:after="0" w:line="233" w:lineRule="auto"/>
        <w:tabs>
          <w:tab w:leader="none" w:pos="102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appointment of any Designee pursuant to paragraph (b), the Company shall include such Designee in the slate of nominees recommended to the Company’s stockholders for election as directors of the Company at each annual or special meeting of the Company’s stockholders at which directors of the same class as such Designee are to be elected and every adjournment or postponement thereof (each, an “</w:t>
      </w:r>
      <w:r>
        <w:rPr>
          <w:rFonts w:ascii="Times New Roman" w:cs="Times New Roman" w:eastAsia="Times New Roman" w:hAnsi="Times New Roman"/>
          <w:sz w:val="22"/>
          <w:szCs w:val="22"/>
          <w:b w:val="1"/>
          <w:bCs w:val="1"/>
          <w:color w:val="auto"/>
        </w:rPr>
        <w:t>Election Meeting</w:t>
      </w:r>
      <w:r>
        <w:rPr>
          <w:rFonts w:ascii="Times New Roman" w:cs="Times New Roman" w:eastAsia="Times New Roman" w:hAnsi="Times New Roman"/>
          <w:sz w:val="22"/>
          <w:szCs w:val="22"/>
          <w:color w:val="auto"/>
        </w:rPr>
        <w:t>”). The Company will recommend, support and solicit proxies for the election of such Designee in the same manner as for all other members of the Board of Directors nominated by the Company’s Board of Directors for election at an Election Meeting. The Lead Investor will provide to the Company, in writing, the information about such Designee that is reasonably requested by the Company for inclusion in the Company’s proxy materials for Election Meetings promptly after the Company requests such information, and will cause such Designee to submit on a timely basis to the Company a completed and executed questionnaire in the form that the Company provides to its outside directors generally. If the Lead Investor or the Designee fail to provide such information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8" w:name="page209"/>
    <w:bookmarkEnd w:id="208"/>
    <w:p>
      <w:pPr>
        <w:ind w:left="9743"/>
        <w:spacing w:after="0"/>
        <w:rPr>
          <w:sz w:val="20"/>
          <w:szCs w:val="20"/>
          <w:color w:val="auto"/>
        </w:rPr>
      </w:pPr>
      <w:r>
        <w:rPr>
          <w:rFonts w:ascii="Times New Roman" w:cs="Times New Roman" w:eastAsia="Times New Roman" w:hAnsi="Times New Roman"/>
          <w:sz w:val="17"/>
          <w:szCs w:val="17"/>
          <w:color w:val="auto"/>
        </w:rPr>
        <w:t>Exhibit 10.20</w:t>
      </w:r>
    </w:p>
    <w:p>
      <w:pPr>
        <w:spacing w:after="0" w:line="119" w:lineRule="exact"/>
        <w:rPr>
          <w:sz w:val="20"/>
          <w:szCs w:val="20"/>
          <w:color w:val="auto"/>
        </w:rPr>
      </w:pPr>
    </w:p>
    <w:p>
      <w:pPr>
        <w:jc w:val="both"/>
        <w:ind w:left="503" w:right="20"/>
        <w:spacing w:after="0" w:line="258" w:lineRule="auto"/>
        <w:rPr>
          <w:sz w:val="20"/>
          <w:szCs w:val="20"/>
          <w:color w:val="auto"/>
        </w:rPr>
      </w:pPr>
      <w:r>
        <w:rPr>
          <w:rFonts w:ascii="Times New Roman" w:cs="Times New Roman" w:eastAsia="Times New Roman" w:hAnsi="Times New Roman"/>
          <w:sz w:val="22"/>
          <w:szCs w:val="22"/>
          <w:color w:val="auto"/>
        </w:rPr>
        <w:t>Company in accordance with this paragraph (c), the Company shall not be required to nominate and recommend such Designee at the applicable Election Meeting.</w:t>
      </w:r>
    </w:p>
    <w:p>
      <w:pPr>
        <w:spacing w:after="0" w:line="50" w:lineRule="exact"/>
        <w:rPr>
          <w:sz w:val="20"/>
          <w:szCs w:val="20"/>
          <w:color w:val="auto"/>
        </w:rPr>
      </w:pPr>
    </w:p>
    <w:p>
      <w:pPr>
        <w:jc w:val="both"/>
        <w:ind w:left="503" w:hanging="503"/>
        <w:spacing w:after="0" w:line="233" w:lineRule="auto"/>
        <w:tabs>
          <w:tab w:leader="none" w:pos="50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(x) each Designee must qualify as “independent” under Nasdaq listing rules, and (y) the Lead Investor shall not be entitled to require the Company to nominate and recommend for election any individual as a Designee if a majority of the disinterested members of the Board of Directors (or the nominating committee thereof) reasonably and in good faith determine, after consultation with the Company’s outside legal counsel and upon advice of such counsel, that such Person would not be qualified to serve as a director of the Company under any applicable law, rule or regulation, or rule of the stock exchange on which the Common Stock is listed, or the organizational documents of the Company or any criteria or qualifications previously approved by the Board of Directors and applicable to all non-executive directors of the Board, but only if a direct or indirect purpose of any such organizational document provision, criteria or qualification is not to obstruct the Lead Investor’s right to designate such individual as a nominee to the Board of Directors or its rights under this Agreement. Notwithstanding anything set forth herein to the contrary, a person’s status as a director, officer, employee or Affiliate of the Lead Investor shall not cause such Person to be deemed not qualified to serve as a director of the Company, except as required by applicable law or regulation and except as may be necessary to maintain compliance with Nasdaq corporate governance rules for board and committee composition (including, for the avoidance of doubt, if such fact would disqualify such individual from being deemed “independent” under Nasdaq listing rules). In the event the Board of Directors (or the nominating committee thereof) does not accept a Designee as a result of such Designee failing to meet the requirements set forth in this paragraph (d), the Lead Investor shall have the right to recommend an alternative Designee in accordance with this Agreement. The Company shall promptly notify the Lead Investor of any objection to a Designee pursuant to this paragraph (d) and use its reasonable best efforts to provide such notice sufficiently in advance of the date on which the proxy materials related to any such Designee are to be mailed by the Company in connection with such election of directors, and in no event less than the first business day after such determination by the Board of Directors, so as to enable the Lead Investor to propose a replacement Designee in accordance with the terms of this Agreement.</w:t>
      </w:r>
    </w:p>
    <w:p>
      <w:pPr>
        <w:spacing w:after="0" w:line="75" w:lineRule="exact"/>
        <w:rPr>
          <w:rFonts w:ascii="Times New Roman" w:cs="Times New Roman" w:eastAsia="Times New Roman" w:hAnsi="Times New Roman"/>
          <w:sz w:val="22"/>
          <w:szCs w:val="22"/>
          <w:color w:val="auto"/>
        </w:rPr>
      </w:pPr>
    </w:p>
    <w:p>
      <w:pPr>
        <w:jc w:val="both"/>
        <w:ind w:left="503" w:hanging="503"/>
        <w:spacing w:after="0" w:line="239" w:lineRule="auto"/>
        <w:tabs>
          <w:tab w:leader="none" w:pos="50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Lead Investor (i) shall have the right to designate an alternative Designee only at such time as an existing Designee is up for re-election at an Election Meeting, and shall have no right to require the Company to replace a Designee at any other time and (ii) subject to the foregoing clause (i), the Lead Investor may not replace a Designee more than one time every three years.</w:t>
      </w:r>
    </w:p>
    <w:p>
      <w:pPr>
        <w:spacing w:after="0" w:line="72" w:lineRule="exact"/>
        <w:rPr>
          <w:rFonts w:ascii="Times New Roman" w:cs="Times New Roman" w:eastAsia="Times New Roman" w:hAnsi="Times New Roman"/>
          <w:sz w:val="22"/>
          <w:szCs w:val="22"/>
          <w:color w:val="auto"/>
        </w:rPr>
      </w:pPr>
    </w:p>
    <w:p>
      <w:pPr>
        <w:jc w:val="both"/>
        <w:ind w:left="503" w:hanging="503"/>
        <w:spacing w:after="0" w:line="236" w:lineRule="auto"/>
        <w:tabs>
          <w:tab w:leader="none" w:pos="50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rights of the Lead Investor provided in this Agreement shall at all times be subject to, and interpreted and exercised in compliance with, (i) Nasdaq Listing Rule 5640 and (ii) all other applicable laws, rules and regulations. In the event that Nasdaq informs the Company that it is not in compliance with Nasdaq listing requirements as a result of the Lead Investor’s rights contained in this Agreement, the Lead Investor shall cooperate with the Company to promptly remedy such non-compliance, including the possibility of replacing or relinquishing its rights to appoint one or more Designees hereunder.</w:t>
      </w:r>
    </w:p>
    <w:p>
      <w:pPr>
        <w:spacing w:after="0" w:line="73" w:lineRule="exact"/>
        <w:rPr>
          <w:rFonts w:ascii="Times New Roman" w:cs="Times New Roman" w:eastAsia="Times New Roman" w:hAnsi="Times New Roman"/>
          <w:sz w:val="22"/>
          <w:szCs w:val="22"/>
          <w:color w:val="auto"/>
        </w:rPr>
      </w:pPr>
    </w:p>
    <w:p>
      <w:pPr>
        <w:ind w:left="503" w:hanging="503"/>
        <w:spacing w:after="0" w:line="258" w:lineRule="auto"/>
        <w:tabs>
          <w:tab w:leader="none" w:pos="50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include each Designee as an “insured” for all purposes under any director insurance policy maintained by the Company for so long as such Designee serves as a member of the Board of Directors.</w:t>
      </w:r>
    </w:p>
    <w:p>
      <w:pPr>
        <w:spacing w:after="0" w:line="50" w:lineRule="exact"/>
        <w:rPr>
          <w:rFonts w:ascii="Times New Roman" w:cs="Times New Roman" w:eastAsia="Times New Roman" w:hAnsi="Times New Roman"/>
          <w:sz w:val="22"/>
          <w:szCs w:val="22"/>
          <w:color w:val="auto"/>
        </w:rPr>
      </w:pPr>
    </w:p>
    <w:p>
      <w:pPr>
        <w:jc w:val="both"/>
        <w:ind w:left="503" w:hanging="503"/>
        <w:spacing w:after="0" w:line="238" w:lineRule="auto"/>
        <w:tabs>
          <w:tab w:leader="none" w:pos="50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when the Lead Investor has nominated a Second Designee for service as a director, if the Lead Investor shall thereafter fail to exceed the Second Threshold (the “</w:t>
      </w:r>
      <w:r>
        <w:rPr>
          <w:rFonts w:ascii="Times New Roman" w:cs="Times New Roman" w:eastAsia="Times New Roman" w:hAnsi="Times New Roman"/>
          <w:sz w:val="22"/>
          <w:szCs w:val="22"/>
          <w:b w:val="1"/>
          <w:bCs w:val="1"/>
          <w:color w:val="auto"/>
        </w:rPr>
        <w:t>Reduction Date</w:t>
      </w:r>
      <w:r>
        <w:rPr>
          <w:rFonts w:ascii="Times New Roman" w:cs="Times New Roman" w:eastAsia="Times New Roman" w:hAnsi="Times New Roman"/>
          <w:sz w:val="22"/>
          <w:szCs w:val="22"/>
          <w:color w:val="auto"/>
        </w:rPr>
        <w:t xml:space="preserve">”), the rights of the Lead Investor with respect to such Second Designee shall immediately terminate and be of no further force or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such time as the Lead Investor thereafter again meets the Second Threshold, it shall again be entitled to exercise such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459740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769" w:right="339" w:bottom="1440" w:gutter="0" w:footer="0" w:header="0"/>
        </w:sectPr>
      </w:pPr>
    </w:p>
    <w:bookmarkStart w:id="209" w:name="page210"/>
    <w:bookmarkEnd w:id="209"/>
    <w:p>
      <w:pPr>
        <w:jc w:val="right"/>
        <w:spacing w:after="0"/>
        <w:rPr>
          <w:sz w:val="20"/>
          <w:szCs w:val="20"/>
          <w:color w:val="auto"/>
        </w:rPr>
      </w:pPr>
      <w:r>
        <w:rPr>
          <w:rFonts w:ascii="Times New Roman" w:cs="Times New Roman" w:eastAsia="Times New Roman" w:hAnsi="Times New Roman"/>
          <w:sz w:val="18"/>
          <w:szCs w:val="18"/>
          <w:color w:val="auto"/>
        </w:rPr>
        <w:t>Exhibit 10.20</w:t>
      </w:r>
    </w:p>
    <w:p>
      <w:pPr>
        <w:spacing w:after="0" w:line="108" w:lineRule="exact"/>
        <w:rPr>
          <w:sz w:val="20"/>
          <w:szCs w:val="20"/>
          <w:color w:val="auto"/>
        </w:rPr>
      </w:pPr>
    </w:p>
    <w:p>
      <w:pPr>
        <w:jc w:val="both"/>
        <w:ind w:left="1020" w:hanging="503"/>
        <w:spacing w:after="0" w:line="243" w:lineRule="auto"/>
        <w:tabs>
          <w:tab w:leader="none" w:pos="102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of the Lead Investor provided in this Agreement shall terminate upon the earliest to occur of (1) such time as the Lead Investor, together with its Affiliates, beneficially owns less than 50% of the Securities acquired pursuant to the Purchase Agreement (which, in the case of the Pre-Funded Warrants, shall be calculated by reference to the number of Warrant Shares originally issuable upon exercise thereof without regard to any applicable exercise limitations, and shall include any Warrant Shares issued upon exercise thereof that continue to be beneficially owned by the Lead Investor or its Affiliates), (2) the tenth anniversary of the Closing Date and (3) a Liquidation Event. “</w:t>
      </w:r>
      <w:r>
        <w:rPr>
          <w:rFonts w:ascii="Times New Roman" w:cs="Times New Roman" w:eastAsia="Times New Roman" w:hAnsi="Times New Roman"/>
          <w:sz w:val="21"/>
          <w:szCs w:val="21"/>
          <w:b w:val="1"/>
          <w:bCs w:val="1"/>
          <w:color w:val="auto"/>
        </w:rPr>
        <w:t>Liquidation Event</w:t>
      </w:r>
      <w:r>
        <w:rPr>
          <w:rFonts w:ascii="Times New Roman" w:cs="Times New Roman" w:eastAsia="Times New Roman" w:hAnsi="Times New Roman"/>
          <w:sz w:val="21"/>
          <w:szCs w:val="21"/>
          <w:color w:val="auto"/>
        </w:rPr>
        <w:t>” means (i) the Company’s liquidation, dissolution, or winding up (whether voluntary or involuntary); (ii) a merger or consolidation of the Company with or into another entity, or similar transaction or series of related transactions, in which the stockholders of the Company immediately prior to such transaction(s) own less than fifty percent (50%) of the surviving or resulting entity’s outstanding voting securities immediately after such transaction(s); (iii) a transaction or series of related transactions (other than a bona fide equity financing) in which a person or group (within the meaning of Section 13(d)(3) of the Exchange Act) other than the Lead Investor acquires more than fifty percent (50%) of the Company’s outstanding voting securities; or (iv) a sale, lease, license or disposition of all or substantially all of the Company’s assets (including the grant of an exclusive license with respect to all or substantially all of the Company’s intellectual property), other than any internal reorganization or similar arrangement not undertaken for the primary purpose of avoiding the provisions of this Agreement. Additionally, the rights of the Lead Investor provided in this Agreement with respect to designating a Second Designee (but not, for the avoidance of doubt, a First Designee) shall terminate upon such time as the Lead Investor, together with its Affiliates, beneficially owns less than 75% of the Securities acquired pursuant to the Purchase Agreement (which, in the case of the Pre-Funded Warrants, shall be calculated by reference to the number of Warrant Shares originally issuable upon exercise thereof without regard to any applicable exercise limitations, and shall include any Warrant Shares issued upon exercise thereof that continue to be beneficially owned by the Lead Investor or its Affiliates).</w:t>
      </w:r>
    </w:p>
    <w:p>
      <w:pPr>
        <w:spacing w:after="0" w:line="74" w:lineRule="exact"/>
        <w:rPr>
          <w:rFonts w:ascii="Times New Roman" w:cs="Times New Roman" w:eastAsia="Times New Roman" w:hAnsi="Times New Roman"/>
          <w:sz w:val="21"/>
          <w:szCs w:val="21"/>
          <w:color w:val="auto"/>
        </w:rPr>
      </w:pPr>
    </w:p>
    <w:p>
      <w:pPr>
        <w:jc w:val="both"/>
        <w:ind w:left="1020" w:hanging="503"/>
        <w:spacing w:after="0" w:line="234" w:lineRule="auto"/>
        <w:tabs>
          <w:tab w:leader="none" w:pos="102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decrease in the number of directors that the Lead Investor is entitled to designate for nomination pursuant to this Agreement due solely to sales of Company securities by the Lead Investor (but not, for the avoidance of doubt, due to dilution of such securities), the Lead Investor shall take all necessary or appropriate action to cause the appropriate number of Designees to offer to tender their resignation, effective as of the next Election Meeting of the Company. Any Designee resigning pursuant to this paragraph (j) shall be permitted to continue serving as a director until the next Election Meeting.</w:t>
      </w:r>
    </w:p>
    <w:p>
      <w:pPr>
        <w:spacing w:after="0" w:line="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Neither the Company nor the Lead Investor may assign its rights or obligations under this Agreement without the prior written consent of the other party.</w:t>
      </w:r>
    </w:p>
    <w:p>
      <w:pPr>
        <w:spacing w:after="0" w:line="17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 xml:space="preserve">The provisions of Sections 9.2, 9.4, 9.5, 9.6, 9.11, 9.12, 9.14, 9.15, 9.17 and 9.18 of the Purchase Agreement are incorporated by reference herein,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and shall apply to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2298065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ALIGOS THERAPEUTICS,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Lesley Ann Calhoun</w:t>
      </w:r>
    </w:p>
    <w:p>
      <w:pPr>
        <w:spacing w:after="0" w:line="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  Lesley Ann Calhoun</w:t>
      </w:r>
    </w:p>
    <w:p>
      <w:pPr>
        <w:ind w:left="5060"/>
        <w:spacing w:after="0" w:line="230" w:lineRule="auto"/>
        <w:tabs>
          <w:tab w:leader="none" w:pos="5760" w:val="left"/>
        </w:tabs>
        <w:rPr>
          <w:sz w:val="20"/>
          <w:szCs w:val="20"/>
          <w:color w:val="auto"/>
        </w:rPr>
      </w:pPr>
      <w:r>
        <w:rPr>
          <w:rFonts w:ascii="Times New Roman" w:cs="Times New Roman" w:eastAsia="Times New Roman" w:hAnsi="Times New Roman"/>
          <w:sz w:val="22"/>
          <w:szCs w:val="22"/>
          <w:color w:val="auto"/>
        </w:rPr>
        <w:t>Title:</w:t>
        <w:tab/>
        <w:t>EVP, Chief Operating Officer &amp;</w:t>
      </w:r>
    </w:p>
    <w:p>
      <w:pPr>
        <w:spacing w:after="0" w:line="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667, L.P.</w:t>
      </w:r>
    </w:p>
    <w:p>
      <w:pPr>
        <w:spacing w:after="0" w:line="210" w:lineRule="exact"/>
        <w:rPr>
          <w:sz w:val="20"/>
          <w:szCs w:val="20"/>
          <w:color w:val="auto"/>
        </w:rPr>
      </w:pPr>
    </w:p>
    <w:p>
      <w:pPr>
        <w:ind w:left="560" w:right="4600" w:hanging="561"/>
        <w:spacing w:after="0" w:line="239" w:lineRule="auto"/>
        <w:rPr>
          <w:sz w:val="20"/>
          <w:szCs w:val="20"/>
          <w:color w:val="auto"/>
        </w:rPr>
      </w:pPr>
      <w:r>
        <w:rPr>
          <w:rFonts w:ascii="Times New Roman" w:cs="Times New Roman" w:eastAsia="Times New Roman" w:hAnsi="Times New Roman"/>
          <w:sz w:val="22"/>
          <w:szCs w:val="22"/>
          <w:color w:val="auto"/>
        </w:rPr>
        <w:t>By: BAKER BROS. ADVISORS LP, management company and investment adviser to 667, L.P., pursuant to authority granted to it by Baker Biotech Capital, L.P., general partner to 667, L.P., and not as the general partner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 Lessing</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Scott L. Lessing</w:t>
      </w:r>
    </w:p>
    <w:p>
      <w:pPr>
        <w:ind w:left="1140"/>
        <w:spacing w:after="0"/>
        <w:rPr>
          <w:sz w:val="20"/>
          <w:szCs w:val="20"/>
          <w:color w:val="auto"/>
        </w:rPr>
      </w:pPr>
      <w:r>
        <w:rPr>
          <w:rFonts w:ascii="Times New Roman" w:cs="Times New Roman" w:eastAsia="Times New Roman" w:hAnsi="Times New Roman"/>
          <w:sz w:val="22"/>
          <w:szCs w:val="22"/>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BAKER BROTHERS LIFE SCIENCES, L.P.</w:t>
      </w:r>
    </w:p>
    <w:p>
      <w:pPr>
        <w:spacing w:after="0" w:line="210" w:lineRule="exact"/>
        <w:rPr>
          <w:sz w:val="20"/>
          <w:szCs w:val="20"/>
          <w:color w:val="auto"/>
        </w:rPr>
      </w:pPr>
    </w:p>
    <w:p>
      <w:pPr>
        <w:ind w:left="560" w:right="4600" w:hanging="561"/>
        <w:spacing w:after="0" w:line="238" w:lineRule="auto"/>
        <w:rPr>
          <w:sz w:val="20"/>
          <w:szCs w:val="20"/>
          <w:color w:val="auto"/>
        </w:rPr>
      </w:pPr>
      <w:r>
        <w:rPr>
          <w:rFonts w:ascii="Times New Roman" w:cs="Times New Roman" w:eastAsia="Times New Roman" w:hAnsi="Times New Roman"/>
          <w:sz w:val="22"/>
          <w:szCs w:val="22"/>
          <w:color w:val="auto"/>
        </w:rPr>
        <w:t>By: BAKER BROS. ADVISORS LP, management company and investment adviser to BAKER BROTHERS LIFE SCIENCES, L.P., pursuant to authority granted to it by Baker Brothers Life Sciences Capital, L.P., general partner to BAKER BROTHERS LIFE SCIENCES, L.P., and not as the general partner</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Scott L. Lessing</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Scott L. Lessing</w:t>
      </w:r>
    </w:p>
    <w:p>
      <w:pPr>
        <w:ind w:left="1140"/>
        <w:spacing w:after="0"/>
        <w:rPr>
          <w:sz w:val="20"/>
          <w:szCs w:val="20"/>
          <w:color w:val="auto"/>
        </w:rPr>
      </w:pPr>
      <w:r>
        <w:rPr>
          <w:rFonts w:ascii="Times New Roman" w:cs="Times New Roman" w:eastAsia="Times New Roman" w:hAnsi="Times New Roman"/>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11" w:name="page212"/>
    <w:bookmarkEnd w:id="211"/>
    <w:p>
      <w:pPr>
        <w:jc w:val="right"/>
        <w:spacing w:after="0"/>
        <w:rPr>
          <w:sz w:val="20"/>
          <w:szCs w:val="20"/>
          <w:color w:val="auto"/>
        </w:rPr>
      </w:pPr>
      <w:r>
        <w:rPr>
          <w:rFonts w:ascii="Calibri" w:cs="Calibri" w:eastAsia="Calibri" w:hAnsi="Calibri"/>
          <w:sz w:val="22"/>
          <w:szCs w:val="22"/>
          <w:b w:val="1"/>
          <w:bCs w:val="1"/>
          <w:color w:val="auto"/>
        </w:rPr>
        <w:t>Exhibit 19.1</w:t>
      </w:r>
    </w:p>
    <w:p>
      <w:pPr>
        <w:spacing w:after="0" w:line="28"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u w:val="single" w:color="auto"/>
          <w:color w:val="auto"/>
        </w:rPr>
        <w:t>Aligos Therapeutcs, Inc.</w:t>
      </w:r>
    </w:p>
    <w:p>
      <w:pPr>
        <w:spacing w:after="0" w:line="1" w:lineRule="exact"/>
        <w:rPr>
          <w:sz w:val="20"/>
          <w:szCs w:val="20"/>
          <w:color w:val="auto"/>
        </w:rPr>
      </w:pPr>
    </w:p>
    <w:p>
      <w:pPr>
        <w:jc w:val="center"/>
        <w:ind w:right="160"/>
        <w:spacing w:after="0"/>
        <w:rPr>
          <w:sz w:val="20"/>
          <w:szCs w:val="20"/>
          <w:color w:val="auto"/>
        </w:rPr>
      </w:pPr>
      <w:r>
        <w:rPr>
          <w:rFonts w:ascii="Calibri" w:cs="Calibri" w:eastAsia="Calibri" w:hAnsi="Calibri"/>
          <w:sz w:val="22"/>
          <w:szCs w:val="22"/>
          <w:b w:val="1"/>
          <w:bCs w:val="1"/>
          <w:color w:val="auto"/>
        </w:rPr>
        <w:t>Insider Trading Compliance Policy and Procedures</w:t>
      </w:r>
    </w:p>
    <w:p>
      <w:pPr>
        <w:spacing w:after="0" w:line="1" w:lineRule="exact"/>
        <w:rPr>
          <w:sz w:val="20"/>
          <w:szCs w:val="20"/>
          <w:color w:val="auto"/>
        </w:rPr>
      </w:pPr>
    </w:p>
    <w:p>
      <w:pPr>
        <w:jc w:val="center"/>
        <w:ind w:right="100"/>
        <w:spacing w:after="0"/>
        <w:rPr>
          <w:sz w:val="20"/>
          <w:szCs w:val="20"/>
          <w:color w:val="auto"/>
        </w:rPr>
      </w:pPr>
      <w:r>
        <w:rPr>
          <w:rFonts w:ascii="Calibri" w:cs="Calibri" w:eastAsia="Calibri" w:hAnsi="Calibri"/>
          <w:sz w:val="22"/>
          <w:szCs w:val="22"/>
          <w:b w:val="1"/>
          <w:bCs w:val="1"/>
          <w:color w:val="auto"/>
        </w:rPr>
        <w:t>Efectve October 31, 2023</w:t>
      </w:r>
    </w:p>
    <w:p>
      <w:pPr>
        <w:spacing w:after="0" w:line="12" w:lineRule="exact"/>
        <w:rPr>
          <w:sz w:val="20"/>
          <w:szCs w:val="20"/>
          <w:color w:val="auto"/>
        </w:rPr>
      </w:pPr>
    </w:p>
    <w:p>
      <w:pPr>
        <w:jc w:val="both"/>
        <w:ind w:right="100" w:firstLine="747"/>
        <w:spacing w:after="0" w:line="239" w:lineRule="auto"/>
        <w:rPr>
          <w:sz w:val="20"/>
          <w:szCs w:val="20"/>
          <w:color w:val="auto"/>
        </w:rPr>
      </w:pPr>
      <w:r>
        <w:rPr>
          <w:rFonts w:ascii="Calibri" w:cs="Calibri" w:eastAsia="Calibri" w:hAnsi="Calibri"/>
          <w:sz w:val="22"/>
          <w:szCs w:val="22"/>
          <w:color w:val="auto"/>
        </w:rPr>
        <w:t>Federal and state laws prohibit trading in the securites of a company while in possession of material nonpublic informaton regarding that company and in breach of a duty of trust or confdence. These laws also prohibit anyone who is aware of material nonpublic informaton from providing this informaton to others who may trade. Violatng these laws can undermine investor trust, harm the reputaton and integrity of Aligos Therapeutcs, Inc. (together with its subsidiaries,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and result in serious criminal and civil charges against the individual and the Company. The Company reserves the right to take whatever disciplinary or other measures it determines in its sole discreton to be appropriate in any partcular situaton involving a violaton of this Policy, including removal or dismissal from the Company.</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Persons Covered</w:t>
      </w:r>
    </w:p>
    <w:p>
      <w:pPr>
        <w:spacing w:after="0" w:line="228" w:lineRule="exact"/>
        <w:rPr>
          <w:sz w:val="20"/>
          <w:szCs w:val="20"/>
          <w:color w:val="auto"/>
        </w:rPr>
      </w:pPr>
    </w:p>
    <w:p>
      <w:pPr>
        <w:jc w:val="both"/>
        <w:ind w:right="100" w:firstLine="747"/>
        <w:spacing w:after="0" w:line="239" w:lineRule="auto"/>
        <w:rPr>
          <w:sz w:val="20"/>
          <w:szCs w:val="20"/>
          <w:color w:val="auto"/>
        </w:rPr>
      </w:pPr>
      <w:r>
        <w:rPr>
          <w:rFonts w:ascii="Calibri" w:cs="Calibri" w:eastAsia="Calibri" w:hAnsi="Calibri"/>
          <w:sz w:val="22"/>
          <w:szCs w:val="22"/>
          <w:color w:val="auto"/>
        </w:rPr>
        <w:t>This Insider Trading Compliance Policy and Procedures (this “</w:t>
      </w:r>
      <w:r>
        <w:rPr>
          <w:rFonts w:ascii="Calibri" w:cs="Calibri" w:eastAsia="Calibri" w:hAnsi="Calibri"/>
          <w:sz w:val="22"/>
          <w:szCs w:val="22"/>
          <w:u w:val="single" w:color="auto"/>
          <w:color w:val="auto"/>
        </w:rPr>
        <w:t>Policy</w:t>
      </w:r>
      <w:r>
        <w:rPr>
          <w:rFonts w:ascii="Calibri" w:cs="Calibri" w:eastAsia="Calibri" w:hAnsi="Calibri"/>
          <w:sz w:val="22"/>
          <w:szCs w:val="22"/>
          <w:color w:val="auto"/>
        </w:rPr>
        <w:t>”) applies to all ofcers, directors and employees of the Company and certain consultants of the Company that the Compliance Ofcer (as defned below) determines are subject to the Policy (collectvely, “</w:t>
      </w:r>
      <w:r>
        <w:rPr>
          <w:rFonts w:ascii="Calibri" w:cs="Calibri" w:eastAsia="Calibri" w:hAnsi="Calibri"/>
          <w:sz w:val="22"/>
          <w:szCs w:val="22"/>
          <w:u w:val="single" w:color="auto"/>
          <w:color w:val="auto"/>
        </w:rPr>
        <w:t>Covered Persons</w:t>
      </w:r>
      <w:r>
        <w:rPr>
          <w:rFonts w:ascii="Calibri" w:cs="Calibri" w:eastAsia="Calibri" w:hAnsi="Calibri"/>
          <w:sz w:val="22"/>
          <w:szCs w:val="22"/>
          <w:color w:val="auto"/>
        </w:rPr>
        <w:t>”). Individuals subject to this Policy are responsible for ensuring that members of their household comply with this Policy. This Policy also applies to any enttes controlled by individuals subject to the Policy, including any corporatons, limited liability companies, partnerships or trusts, and transactons by these enttes should be treated for the purposes of this Policy as if they were for the individual’s own account. For purposes of this Policy, restrictons on Covered Persons shall be deemed to include equivalent restrictons on the members of their household and enttes referenced above.</w:t>
      </w:r>
    </w:p>
    <w:p>
      <w:pPr>
        <w:spacing w:after="0" w:line="224"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Policy Statement</w:t>
      </w:r>
    </w:p>
    <w:p>
      <w:pPr>
        <w:spacing w:after="0" w:line="230" w:lineRule="exact"/>
        <w:rPr>
          <w:sz w:val="20"/>
          <w:szCs w:val="20"/>
          <w:color w:val="auto"/>
        </w:rPr>
      </w:pPr>
    </w:p>
    <w:p>
      <w:pPr>
        <w:jc w:val="both"/>
        <w:ind w:right="100" w:firstLine="747"/>
        <w:spacing w:after="0" w:line="239" w:lineRule="auto"/>
        <w:rPr>
          <w:sz w:val="20"/>
          <w:szCs w:val="20"/>
          <w:color w:val="auto"/>
        </w:rPr>
      </w:pPr>
      <w:r>
        <w:rPr>
          <w:rFonts w:ascii="Calibri" w:cs="Calibri" w:eastAsia="Calibri" w:hAnsi="Calibri"/>
          <w:sz w:val="22"/>
          <w:szCs w:val="22"/>
          <w:color w:val="auto"/>
        </w:rPr>
        <w:t>No Covered Person shall purchase or sell any security of the Company while in possession of material nonpublic informaton relatng to the Company or any security of any other issuer that the Covered Person learns of in connecton with their actvites on behalf of the Company. Without limitng the preceding sentence, if a Covered Person possesses material nonpublic informaton about another company, such as a supplier, customer, compettor or potental acquisiton target, the Covered Person may not trade in the securites of that company untl the informaton becomes public or is no longer material.</w:t>
      </w:r>
    </w:p>
    <w:p>
      <w:pPr>
        <w:spacing w:after="0" w:line="231" w:lineRule="exact"/>
        <w:rPr>
          <w:sz w:val="20"/>
          <w:szCs w:val="20"/>
          <w:color w:val="auto"/>
        </w:rPr>
      </w:pPr>
    </w:p>
    <w:p>
      <w:pPr>
        <w:jc w:val="both"/>
        <w:ind w:right="100" w:firstLine="747"/>
        <w:spacing w:after="0" w:line="237" w:lineRule="auto"/>
        <w:rPr>
          <w:sz w:val="20"/>
          <w:szCs w:val="20"/>
          <w:color w:val="auto"/>
        </w:rPr>
      </w:pPr>
      <w:r>
        <w:rPr>
          <w:rFonts w:ascii="Calibri" w:cs="Calibri" w:eastAsia="Calibri" w:hAnsi="Calibri"/>
          <w:sz w:val="22"/>
          <w:szCs w:val="22"/>
          <w:color w:val="auto"/>
        </w:rPr>
        <w:t>In additon, Covered Persons shall not directly or indirectly communicate material nonpublic informaton to anyone outside the Company (except in accordance with the Company’s policies regarding confdental informaton) or to anyone within the Company other than on a “need-to-know” basis.</w:t>
      </w:r>
    </w:p>
    <w:p>
      <w:pPr>
        <w:spacing w:after="0" w:line="230" w:lineRule="exact"/>
        <w:rPr>
          <w:sz w:val="20"/>
          <w:szCs w:val="20"/>
          <w:color w:val="auto"/>
        </w:rPr>
      </w:pPr>
    </w:p>
    <w:p>
      <w:pPr>
        <w:jc w:val="both"/>
        <w:ind w:right="120" w:firstLine="747"/>
        <w:spacing w:after="0" w:line="235" w:lineRule="auto"/>
        <w:rPr>
          <w:sz w:val="20"/>
          <w:szCs w:val="20"/>
          <w:color w:val="auto"/>
        </w:rPr>
      </w:pPr>
      <w:r>
        <w:rPr>
          <w:rFonts w:ascii="Calibri" w:cs="Calibri" w:eastAsia="Calibri" w:hAnsi="Calibri"/>
          <w:sz w:val="22"/>
          <w:szCs w:val="22"/>
          <w:color w:val="auto"/>
        </w:rPr>
        <w:t>The concepts of “securites,” “purchase” and “sale” are defned broadly under securites laws and for purposes of this policy, include at a minimum the following:</w:t>
      </w:r>
    </w:p>
    <w:p>
      <w:pPr>
        <w:spacing w:after="0" w:line="200" w:lineRule="exact"/>
        <w:rPr>
          <w:sz w:val="20"/>
          <w:szCs w:val="20"/>
          <w:color w:val="auto"/>
        </w:rPr>
      </w:pPr>
    </w:p>
    <w:p>
      <w:pPr>
        <w:spacing w:after="0" w:line="341" w:lineRule="exact"/>
        <w:rPr>
          <w:sz w:val="20"/>
          <w:szCs w:val="20"/>
          <w:color w:val="auto"/>
        </w:rPr>
      </w:pPr>
    </w:p>
    <w:p>
      <w:pPr>
        <w:ind w:right="560" w:firstLine="747"/>
        <w:spacing w:after="0" w:line="235"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securites</w:t>
      </w:r>
      <w:r>
        <w:rPr>
          <w:rFonts w:ascii="Calibri" w:cs="Calibri" w:eastAsia="Calibri" w:hAnsi="Calibri"/>
          <w:sz w:val="22"/>
          <w:szCs w:val="22"/>
          <w:i w:val="1"/>
          <w:iCs w:val="1"/>
          <w:color w:val="auto"/>
        </w:rPr>
        <w:t>”</w:t>
      </w:r>
      <w:r>
        <w:rPr>
          <w:rFonts w:ascii="Calibri" w:cs="Calibri" w:eastAsia="Calibri" w:hAnsi="Calibri"/>
          <w:sz w:val="22"/>
          <w:szCs w:val="22"/>
          <w:color w:val="auto"/>
        </w:rPr>
        <w:t xml:space="preserve"> includes stocks, bonds, notes, debentures, optons, warrants, equity interests and other convertble securites, as well as derivatve instruments related to any of the foregoing.</w:t>
      </w:r>
    </w:p>
    <w:p>
      <w:pPr>
        <w:spacing w:after="0" w:line="230" w:lineRule="exact"/>
        <w:rPr>
          <w:sz w:val="20"/>
          <w:szCs w:val="20"/>
          <w:color w:val="auto"/>
        </w:rPr>
      </w:pPr>
    </w:p>
    <w:p>
      <w:pPr>
        <w:ind w:right="40" w:firstLine="747"/>
        <w:spacing w:after="0" w:line="235" w:lineRule="auto"/>
        <w:rPr>
          <w:sz w:val="20"/>
          <w:szCs w:val="20"/>
          <w:color w:val="auto"/>
        </w:rPr>
      </w:pPr>
      <w:r>
        <w:rPr>
          <w:rFonts w:ascii="Calibri" w:cs="Calibri" w:eastAsia="Calibri" w:hAnsi="Calibri"/>
          <w:sz w:val="22"/>
          <w:szCs w:val="22"/>
          <w:i w:val="1"/>
          <w:iCs w:val="1"/>
          <w:color w:val="auto"/>
        </w:rPr>
        <w:t>“</w:t>
      </w:r>
      <w:r>
        <w:rPr>
          <w:rFonts w:ascii="Calibri" w:cs="Calibri" w:eastAsia="Calibri" w:hAnsi="Calibri"/>
          <w:sz w:val="22"/>
          <w:szCs w:val="22"/>
          <w:u w:val="single" w:color="auto"/>
          <w:color w:val="auto"/>
        </w:rPr>
        <w:t>purchase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includes not only the actual purchase of a security, but also any contract to purchase or otherwise acquire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485775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40" w:top="803" w:right="359" w:bottom="1440" w:gutter="0" w:footer="0" w:header="0"/>
        </w:sectPr>
      </w:pPr>
    </w:p>
    <w:bookmarkStart w:id="212" w:name="page213"/>
    <w:bookmarkEnd w:id="212"/>
    <w:p>
      <w:pPr>
        <w:ind w:left="74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u w:val="single" w:color="auto"/>
          <w:color w:val="auto"/>
        </w:rPr>
        <w:t>sale</w:t>
      </w:r>
      <w:r>
        <w:rPr>
          <w:rFonts w:ascii="Calibri" w:cs="Calibri" w:eastAsia="Calibri" w:hAnsi="Calibri"/>
          <w:sz w:val="22"/>
          <w:szCs w:val="22"/>
          <w:i w:val="1"/>
          <w:iCs w:val="1"/>
          <w:color w:val="auto"/>
        </w:rPr>
        <w:t>”</w:t>
      </w:r>
      <w:r>
        <w:rPr>
          <w:rFonts w:ascii="Calibri" w:cs="Calibri" w:eastAsia="Calibri" w:hAnsi="Calibri"/>
          <w:sz w:val="22"/>
          <w:szCs w:val="22"/>
          <w:color w:val="auto"/>
        </w:rPr>
        <w:t xml:space="preserve"> includes not only the actual sale of a security, but also any contract to sell or otherwise dispose of a security.</w:t>
      </w:r>
    </w:p>
    <w:p>
      <w:pPr>
        <w:spacing w:after="0" w:line="228" w:lineRule="exact"/>
        <w:rPr>
          <w:sz w:val="20"/>
          <w:szCs w:val="20"/>
          <w:color w:val="auto"/>
        </w:rPr>
      </w:pPr>
    </w:p>
    <w:p>
      <w:pPr>
        <w:jc w:val="both"/>
        <w:ind w:right="120" w:firstLine="747"/>
        <w:spacing w:after="0" w:line="237" w:lineRule="auto"/>
        <w:rPr>
          <w:sz w:val="20"/>
          <w:szCs w:val="20"/>
          <w:color w:val="auto"/>
        </w:rPr>
      </w:pPr>
      <w:r>
        <w:rPr>
          <w:rFonts w:ascii="Calibri" w:cs="Calibri" w:eastAsia="Calibri" w:hAnsi="Calibri"/>
          <w:sz w:val="22"/>
          <w:szCs w:val="22"/>
          <w:color w:val="auto"/>
        </w:rPr>
        <w:t>These defnitons extend to a broad range of transactons, including conventonal cash- for-stock transactons, conversions, the exercise of stock optons, transfers, gifs, and acquisitons and exercises of warrants or puts, calls, pledging and margin loans, or other derivatve securites.</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Blackout Periods</w:t>
      </w:r>
    </w:p>
    <w:p>
      <w:pPr>
        <w:spacing w:after="0" w:line="228" w:lineRule="exact"/>
        <w:rPr>
          <w:sz w:val="20"/>
          <w:szCs w:val="20"/>
          <w:color w:val="auto"/>
        </w:rPr>
      </w:pPr>
    </w:p>
    <w:p>
      <w:pPr>
        <w:jc w:val="both"/>
        <w:ind w:right="120" w:firstLine="747"/>
        <w:spacing w:after="0" w:line="239" w:lineRule="auto"/>
        <w:rPr>
          <w:sz w:val="20"/>
          <w:szCs w:val="20"/>
          <w:color w:val="auto"/>
        </w:rPr>
      </w:pPr>
      <w:r>
        <w:rPr>
          <w:rFonts w:ascii="Calibri" w:cs="Calibri" w:eastAsia="Calibri" w:hAnsi="Calibri"/>
          <w:sz w:val="22"/>
          <w:szCs w:val="22"/>
          <w:color w:val="auto"/>
        </w:rPr>
        <w:t>No Covered Person may purchase or sell any security of the Company during the period beginning at market close on the last trading day of any fscal quarter of the Company and ending at market close on the frst full trading day afer the public release of earnings data for such fscal quarter (each, a “</w:t>
      </w:r>
      <w:r>
        <w:rPr>
          <w:rFonts w:ascii="Calibri" w:cs="Calibri" w:eastAsia="Calibri" w:hAnsi="Calibri"/>
          <w:sz w:val="22"/>
          <w:szCs w:val="22"/>
          <w:u w:val="single" w:color="auto"/>
          <w:color w:val="auto"/>
        </w:rPr>
        <w:t>Quarterly Blackout Period</w:t>
      </w:r>
      <w:r>
        <w:rPr>
          <w:rFonts w:ascii="Calibri" w:cs="Calibri" w:eastAsia="Calibri" w:hAnsi="Calibri"/>
          <w:sz w:val="22"/>
          <w:szCs w:val="22"/>
          <w:color w:val="auto"/>
        </w:rPr>
        <w:t xml:space="preserve">”). A “trading day” is a day on which U.S. natonal stock exchanges are open for trading. If, for example, the Company were to make an earnings announcement on Monday </w:t>
      </w:r>
      <w:r>
        <w:rPr>
          <w:rFonts w:ascii="Calibri" w:cs="Calibri" w:eastAsia="Calibri" w:hAnsi="Calibri"/>
          <w:sz w:val="22"/>
          <w:szCs w:val="22"/>
          <w:i w:val="1"/>
          <w:iCs w:val="1"/>
          <w:color w:val="auto"/>
        </w:rPr>
        <w:t>prior</w:t>
      </w:r>
      <w:r>
        <w:rPr>
          <w:rFonts w:ascii="Calibri" w:cs="Calibri" w:eastAsia="Calibri" w:hAnsi="Calibri"/>
          <w:sz w:val="22"/>
          <w:szCs w:val="22"/>
          <w:color w:val="auto"/>
        </w:rPr>
        <w:t xml:space="preserve"> to 9:30 a.m. Eastern Time, then the Quarterly Blackout Period would terminate </w:t>
      </w:r>
      <w:r>
        <w:rPr>
          <w:rFonts w:ascii="Calibri" w:cs="Calibri" w:eastAsia="Calibri" w:hAnsi="Calibri"/>
          <w:sz w:val="22"/>
          <w:szCs w:val="22"/>
          <w:i w:val="1"/>
          <w:iCs w:val="1"/>
          <w:color w:val="auto"/>
        </w:rPr>
        <w:t>afer</w:t>
      </w:r>
      <w:r>
        <w:rPr>
          <w:rFonts w:ascii="Calibri" w:cs="Calibri" w:eastAsia="Calibri" w:hAnsi="Calibri"/>
          <w:sz w:val="22"/>
          <w:szCs w:val="22"/>
          <w:color w:val="auto"/>
        </w:rPr>
        <w:t xml:space="preserve"> the close of trading on Monday. If an earnings announcement were made on Monday afer 9:30 a.m. Eastern Time, then the Quarterly Blackout Period would terminate afer the close of trading on Tuesday.</w:t>
      </w:r>
    </w:p>
    <w:p>
      <w:pPr>
        <w:spacing w:after="0" w:line="234" w:lineRule="exact"/>
        <w:rPr>
          <w:sz w:val="20"/>
          <w:szCs w:val="20"/>
          <w:color w:val="auto"/>
        </w:rPr>
      </w:pPr>
    </w:p>
    <w:p>
      <w:pPr>
        <w:jc w:val="both"/>
        <w:ind w:right="120" w:firstLine="747"/>
        <w:spacing w:after="0" w:line="237" w:lineRule="auto"/>
        <w:rPr>
          <w:sz w:val="20"/>
          <w:szCs w:val="20"/>
          <w:color w:val="auto"/>
        </w:rPr>
      </w:pPr>
      <w:r>
        <w:rPr>
          <w:rFonts w:ascii="Calibri" w:cs="Calibri" w:eastAsia="Calibri" w:hAnsi="Calibri"/>
          <w:sz w:val="22"/>
          <w:szCs w:val="22"/>
          <w:color w:val="auto"/>
        </w:rPr>
        <w:t>In additon, the Company may impose trading suspensions during which some or all Covered Persons are prohibited from purchasing or selling any security of the Company (a “</w:t>
      </w:r>
      <w:r>
        <w:rPr>
          <w:rFonts w:ascii="Calibri" w:cs="Calibri" w:eastAsia="Calibri" w:hAnsi="Calibri"/>
          <w:sz w:val="22"/>
          <w:szCs w:val="22"/>
          <w:u w:val="single" w:color="auto"/>
          <w:color w:val="auto"/>
        </w:rPr>
        <w:t>Special Blackout Period</w:t>
      </w:r>
      <w:r>
        <w:rPr>
          <w:rFonts w:ascii="Calibri" w:cs="Calibri" w:eastAsia="Calibri" w:hAnsi="Calibri"/>
          <w:sz w:val="22"/>
          <w:szCs w:val="22"/>
          <w:color w:val="auto"/>
        </w:rPr>
        <w:t>” and together with a Quarterly Blackout Period, a “</w:t>
      </w:r>
      <w:r>
        <w:rPr>
          <w:rFonts w:ascii="Calibri" w:cs="Calibri" w:eastAsia="Calibri" w:hAnsi="Calibri"/>
          <w:sz w:val="22"/>
          <w:szCs w:val="22"/>
          <w:u w:val="single" w:color="auto"/>
          <w:color w:val="auto"/>
        </w:rPr>
        <w:t>Blackout Period</w:t>
      </w:r>
      <w:r>
        <w:rPr>
          <w:rFonts w:ascii="Calibri" w:cs="Calibri" w:eastAsia="Calibri" w:hAnsi="Calibri"/>
          <w:sz w:val="22"/>
          <w:szCs w:val="22"/>
          <w:color w:val="auto"/>
        </w:rPr>
        <w:t>”). The above prohibitons during a Blackout Period do not apply to:</w:t>
      </w:r>
    </w:p>
    <w:p>
      <w:pPr>
        <w:spacing w:after="0" w:line="122" w:lineRule="exact"/>
        <w:rPr>
          <w:sz w:val="20"/>
          <w:szCs w:val="20"/>
          <w:color w:val="auto"/>
        </w:rPr>
      </w:pPr>
    </w:p>
    <w:p>
      <w:pPr>
        <w:ind w:left="1480" w:right="3820" w:hanging="1083"/>
        <w:spacing w:after="0" w:line="235" w:lineRule="auto"/>
        <w:tabs>
          <w:tab w:leader="none" w:pos="897" w:val="left"/>
        </w:tabs>
        <w:numPr>
          <w:ilvl w:val="0"/>
          <w:numId w:val="1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purchases of the Company’s securites from the Company, or sales of the Company’s securites to the Company;</w:t>
      </w:r>
    </w:p>
    <w:p>
      <w:pPr>
        <w:spacing w:after="0" w:line="122" w:lineRule="exact"/>
        <w:rPr>
          <w:rFonts w:ascii="Times New Roman" w:cs="Times New Roman" w:eastAsia="Times New Roman" w:hAnsi="Times New Roman"/>
          <w:sz w:val="22"/>
          <w:szCs w:val="22"/>
          <w:color w:val="auto"/>
        </w:rPr>
      </w:pPr>
    </w:p>
    <w:p>
      <w:pPr>
        <w:jc w:val="both"/>
        <w:ind w:left="900" w:hanging="503"/>
        <w:spacing w:after="0" w:line="238" w:lineRule="auto"/>
        <w:tabs>
          <w:tab w:leader="none" w:pos="900" w:val="left"/>
        </w:tabs>
        <w:numPr>
          <w:ilvl w:val="0"/>
          <w:numId w:val="1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exercises of stock optons or other equity awards or the surrender of shares to the Company in payment of the exercise price or in satsfacton of any tax withholding obligatons in a manner permited by the applicable equity award agreement, or vestng of equity-based awards, in each case, that do not involve a market sale of the Company’s securites (the “cashless exercise” of a Company stock opton or other equity award through a broker does involve a market sale of the Company’s securites, and therefore would not qualify under this excepton);</w:t>
      </w:r>
    </w:p>
    <w:p>
      <w:pPr>
        <w:spacing w:after="0" w:line="126" w:lineRule="exact"/>
        <w:rPr>
          <w:rFonts w:ascii="Times New Roman" w:cs="Times New Roman" w:eastAsia="Times New Roman" w:hAnsi="Times New Roman"/>
          <w:sz w:val="22"/>
          <w:szCs w:val="22"/>
          <w:color w:val="auto"/>
        </w:rPr>
      </w:pPr>
    </w:p>
    <w:p>
      <w:pPr>
        <w:jc w:val="both"/>
        <w:ind w:left="900" w:hanging="503"/>
        <w:spacing w:after="0" w:line="237" w:lineRule="auto"/>
        <w:tabs>
          <w:tab w:leader="none" w:pos="900" w:val="left"/>
        </w:tabs>
        <w:numPr>
          <w:ilvl w:val="0"/>
          <w:numId w:val="110"/>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 xml:space="preserve">bona fde </w:t>
      </w:r>
      <w:r>
        <w:rPr>
          <w:rFonts w:ascii="Calibri" w:cs="Calibri" w:eastAsia="Calibri" w:hAnsi="Calibri"/>
          <w:sz w:val="22"/>
          <w:szCs w:val="22"/>
          <w:color w:val="auto"/>
        </w:rPr>
        <w:t>gifs of the Company’s securites, unless the individual making the gif knows, or is reckless in not</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knowing, the recipient intends to sell the securites while the donor is in possession of material nonpublic informaton about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left="1480" w:right="120" w:hanging="740"/>
        <w:spacing w:after="0" w:line="238" w:lineRule="auto"/>
        <w:tabs>
          <w:tab w:leader="none" w:pos="1784" w:val="left"/>
        </w:tabs>
        <w:numPr>
          <w:ilvl w:val="1"/>
          <w:numId w:val="1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required sale of shares of stock upon vestng of restricted stock or upon vestng and setlement of restricted stock units to satsfy applicable tax withholding requirements if: (a) such sale is required by the applicable plan or award agreement; (b) the electon to require the sale of shares was made by the Company in its sole discreton; or (c) the electon to sell shares was made in compliance with this Policy; or</w:t>
      </w:r>
    </w:p>
    <w:p>
      <w:pPr>
        <w:spacing w:after="0" w:line="230" w:lineRule="exact"/>
        <w:rPr>
          <w:rFonts w:ascii="Times New Roman" w:cs="Times New Roman" w:eastAsia="Times New Roman" w:hAnsi="Times New Roman"/>
          <w:sz w:val="22"/>
          <w:szCs w:val="22"/>
          <w:color w:val="auto"/>
        </w:rPr>
      </w:pPr>
    </w:p>
    <w:p>
      <w:pPr>
        <w:ind w:left="1480" w:right="120" w:hanging="740"/>
        <w:spacing w:after="0" w:line="235" w:lineRule="auto"/>
        <w:tabs>
          <w:tab w:leader="none" w:pos="1460" w:val="left"/>
        </w:tabs>
        <w:numPr>
          <w:ilvl w:val="1"/>
          <w:numId w:val="11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purchases or sales of the Company’s securites made pursuant to a plan adopted to comply with Rule 10b5-1 (“</w:t>
      </w:r>
      <w:r>
        <w:rPr>
          <w:rFonts w:ascii="Calibri" w:cs="Calibri" w:eastAsia="Calibri" w:hAnsi="Calibri"/>
          <w:sz w:val="22"/>
          <w:szCs w:val="22"/>
          <w:u w:val="single" w:color="auto"/>
          <w:color w:val="auto"/>
        </w:rPr>
        <w:t>Rule 10b5-1</w:t>
      </w:r>
      <w:r>
        <w:rPr>
          <w:rFonts w:ascii="Calibri" w:cs="Calibri" w:eastAsia="Calibri" w:hAnsi="Calibri"/>
          <w:sz w:val="22"/>
          <w:szCs w:val="22"/>
          <w:color w:val="auto"/>
        </w:rPr>
        <w:t>”) under the Securites Exchange Act of 1934.</w:t>
      </w:r>
    </w:p>
    <w:p>
      <w:pPr>
        <w:spacing w:after="0" w:line="230" w:lineRule="exact"/>
        <w:rPr>
          <w:sz w:val="20"/>
          <w:szCs w:val="20"/>
          <w:color w:val="auto"/>
        </w:rPr>
      </w:pPr>
    </w:p>
    <w:p>
      <w:pPr>
        <w:ind w:right="120" w:firstLine="747"/>
        <w:spacing w:after="0" w:line="235" w:lineRule="auto"/>
        <w:rPr>
          <w:sz w:val="20"/>
          <w:szCs w:val="20"/>
          <w:color w:val="auto"/>
        </w:rPr>
      </w:pPr>
      <w:r>
        <w:rPr>
          <w:rFonts w:ascii="Calibri" w:cs="Calibri" w:eastAsia="Calibri" w:hAnsi="Calibri"/>
          <w:sz w:val="22"/>
          <w:szCs w:val="22"/>
          <w:color w:val="auto"/>
        </w:rPr>
        <w:t>Exceptons to the blackout period policy may be approved by the Compliance Ofcer or, in the case of exceptons for non-employee directors, the Chair of the Board of Directors or the Chair of the Audit Commitee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485775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978" w:right="339" w:bottom="1440" w:gutter="0" w:footer="0" w:header="0"/>
        </w:sectPr>
      </w:pPr>
    </w:p>
    <w:bookmarkStart w:id="213" w:name="page214"/>
    <w:bookmarkEnd w:id="213"/>
    <w:p>
      <w:pPr>
        <w:spacing w:after="0"/>
        <w:rPr>
          <w:sz w:val="20"/>
          <w:szCs w:val="20"/>
          <w:color w:val="auto"/>
        </w:rPr>
      </w:pPr>
      <w:r>
        <w:rPr>
          <w:rFonts w:ascii="Calibri" w:cs="Calibri" w:eastAsia="Calibri" w:hAnsi="Calibri"/>
          <w:sz w:val="22"/>
          <w:szCs w:val="22"/>
          <w:u w:val="single" w:color="auto"/>
          <w:color w:val="auto"/>
        </w:rPr>
        <w:t>Preclearance of Trades by Certain Covered Persons</w:t>
      </w:r>
    </w:p>
    <w:p>
      <w:pPr>
        <w:spacing w:after="0" w:line="230" w:lineRule="exact"/>
        <w:rPr>
          <w:sz w:val="20"/>
          <w:szCs w:val="20"/>
          <w:color w:val="auto"/>
        </w:rPr>
      </w:pPr>
    </w:p>
    <w:p>
      <w:pPr>
        <w:jc w:val="both"/>
        <w:ind w:right="80" w:firstLine="747"/>
        <w:spacing w:after="0" w:line="237" w:lineRule="auto"/>
        <w:rPr>
          <w:sz w:val="20"/>
          <w:szCs w:val="20"/>
          <w:color w:val="auto"/>
        </w:rPr>
      </w:pPr>
      <w:r>
        <w:rPr>
          <w:rFonts w:ascii="Calibri" w:cs="Calibri" w:eastAsia="Calibri" w:hAnsi="Calibri"/>
          <w:sz w:val="22"/>
          <w:szCs w:val="22"/>
          <w:color w:val="auto"/>
        </w:rPr>
        <w:t xml:space="preserve">All transactons in the Company’s securites by those Covered Persons listed on </w:t>
      </w:r>
      <w:r>
        <w:rPr>
          <w:rFonts w:ascii="Calibri" w:cs="Calibri" w:eastAsia="Calibri" w:hAnsi="Calibri"/>
          <w:sz w:val="22"/>
          <w:szCs w:val="22"/>
          <w:u w:val="single" w:color="auto"/>
          <w:color w:val="auto"/>
        </w:rPr>
        <w:t>Schedule I</w:t>
      </w:r>
      <w:r>
        <w:rPr>
          <w:rFonts w:ascii="Calibri" w:cs="Calibri" w:eastAsia="Calibri" w:hAnsi="Calibri"/>
          <w:sz w:val="22"/>
          <w:szCs w:val="22"/>
          <w:color w:val="auto"/>
        </w:rPr>
        <w:t xml:space="preserve"> (each, a “</w:t>
      </w:r>
      <w:r>
        <w:rPr>
          <w:rFonts w:ascii="Calibri" w:cs="Calibri" w:eastAsia="Calibri" w:hAnsi="Calibri"/>
          <w:sz w:val="22"/>
          <w:szCs w:val="22"/>
          <w:u w:val="single" w:color="auto"/>
          <w:color w:val="auto"/>
        </w:rPr>
        <w:t>Preclearance</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Person</w:t>
      </w:r>
      <w:r>
        <w:rPr>
          <w:rFonts w:ascii="Calibri" w:cs="Calibri" w:eastAsia="Calibri" w:hAnsi="Calibri"/>
          <w:sz w:val="22"/>
          <w:szCs w:val="22"/>
          <w:color w:val="auto"/>
        </w:rPr>
        <w:t>”) must be precleared by the Compliance Ofcer or their designee. Preclearance should not be understood to represent legal advice from the Company that a proposed transacton complies with the law.</w:t>
      </w:r>
    </w:p>
    <w:p>
      <w:pPr>
        <w:spacing w:after="0" w:line="230" w:lineRule="exact"/>
        <w:rPr>
          <w:sz w:val="20"/>
          <w:szCs w:val="20"/>
          <w:color w:val="auto"/>
        </w:rPr>
      </w:pPr>
    </w:p>
    <w:p>
      <w:pPr>
        <w:jc w:val="both"/>
        <w:ind w:right="80" w:firstLine="747"/>
        <w:spacing w:after="0" w:line="239" w:lineRule="auto"/>
        <w:rPr>
          <w:sz w:val="20"/>
          <w:szCs w:val="20"/>
          <w:color w:val="auto"/>
        </w:rPr>
      </w:pPr>
      <w:r>
        <w:rPr>
          <w:rFonts w:ascii="Calibri" w:cs="Calibri" w:eastAsia="Calibri" w:hAnsi="Calibri"/>
          <w:sz w:val="22"/>
          <w:szCs w:val="22"/>
          <w:color w:val="auto"/>
        </w:rPr>
        <w:t>A request for preclearance must be in writng and the Preclearance Person making the request must certfy that they are not in possession of material nonpublic informaton about the Company. The Compliance Ofcer shall have sole discreton to decide whether to provide preclearance. Notwithstanding receipt of preclearance, if the Preclearance Person becomes aware of material nonpublic informaton about the Company, the Preclearance Person shall promptly notfy the Compliance Ofcer and the preclearance shall be automatcally deemed to be revoked efectve as of the tme the Preclearance Person becomes aware of this material nonpublic informaton. The commencement of any Blackout Period shall automatcally terminate any preclearance. Transactons under a previously established Rule 10b5-1 Trading Plan (as defned below) that has been approved in accordance with this Policy are not subject to preclearance.</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Material Nonpublic Informaton</w:t>
      </w:r>
    </w:p>
    <w:p>
      <w:pPr>
        <w:spacing w:after="0" w:line="228" w:lineRule="exact"/>
        <w:rPr>
          <w:sz w:val="20"/>
          <w:szCs w:val="20"/>
          <w:color w:val="auto"/>
        </w:rPr>
      </w:pPr>
    </w:p>
    <w:p>
      <w:pPr>
        <w:jc w:val="both"/>
        <w:ind w:right="80" w:firstLine="747"/>
        <w:spacing w:after="0" w:line="238" w:lineRule="auto"/>
        <w:rPr>
          <w:sz w:val="20"/>
          <w:szCs w:val="20"/>
          <w:color w:val="auto"/>
        </w:rPr>
      </w:pPr>
      <w:r>
        <w:rPr>
          <w:rFonts w:ascii="Calibri" w:cs="Calibri" w:eastAsia="Calibri" w:hAnsi="Calibri"/>
          <w:sz w:val="22"/>
          <w:szCs w:val="22"/>
          <w:color w:val="auto"/>
        </w:rPr>
        <w:t>Informaton is considered “</w:t>
      </w:r>
      <w:r>
        <w:rPr>
          <w:rFonts w:ascii="Calibri" w:cs="Calibri" w:eastAsia="Calibri" w:hAnsi="Calibri"/>
          <w:sz w:val="22"/>
          <w:szCs w:val="22"/>
          <w:u w:val="single" w:color="auto"/>
          <w:color w:val="auto"/>
        </w:rPr>
        <w:t>material</w:t>
      </w:r>
      <w:r>
        <w:rPr>
          <w:rFonts w:ascii="Calibri" w:cs="Calibri" w:eastAsia="Calibri" w:hAnsi="Calibri"/>
          <w:sz w:val="22"/>
          <w:szCs w:val="22"/>
          <w:color w:val="auto"/>
        </w:rPr>
        <w:t>” if there is a substantal likelihood that a reasonable investor would consider it important in making a decision to buy, sell or hold a security, or if the informaton is likely to have a signifcant efect on the market price of the security. Material informaton can be positve or negatve, and can relate to virtually any aspect of a company’s business or to any type of security, debt or equity. Also, informaton that something is likely to happen in the future—or even just that it may happen—could be deemed material.</w:t>
      </w:r>
    </w:p>
    <w:p>
      <w:pPr>
        <w:spacing w:after="0" w:line="224" w:lineRule="exact"/>
        <w:rPr>
          <w:sz w:val="20"/>
          <w:szCs w:val="20"/>
          <w:color w:val="auto"/>
        </w:rPr>
      </w:pPr>
    </w:p>
    <w:p>
      <w:pPr>
        <w:ind w:left="740"/>
        <w:spacing w:after="0"/>
        <w:rPr>
          <w:sz w:val="20"/>
          <w:szCs w:val="20"/>
          <w:color w:val="auto"/>
        </w:rPr>
      </w:pPr>
      <w:r>
        <w:rPr>
          <w:rFonts w:ascii="Calibri" w:cs="Calibri" w:eastAsia="Calibri" w:hAnsi="Calibri"/>
          <w:sz w:val="22"/>
          <w:szCs w:val="22"/>
          <w:color w:val="auto"/>
        </w:rPr>
        <w:t>Examples of material informaton may include (but are not limited to) informaton about:</w:t>
      </w:r>
    </w:p>
    <w:p>
      <w:pPr>
        <w:spacing w:after="0" w:line="200" w:lineRule="exact"/>
        <w:rPr>
          <w:sz w:val="20"/>
          <w:szCs w:val="20"/>
          <w:color w:val="auto"/>
        </w:rPr>
      </w:pPr>
    </w:p>
    <w:p>
      <w:pPr>
        <w:spacing w:after="0" w:line="395" w:lineRule="exact"/>
        <w:rPr>
          <w:sz w:val="20"/>
          <w:szCs w:val="20"/>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corporate fnancial results or fnancial forecasts;</w:t>
      </w:r>
    </w:p>
    <w:p>
      <w:pPr>
        <w:spacing w:after="0" w:line="107"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progress and results of clinical trials;</w:t>
      </w:r>
    </w:p>
    <w:p>
      <w:pPr>
        <w:spacing w:after="0" w:line="109"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possible mergers, acquisitons, tender ofers, or dispositons;</w:t>
      </w:r>
    </w:p>
    <w:p>
      <w:pPr>
        <w:spacing w:after="0" w:line="109"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major new products or product developments;</w:t>
      </w:r>
    </w:p>
    <w:p>
      <w:pPr>
        <w:spacing w:after="0" w:line="121" w:lineRule="exact"/>
        <w:rPr>
          <w:rFonts w:ascii="Times New Roman" w:cs="Times New Roman" w:eastAsia="Times New Roman" w:hAnsi="Times New Roman"/>
          <w:sz w:val="22"/>
          <w:szCs w:val="22"/>
          <w:color w:val="auto"/>
        </w:rPr>
      </w:pPr>
    </w:p>
    <w:p>
      <w:pPr>
        <w:ind w:left="900" w:hanging="503"/>
        <w:spacing w:after="0" w:line="235" w:lineRule="auto"/>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important business developments, such as possible new strategic collaboratons or developments regarding existng strategic collaboratons;</w:t>
      </w:r>
    </w:p>
    <w:p>
      <w:pPr>
        <w:spacing w:after="0" w:line="111"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director or ofcer changes;</w:t>
      </w:r>
    </w:p>
    <w:p>
      <w:pPr>
        <w:spacing w:after="0" w:line="119" w:lineRule="exact"/>
        <w:rPr>
          <w:rFonts w:ascii="Times New Roman" w:cs="Times New Roman" w:eastAsia="Times New Roman" w:hAnsi="Times New Roman"/>
          <w:sz w:val="22"/>
          <w:szCs w:val="22"/>
          <w:color w:val="auto"/>
        </w:rPr>
      </w:pPr>
    </w:p>
    <w:p>
      <w:pPr>
        <w:ind w:left="900" w:right="640" w:hanging="503"/>
        <w:spacing w:after="0" w:line="235" w:lineRule="auto"/>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borrowing or fnancing developments, including pending public sales or oferings of debt or equity securites;</w:t>
      </w:r>
    </w:p>
    <w:p>
      <w:pPr>
        <w:spacing w:after="0" w:line="111"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defaults on borrowings;</w:t>
      </w:r>
    </w:p>
    <w:p>
      <w:pPr>
        <w:spacing w:after="0" w:line="109"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bankruptcies;</w:t>
      </w:r>
    </w:p>
    <w:p>
      <w:pPr>
        <w:spacing w:after="0" w:line="107"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cybersecurity or data security or protecton incidents; and</w:t>
      </w:r>
    </w:p>
    <w:p>
      <w:pPr>
        <w:spacing w:after="0" w:line="109"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litgaton or regulatory actons.</w:t>
      </w:r>
    </w:p>
    <w:p>
      <w:pPr>
        <w:spacing w:after="0" w:line="230" w:lineRule="exact"/>
        <w:rPr>
          <w:sz w:val="20"/>
          <w:szCs w:val="20"/>
          <w:color w:val="auto"/>
        </w:rPr>
      </w:pPr>
    </w:p>
    <w:p>
      <w:pPr>
        <w:ind w:right="80" w:firstLine="747"/>
        <w:spacing w:after="0" w:line="235" w:lineRule="auto"/>
        <w:rPr>
          <w:sz w:val="20"/>
          <w:szCs w:val="20"/>
          <w:color w:val="auto"/>
        </w:rPr>
      </w:pPr>
      <w:r>
        <w:rPr>
          <w:rFonts w:ascii="Calibri" w:cs="Calibri" w:eastAsia="Calibri" w:hAnsi="Calibri"/>
          <w:sz w:val="22"/>
          <w:szCs w:val="22"/>
          <w:color w:val="auto"/>
        </w:rPr>
        <w:t>Informaton is “</w:t>
      </w:r>
      <w:r>
        <w:rPr>
          <w:rFonts w:ascii="Calibri" w:cs="Calibri" w:eastAsia="Calibri" w:hAnsi="Calibri"/>
          <w:sz w:val="22"/>
          <w:szCs w:val="22"/>
          <w:u w:val="single" w:color="auto"/>
          <w:color w:val="auto"/>
        </w:rPr>
        <w:t>nonpublic</w:t>
      </w:r>
      <w:r>
        <w:rPr>
          <w:rFonts w:ascii="Calibri" w:cs="Calibri" w:eastAsia="Calibri" w:hAnsi="Calibri"/>
          <w:sz w:val="22"/>
          <w:szCs w:val="22"/>
          <w:color w:val="auto"/>
        </w:rPr>
        <w:t>” if it is not available to the general public. In order for informaton to become “</w:t>
      </w:r>
      <w:r>
        <w:rPr>
          <w:rFonts w:ascii="Calibri" w:cs="Calibri" w:eastAsia="Calibri" w:hAnsi="Calibri"/>
          <w:sz w:val="22"/>
          <w:szCs w:val="22"/>
          <w:u w:val="single" w:color="auto"/>
          <w:color w:val="auto"/>
        </w:rPr>
        <w:t>public</w:t>
      </w:r>
      <w:r>
        <w:rPr>
          <w:rFonts w:ascii="Calibri" w:cs="Calibri" w:eastAsia="Calibri" w:hAnsi="Calibri"/>
          <w:sz w:val="22"/>
          <w:szCs w:val="22"/>
          <w:color w:val="auto"/>
        </w:rPr>
        <w:t>,” it must be widely disseminated in a manner that makes it generally available to investors, such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485775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40" w:top="976" w:right="379" w:bottom="1440" w:gutter="0" w:footer="0" w:header="0"/>
        </w:sectPr>
      </w:pPr>
    </w:p>
    <w:bookmarkStart w:id="214" w:name="page215"/>
    <w:bookmarkEnd w:id="214"/>
    <w:p>
      <w:pPr>
        <w:jc w:val="both"/>
        <w:spacing w:after="0" w:line="235" w:lineRule="auto"/>
        <w:rPr>
          <w:sz w:val="20"/>
          <w:szCs w:val="20"/>
          <w:color w:val="auto"/>
        </w:rPr>
      </w:pPr>
      <w:r>
        <w:rPr>
          <w:rFonts w:ascii="Calibri" w:cs="Calibri" w:eastAsia="Calibri" w:hAnsi="Calibri"/>
          <w:sz w:val="22"/>
          <w:szCs w:val="22"/>
          <w:color w:val="auto"/>
        </w:rPr>
        <w:t>through a press release, a fling with the U.S. Securites and Exchange Commission or a Regulaton FD-compliant conference call. The Compliance Ofcer shall have sole discreton to decide whether informaton is public for purposes of this Policy.</w:t>
      </w:r>
    </w:p>
    <w:p>
      <w:pPr>
        <w:spacing w:after="0" w:line="230" w:lineRule="exact"/>
        <w:rPr>
          <w:sz w:val="20"/>
          <w:szCs w:val="20"/>
          <w:color w:val="auto"/>
        </w:rPr>
      </w:pPr>
    </w:p>
    <w:p>
      <w:pPr>
        <w:jc w:val="both"/>
        <w:ind w:firstLine="747"/>
        <w:spacing w:after="0" w:line="238" w:lineRule="auto"/>
        <w:rPr>
          <w:sz w:val="20"/>
          <w:szCs w:val="20"/>
          <w:color w:val="auto"/>
        </w:rPr>
      </w:pPr>
      <w:r>
        <w:rPr>
          <w:rFonts w:ascii="Calibri" w:cs="Calibri" w:eastAsia="Calibri" w:hAnsi="Calibri"/>
          <w:sz w:val="22"/>
          <w:szCs w:val="22"/>
          <w:color w:val="auto"/>
        </w:rPr>
        <w:t>The circulaton of rumors, even if accurate and reported in the media, does not consttute public disseminaton. In additon, even afer a public announcement, a reasonable period of tme may need to lapse in order for the market to react to the informaton. Generally, the passage of two full trading days following release of the informaton to the public is a reasonable waitng period before this informaton is deemed to be public.</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Post-Terminaton Transactons</w:t>
      </w:r>
    </w:p>
    <w:p>
      <w:pPr>
        <w:spacing w:after="0" w:line="228" w:lineRule="exact"/>
        <w:rPr>
          <w:sz w:val="20"/>
          <w:szCs w:val="20"/>
          <w:color w:val="auto"/>
        </w:rPr>
      </w:pPr>
    </w:p>
    <w:p>
      <w:pPr>
        <w:jc w:val="both"/>
        <w:ind w:firstLine="747"/>
        <w:spacing w:after="0" w:line="253" w:lineRule="auto"/>
        <w:rPr>
          <w:sz w:val="20"/>
          <w:szCs w:val="20"/>
          <w:color w:val="auto"/>
        </w:rPr>
      </w:pPr>
      <w:r>
        <w:rPr>
          <w:rFonts w:ascii="Calibri" w:cs="Calibri" w:eastAsia="Calibri" w:hAnsi="Calibri"/>
          <w:sz w:val="21"/>
          <w:szCs w:val="21"/>
          <w:color w:val="auto"/>
        </w:rPr>
        <w:t>Insider trading liability is not limited to the period when an individual is a service provider for the Company. Covered Persons that may possess material nonpublic informaton should exercise cauton trading in Company securites prior to completon of two full trading days afer the public release of earnings data for the fscal quarter in which the individual’s relatonship with the Company terminates or, if later, untl that informaton has become public or is no longer material.</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Prohibited Transactons</w:t>
      </w:r>
    </w:p>
    <w:p>
      <w:pPr>
        <w:spacing w:after="0" w:line="228" w:lineRule="exact"/>
        <w:rPr>
          <w:sz w:val="20"/>
          <w:szCs w:val="20"/>
          <w:color w:val="auto"/>
        </w:rPr>
      </w:pPr>
    </w:p>
    <w:p>
      <w:pPr>
        <w:jc w:val="both"/>
        <w:ind w:firstLine="747"/>
        <w:spacing w:after="0" w:line="238" w:lineRule="auto"/>
        <w:rPr>
          <w:sz w:val="20"/>
          <w:szCs w:val="20"/>
          <w:color w:val="auto"/>
        </w:rPr>
      </w:pPr>
      <w:r>
        <w:rPr>
          <w:rFonts w:ascii="Calibri" w:cs="Calibri" w:eastAsia="Calibri" w:hAnsi="Calibri"/>
          <w:sz w:val="22"/>
          <w:szCs w:val="22"/>
          <w:color w:val="auto"/>
        </w:rPr>
        <w:t>The Company has determined that there is a heightened legal risk and the appearance of improper or inappropriate conduct if persons subject to this Policy engage in certain types of transactons. Therefore, Covered Persons shall comply with the following policies with respect to certain transactons in the Company’s securites, even during open trading windows that are outside of a Blackout Period or pursuant to Rule 10b5-1 Trading Plans.</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Short Sales</w:t>
      </w:r>
    </w:p>
    <w:p>
      <w:pPr>
        <w:spacing w:after="0" w:line="228" w:lineRule="exact"/>
        <w:rPr>
          <w:sz w:val="20"/>
          <w:szCs w:val="20"/>
          <w:color w:val="auto"/>
        </w:rPr>
      </w:pPr>
    </w:p>
    <w:p>
      <w:pPr>
        <w:jc w:val="both"/>
        <w:ind w:firstLine="747"/>
        <w:spacing w:after="0" w:line="237" w:lineRule="auto"/>
        <w:rPr>
          <w:sz w:val="20"/>
          <w:szCs w:val="20"/>
          <w:color w:val="auto"/>
        </w:rPr>
      </w:pPr>
      <w:r>
        <w:rPr>
          <w:rFonts w:ascii="Calibri" w:cs="Calibri" w:eastAsia="Calibri" w:hAnsi="Calibri"/>
          <w:sz w:val="22"/>
          <w:szCs w:val="22"/>
          <w:color w:val="auto"/>
        </w:rPr>
        <w:t>Short sales of the Company’s securites are prohibited. Short sales of the Company’s securites, or sales of shares that the insider does not own at the tme of sale, or sales of shares against which the insider does not deliver the shares within 20 days afer the sale.</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Derivatves</w:t>
      </w:r>
    </w:p>
    <w:p>
      <w:pPr>
        <w:spacing w:after="0" w:line="228" w:lineRule="exact"/>
        <w:rPr>
          <w:sz w:val="20"/>
          <w:szCs w:val="20"/>
          <w:color w:val="auto"/>
        </w:rPr>
      </w:pPr>
    </w:p>
    <w:p>
      <w:pPr>
        <w:jc w:val="both"/>
        <w:ind w:right="20" w:firstLine="747"/>
        <w:spacing w:after="0" w:line="237" w:lineRule="auto"/>
        <w:rPr>
          <w:sz w:val="20"/>
          <w:szCs w:val="20"/>
          <w:color w:val="auto"/>
        </w:rPr>
      </w:pPr>
      <w:r>
        <w:rPr>
          <w:rFonts w:ascii="Calibri" w:cs="Calibri" w:eastAsia="Calibri" w:hAnsi="Calibri"/>
          <w:sz w:val="22"/>
          <w:szCs w:val="22"/>
          <w:color w:val="auto"/>
        </w:rPr>
        <w:t>Transactons in puts, calls, optons or other derivatve securites involving the Company’s equity securites, on an exchange, on an over-the-counter market, or in any other organized market, are prohibited. This prohibiton does not apply to optons granted to Covered Persons by the Company.</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Hedging Transactons</w:t>
      </w:r>
    </w:p>
    <w:p>
      <w:pPr>
        <w:spacing w:after="0" w:line="230" w:lineRule="exact"/>
        <w:rPr>
          <w:sz w:val="20"/>
          <w:szCs w:val="20"/>
          <w:color w:val="auto"/>
        </w:rPr>
      </w:pPr>
    </w:p>
    <w:p>
      <w:pPr>
        <w:jc w:val="both"/>
        <w:ind w:firstLine="747"/>
        <w:spacing w:after="0" w:line="237" w:lineRule="auto"/>
        <w:rPr>
          <w:sz w:val="20"/>
          <w:szCs w:val="20"/>
          <w:color w:val="auto"/>
        </w:rPr>
      </w:pPr>
      <w:r>
        <w:rPr>
          <w:rFonts w:ascii="Calibri" w:cs="Calibri" w:eastAsia="Calibri" w:hAnsi="Calibri"/>
          <w:sz w:val="22"/>
          <w:szCs w:val="22"/>
          <w:color w:val="auto"/>
        </w:rPr>
        <w:t>Hedging transactons involving the Company’s securites, such as prepaid variable forward contracts, equity swaps, collars and exchange funds, or other transactons that hedge or ofset, or are designed to hedge or ofset, any change in the market value of the Company’s equity securites, are prohibited.</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Margin Accounts and Pledging</w:t>
      </w:r>
    </w:p>
    <w:p>
      <w:pPr>
        <w:spacing w:after="0" w:line="228" w:lineRule="exact"/>
        <w:rPr>
          <w:sz w:val="20"/>
          <w:szCs w:val="20"/>
          <w:color w:val="auto"/>
        </w:rPr>
      </w:pPr>
    </w:p>
    <w:p>
      <w:pPr>
        <w:jc w:val="both"/>
        <w:ind w:firstLine="747"/>
        <w:spacing w:after="0" w:line="237" w:lineRule="auto"/>
        <w:rPr>
          <w:sz w:val="20"/>
          <w:szCs w:val="20"/>
          <w:color w:val="auto"/>
        </w:rPr>
      </w:pPr>
      <w:r>
        <w:rPr>
          <w:rFonts w:ascii="Calibri" w:cs="Calibri" w:eastAsia="Calibri" w:hAnsi="Calibri"/>
          <w:sz w:val="22"/>
          <w:szCs w:val="22"/>
          <w:color w:val="auto"/>
        </w:rPr>
        <w:t>Pledging Company securites as collateral for a loan, purchasing Company securites on margin (i.e., borrowing money to purchase the securites), or placing Company securites in a margin account are each prohibited. This prohibiton does not apply to cashless exercises of stock optons under the Company’s equity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485775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89" w:right="459" w:bottom="1440" w:gutter="0" w:footer="0" w:header="0"/>
        </w:sectPr>
      </w:pPr>
    </w:p>
    <w:bookmarkStart w:id="215" w:name="page216"/>
    <w:bookmarkEnd w:id="215"/>
    <w:p>
      <w:pPr>
        <w:spacing w:after="0"/>
        <w:rPr>
          <w:sz w:val="20"/>
          <w:szCs w:val="20"/>
          <w:color w:val="auto"/>
        </w:rPr>
      </w:pPr>
      <w:r>
        <w:rPr>
          <w:rFonts w:ascii="Calibri" w:cs="Calibri" w:eastAsia="Calibri" w:hAnsi="Calibri"/>
          <w:sz w:val="22"/>
          <w:szCs w:val="22"/>
          <w:i w:val="1"/>
          <w:iCs w:val="1"/>
          <w:color w:val="auto"/>
        </w:rPr>
        <w:t>Partnership Distributons</w:t>
      </w:r>
    </w:p>
    <w:p>
      <w:pPr>
        <w:spacing w:after="0" w:line="230" w:lineRule="exact"/>
        <w:rPr>
          <w:sz w:val="20"/>
          <w:szCs w:val="20"/>
          <w:color w:val="auto"/>
        </w:rPr>
      </w:pPr>
    </w:p>
    <w:p>
      <w:pPr>
        <w:jc w:val="both"/>
        <w:ind w:right="120" w:firstLine="747"/>
        <w:spacing w:after="0" w:line="238" w:lineRule="auto"/>
        <w:rPr>
          <w:sz w:val="20"/>
          <w:szCs w:val="20"/>
          <w:color w:val="auto"/>
        </w:rPr>
      </w:pPr>
      <w:r>
        <w:rPr>
          <w:rFonts w:ascii="Calibri" w:cs="Calibri" w:eastAsia="Calibri" w:hAnsi="Calibri"/>
          <w:sz w:val="22"/>
          <w:szCs w:val="22"/>
          <w:color w:val="auto"/>
        </w:rPr>
        <w:t>Nothing in this Policy shall limit the ability of an investment fund, venture capital partnership or other similar entty with which a Covered Person is afliated to distribute Company securites to its partners, members, or other similar persons. It is the responsibility of each afected Covered Person and the afliated entty, in consultaton with their own counsel (as appropriate), to determine the tming of any distributons, based on all relevant facts and circumstances, and applicable securites laws.</w:t>
      </w:r>
    </w:p>
    <w:p>
      <w:pPr>
        <w:spacing w:after="0" w:line="224"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Rule 10b5-1 Trading Plans</w:t>
      </w:r>
    </w:p>
    <w:p>
      <w:pPr>
        <w:spacing w:after="0" w:line="228" w:lineRule="exact"/>
        <w:rPr>
          <w:sz w:val="20"/>
          <w:szCs w:val="20"/>
          <w:color w:val="auto"/>
        </w:rPr>
      </w:pPr>
    </w:p>
    <w:p>
      <w:pPr>
        <w:jc w:val="both"/>
        <w:ind w:right="140" w:firstLine="747"/>
        <w:spacing w:after="0" w:line="237" w:lineRule="auto"/>
        <w:rPr>
          <w:sz w:val="20"/>
          <w:szCs w:val="20"/>
          <w:color w:val="auto"/>
        </w:rPr>
      </w:pPr>
      <w:r>
        <w:rPr>
          <w:rFonts w:ascii="Calibri" w:cs="Calibri" w:eastAsia="Calibri" w:hAnsi="Calibri"/>
          <w:sz w:val="22"/>
          <w:szCs w:val="22"/>
          <w:color w:val="auto"/>
        </w:rPr>
        <w:t>The trading restrictons set forth in this Policy (other than those transactons described under “</w:t>
      </w:r>
      <w:r>
        <w:rPr>
          <w:rFonts w:ascii="Calibri" w:cs="Calibri" w:eastAsia="Calibri" w:hAnsi="Calibri"/>
          <w:sz w:val="22"/>
          <w:szCs w:val="22"/>
          <w:u w:val="single" w:color="auto"/>
          <w:color w:val="auto"/>
        </w:rPr>
        <w:t>Prohibited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Transactons</w:t>
      </w:r>
      <w:r>
        <w:rPr>
          <w:rFonts w:ascii="Calibri" w:cs="Calibri" w:eastAsia="Calibri" w:hAnsi="Calibri"/>
          <w:sz w:val="22"/>
          <w:szCs w:val="22"/>
          <w:color w:val="auto"/>
        </w:rPr>
        <w:t>”) do not apply to transactons under a previously established contract, plan or instructon to trade in the Company’s securites entered into in accordance with Rule 10b5-1 (a “</w:t>
      </w:r>
      <w:r>
        <w:rPr>
          <w:rFonts w:ascii="Calibri" w:cs="Calibri" w:eastAsia="Calibri" w:hAnsi="Calibri"/>
          <w:sz w:val="22"/>
          <w:szCs w:val="22"/>
          <w:u w:val="single" w:color="auto"/>
          <w:color w:val="auto"/>
        </w:rPr>
        <w:t>Trading Plan</w:t>
      </w:r>
      <w:r>
        <w:rPr>
          <w:rFonts w:ascii="Calibri" w:cs="Calibri" w:eastAsia="Calibri" w:hAnsi="Calibri"/>
          <w:sz w:val="22"/>
          <w:szCs w:val="22"/>
          <w:color w:val="auto"/>
        </w:rPr>
        <w:t>”) that:</w:t>
      </w:r>
    </w:p>
    <w:p>
      <w:pPr>
        <w:spacing w:after="0" w:line="200" w:lineRule="exact"/>
        <w:rPr>
          <w:sz w:val="20"/>
          <w:szCs w:val="20"/>
          <w:color w:val="auto"/>
        </w:rPr>
      </w:pPr>
    </w:p>
    <w:p>
      <w:pPr>
        <w:spacing w:after="0" w:line="396" w:lineRule="exact"/>
        <w:rPr>
          <w:sz w:val="20"/>
          <w:szCs w:val="20"/>
          <w:color w:val="auto"/>
        </w:rPr>
      </w:pPr>
    </w:p>
    <w:p>
      <w:pPr>
        <w:ind w:left="900" w:hanging="503"/>
        <w:spacing w:after="0"/>
        <w:tabs>
          <w:tab w:leader="none" w:pos="900" w:val="left"/>
        </w:tabs>
        <w:numPr>
          <w:ilvl w:val="0"/>
          <w:numId w:val="112"/>
        </w:numPr>
        <w:rPr>
          <w:rFonts w:ascii="Times New Roman" w:cs="Times New Roman" w:eastAsia="Times New Roman" w:hAnsi="Times New Roman"/>
          <w:sz w:val="22"/>
          <w:szCs w:val="22"/>
          <w:color w:val="auto"/>
        </w:rPr>
      </w:pPr>
      <w:r>
        <w:rPr>
          <w:rFonts w:ascii="Calibri" w:cs="Calibri" w:eastAsia="Calibri" w:hAnsi="Calibri"/>
          <w:sz w:val="22"/>
          <w:szCs w:val="22"/>
          <w:color w:val="auto"/>
        </w:rPr>
        <w:t>has been submited to and preapproved by the Compliance Ofcer;</w:t>
      </w:r>
    </w:p>
    <w:p>
      <w:pPr>
        <w:spacing w:after="0" w:line="111" w:lineRule="exact"/>
        <w:rPr>
          <w:rFonts w:ascii="Times New Roman" w:cs="Times New Roman" w:eastAsia="Times New Roman" w:hAnsi="Times New Roman"/>
          <w:sz w:val="22"/>
          <w:szCs w:val="22"/>
          <w:color w:val="auto"/>
        </w:rPr>
      </w:pPr>
    </w:p>
    <w:p>
      <w:pPr>
        <w:ind w:left="900" w:hanging="503"/>
        <w:spacing w:after="0"/>
        <w:tabs>
          <w:tab w:leader="none" w:pos="900" w:val="left"/>
        </w:tabs>
        <w:numPr>
          <w:ilvl w:val="0"/>
          <w:numId w:val="112"/>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includes a “</w:t>
      </w:r>
      <w:r>
        <w:rPr>
          <w:rFonts w:ascii="Calibri" w:cs="Calibri" w:eastAsia="Calibri" w:hAnsi="Calibri"/>
          <w:sz w:val="22"/>
          <w:szCs w:val="22"/>
          <w:u w:val="single" w:color="auto"/>
          <w:color w:val="auto"/>
        </w:rPr>
        <w:t>Cooling-Of Period</w:t>
      </w:r>
      <w:r>
        <w:rPr>
          <w:rFonts w:ascii="Calibri" w:cs="Calibri" w:eastAsia="Calibri" w:hAnsi="Calibri"/>
          <w:sz w:val="22"/>
          <w:szCs w:val="22"/>
          <w:color w:val="auto"/>
        </w:rPr>
        <w:t>” that extends to:</w:t>
      </w:r>
    </w:p>
    <w:p>
      <w:pPr>
        <w:spacing w:after="0" w:line="120" w:lineRule="exact"/>
        <w:rPr>
          <w:sz w:val="20"/>
          <w:szCs w:val="20"/>
          <w:color w:val="auto"/>
        </w:rPr>
      </w:pPr>
    </w:p>
    <w:p>
      <w:pPr>
        <w:jc w:val="both"/>
        <w:ind w:left="1420" w:right="20" w:hanging="514"/>
        <w:spacing w:after="0" w:line="237" w:lineRule="auto"/>
        <w:tabs>
          <w:tab w:leader="none" w:pos="1420" w:val="left"/>
        </w:tabs>
        <w:numPr>
          <w:ilvl w:val="1"/>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Secton 16 ofcers and directors, the later of (i) 90 days afer adopton or modifcaton of a Trading Plan or (ii) two business days afer fling the Form 10-K or Form 10-Q covering the fscal quarter in which the Trading Plan was adopted, up to a maximum of 120 days; and</w:t>
      </w:r>
    </w:p>
    <w:p>
      <w:pPr>
        <w:spacing w:after="0" w:line="109" w:lineRule="exact"/>
        <w:rPr>
          <w:rFonts w:ascii="Times New Roman" w:cs="Times New Roman" w:eastAsia="Times New Roman" w:hAnsi="Times New Roman"/>
          <w:sz w:val="22"/>
          <w:szCs w:val="22"/>
          <w:color w:val="auto"/>
        </w:rPr>
      </w:pPr>
    </w:p>
    <w:p>
      <w:pPr>
        <w:ind w:left="1420" w:hanging="514"/>
        <w:spacing w:after="0"/>
        <w:tabs>
          <w:tab w:leader="none" w:pos="1420" w:val="left"/>
        </w:tabs>
        <w:numPr>
          <w:ilvl w:val="1"/>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all other Covered Persons, 30 days afer adopton or modifcaton of a Trading Plan;</w:t>
      </w:r>
    </w:p>
    <w:p>
      <w:pPr>
        <w:spacing w:after="0" w:line="121" w:lineRule="exact"/>
        <w:rPr>
          <w:rFonts w:ascii="Times New Roman" w:cs="Times New Roman" w:eastAsia="Times New Roman" w:hAnsi="Times New Roman"/>
          <w:sz w:val="22"/>
          <w:szCs w:val="22"/>
          <w:color w:val="auto"/>
        </w:rPr>
      </w:pPr>
    </w:p>
    <w:p>
      <w:pPr>
        <w:jc w:val="both"/>
        <w:ind w:left="900" w:hanging="503"/>
        <w:spacing w:after="0" w:line="237" w:lineRule="auto"/>
        <w:tabs>
          <w:tab w:leader="none" w:pos="900" w:val="left"/>
        </w:tabs>
        <w:numPr>
          <w:ilvl w:val="0"/>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Secton 16 reportng persons, includes a representaton in the Trading Plan that the Secton 16 reportng person is (1) not aware of any material nonpublic informaton about the Company or its securites; and (2) adoptng the Trading Plan in good faith and not as part of a plan or scheme to evade Rule 10b-5;</w:t>
      </w:r>
    </w:p>
    <w:p>
      <w:pPr>
        <w:spacing w:after="0" w:line="122" w:lineRule="exact"/>
        <w:rPr>
          <w:rFonts w:ascii="Times New Roman" w:cs="Times New Roman" w:eastAsia="Times New Roman" w:hAnsi="Times New Roman"/>
          <w:sz w:val="22"/>
          <w:szCs w:val="22"/>
          <w:color w:val="auto"/>
        </w:rPr>
      </w:pPr>
    </w:p>
    <w:p>
      <w:pPr>
        <w:jc w:val="both"/>
        <w:ind w:left="900" w:hanging="503"/>
        <w:spacing w:after="0" w:line="237" w:lineRule="auto"/>
        <w:tabs>
          <w:tab w:leader="none" w:pos="900" w:val="left"/>
        </w:tabs>
        <w:numPr>
          <w:ilvl w:val="0"/>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has been entered into in good faith at a tme when the individual was not in possession of material nonpublic informaton about the Company and not otherwise in a blackout period, and the person who entered into the Trading Plan has acted in good faith with respect to the Trading Plan;</w:t>
      </w:r>
    </w:p>
    <w:p>
      <w:pPr>
        <w:spacing w:after="0" w:line="122" w:lineRule="exact"/>
        <w:rPr>
          <w:rFonts w:ascii="Times New Roman" w:cs="Times New Roman" w:eastAsia="Times New Roman" w:hAnsi="Times New Roman"/>
          <w:sz w:val="22"/>
          <w:szCs w:val="22"/>
          <w:color w:val="auto"/>
        </w:rPr>
      </w:pPr>
    </w:p>
    <w:p>
      <w:pPr>
        <w:ind w:left="900" w:right="20" w:hanging="503"/>
        <w:spacing w:after="0" w:line="235" w:lineRule="auto"/>
        <w:tabs>
          <w:tab w:leader="none" w:pos="900" w:val="left"/>
        </w:tabs>
        <w:numPr>
          <w:ilvl w:val="0"/>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either (1) specifes the amounts, prices, and dates of all transactons under the Trading Plan; or (2) provides a writen formula, algorithm, or computer program for determining the amount, price, and date of the transactons;</w:t>
      </w:r>
    </w:p>
    <w:p>
      <w:pPr>
        <w:spacing w:after="0" w:line="122" w:lineRule="exact"/>
        <w:rPr>
          <w:rFonts w:ascii="Times New Roman" w:cs="Times New Roman" w:eastAsia="Times New Roman" w:hAnsi="Times New Roman"/>
          <w:sz w:val="22"/>
          <w:szCs w:val="22"/>
          <w:color w:val="auto"/>
        </w:rPr>
      </w:pPr>
    </w:p>
    <w:p>
      <w:pPr>
        <w:ind w:left="900" w:hanging="503"/>
        <w:spacing w:after="0" w:line="235" w:lineRule="auto"/>
        <w:tabs>
          <w:tab w:leader="none" w:pos="900" w:val="left"/>
        </w:tabs>
        <w:numPr>
          <w:ilvl w:val="0"/>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prohibits the Covered Person from exercising any subsequent infuence over the transactons under the Trading Plan; and</w:t>
      </w:r>
    </w:p>
    <w:p>
      <w:pPr>
        <w:spacing w:after="0" w:line="122" w:lineRule="exact"/>
        <w:rPr>
          <w:rFonts w:ascii="Times New Roman" w:cs="Times New Roman" w:eastAsia="Times New Roman" w:hAnsi="Times New Roman"/>
          <w:sz w:val="22"/>
          <w:szCs w:val="22"/>
          <w:color w:val="auto"/>
        </w:rPr>
      </w:pPr>
    </w:p>
    <w:p>
      <w:pPr>
        <w:ind w:left="900" w:hanging="503"/>
        <w:spacing w:after="0" w:line="235" w:lineRule="auto"/>
        <w:tabs>
          <w:tab w:leader="none" w:pos="900" w:val="left"/>
        </w:tabs>
        <w:numPr>
          <w:ilvl w:val="0"/>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utlizes a form of Trading Plan document approved by the Company that complies with all other applicable requirements of Rule 10b5-1, including applicable certfcaton requirements.</w:t>
      </w:r>
    </w:p>
    <w:p>
      <w:pPr>
        <w:spacing w:after="0" w:line="230" w:lineRule="exact"/>
        <w:rPr>
          <w:sz w:val="20"/>
          <w:szCs w:val="20"/>
          <w:color w:val="auto"/>
        </w:rPr>
      </w:pPr>
    </w:p>
    <w:p>
      <w:pPr>
        <w:jc w:val="both"/>
        <w:ind w:right="120" w:firstLine="747"/>
        <w:spacing w:after="0" w:line="238" w:lineRule="auto"/>
        <w:rPr>
          <w:sz w:val="20"/>
          <w:szCs w:val="20"/>
          <w:color w:val="auto"/>
        </w:rPr>
      </w:pPr>
      <w:r>
        <w:rPr>
          <w:rFonts w:ascii="Calibri" w:cs="Calibri" w:eastAsia="Calibri" w:hAnsi="Calibri"/>
          <w:sz w:val="22"/>
          <w:szCs w:val="22"/>
          <w:color w:val="auto"/>
        </w:rPr>
        <w:t>The Compliance Ofcer may impose such other conditons on the implementaton and operaton of the Trading Plan, including the utlizaton of a broker approved by the Company, as the Compliance Ofcer deems necessary or advisable. Individuals may not adopt more than one Trading Plan at a tme except under the limited circumstances permited by Rule 10b5-1 (which include certain RSU sell-to-cover plans and plans that will not go into efect untl expiraton of a predecessor plan) and subject to preapproval by the Compliance Ofcer.</w:t>
      </w:r>
    </w:p>
    <w:p>
      <w:pPr>
        <w:spacing w:after="0" w:line="234" w:lineRule="exact"/>
        <w:rPr>
          <w:sz w:val="20"/>
          <w:szCs w:val="20"/>
          <w:color w:val="auto"/>
        </w:rPr>
      </w:pPr>
    </w:p>
    <w:p>
      <w:pPr>
        <w:jc w:val="both"/>
        <w:ind w:right="120" w:firstLine="747"/>
        <w:spacing w:after="0" w:line="235" w:lineRule="auto"/>
        <w:rPr>
          <w:sz w:val="20"/>
          <w:szCs w:val="20"/>
          <w:color w:val="auto"/>
        </w:rPr>
      </w:pPr>
      <w:r>
        <w:rPr>
          <w:rFonts w:ascii="Calibri" w:cs="Calibri" w:eastAsia="Calibri" w:hAnsi="Calibri"/>
          <w:sz w:val="22"/>
          <w:szCs w:val="22"/>
          <w:color w:val="auto"/>
        </w:rPr>
        <w:t>An individual may only modify a Trading Plan outside of any Blackout Period applicable to the individual and, in any event, when the individual does not possess material nonpublic informaton concerning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485775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976" w:right="339" w:bottom="1440" w:gutter="0" w:footer="0" w:header="0"/>
        </w:sectPr>
      </w:pPr>
    </w:p>
    <w:bookmarkStart w:id="216" w:name="page217"/>
    <w:bookmarkEnd w:id="216"/>
    <w:p>
      <w:pPr>
        <w:jc w:val="both"/>
        <w:spacing w:after="0" w:line="237" w:lineRule="auto"/>
        <w:rPr>
          <w:sz w:val="20"/>
          <w:szCs w:val="20"/>
          <w:color w:val="auto"/>
        </w:rPr>
      </w:pPr>
      <w:r>
        <w:rPr>
          <w:rFonts w:ascii="Calibri" w:cs="Calibri" w:eastAsia="Calibri" w:hAnsi="Calibri"/>
          <w:sz w:val="22"/>
          <w:szCs w:val="22"/>
          <w:color w:val="auto"/>
        </w:rPr>
        <w:t>the Company. Modifcatons to, and terminatons of, a Trading Plan are subject to preapproval by the Compliance Ofcer and modifcatons of a Trading Plan that change the amount, price or tming of the purchase or sale of the securites underlying a Trading Plan will trigger a new Cooling-Of Period.</w:t>
      </w:r>
    </w:p>
    <w:p>
      <w:pPr>
        <w:spacing w:after="0" w:line="230" w:lineRule="exact"/>
        <w:rPr>
          <w:sz w:val="20"/>
          <w:szCs w:val="20"/>
          <w:color w:val="auto"/>
        </w:rPr>
      </w:pPr>
    </w:p>
    <w:p>
      <w:pPr>
        <w:jc w:val="both"/>
        <w:ind w:firstLine="747"/>
        <w:spacing w:after="0" w:line="237" w:lineRule="auto"/>
        <w:rPr>
          <w:sz w:val="20"/>
          <w:szCs w:val="20"/>
          <w:color w:val="auto"/>
        </w:rPr>
      </w:pPr>
      <w:r>
        <w:rPr>
          <w:rFonts w:ascii="Calibri" w:cs="Calibri" w:eastAsia="Calibri" w:hAnsi="Calibri"/>
          <w:sz w:val="22"/>
          <w:szCs w:val="22"/>
          <w:color w:val="auto"/>
        </w:rPr>
        <w:t>Covered Persons that have adopted a Trading Plan should exercise cauton regarding any trades outside of their plan and must comply with all requirements in this Policy, including with respect to Blackout Periods and, if applicable, preclearance requirements.</w:t>
      </w:r>
    </w:p>
    <w:p>
      <w:pPr>
        <w:spacing w:after="0" w:line="230" w:lineRule="exact"/>
        <w:rPr>
          <w:sz w:val="20"/>
          <w:szCs w:val="20"/>
          <w:color w:val="auto"/>
        </w:rPr>
      </w:pPr>
    </w:p>
    <w:p>
      <w:pPr>
        <w:jc w:val="both"/>
        <w:ind w:firstLine="747"/>
        <w:spacing w:after="0" w:line="239" w:lineRule="auto"/>
        <w:rPr>
          <w:sz w:val="20"/>
          <w:szCs w:val="20"/>
          <w:color w:val="auto"/>
        </w:rPr>
      </w:pPr>
      <w:r>
        <w:rPr>
          <w:rFonts w:ascii="Calibri" w:cs="Calibri" w:eastAsia="Calibri" w:hAnsi="Calibri"/>
          <w:sz w:val="22"/>
          <w:szCs w:val="22"/>
          <w:color w:val="auto"/>
        </w:rPr>
        <w:t>The Company reserves the right to publicly disclose, announce, or respond to inquiries from the media regarding the adopton, modifcaton, or terminaton of a Trading Plan and non- Rule 10b5-1 trading arrangements, or the executon of transactons made under a Trading Plan. The Company also reserves the right from tme to tme to suspend, discontnue, or otherwise prohibit transactons under a Trading Plan if the Company, in its discreton, determines that such suspension, discontnuaton, or other prohibiton is in the best interests of the Company.</w:t>
      </w:r>
    </w:p>
    <w:p>
      <w:pPr>
        <w:spacing w:after="0" w:line="229" w:lineRule="exact"/>
        <w:rPr>
          <w:sz w:val="20"/>
          <w:szCs w:val="20"/>
          <w:color w:val="auto"/>
        </w:rPr>
      </w:pPr>
    </w:p>
    <w:p>
      <w:pPr>
        <w:jc w:val="both"/>
        <w:ind w:firstLine="747"/>
        <w:spacing w:after="0" w:line="238" w:lineRule="auto"/>
        <w:rPr>
          <w:sz w:val="20"/>
          <w:szCs w:val="20"/>
          <w:color w:val="auto"/>
        </w:rPr>
      </w:pPr>
      <w:r>
        <w:rPr>
          <w:rFonts w:ascii="Calibri" w:cs="Calibri" w:eastAsia="Calibri" w:hAnsi="Calibri"/>
          <w:sz w:val="22"/>
          <w:szCs w:val="22"/>
          <w:color w:val="auto"/>
        </w:rPr>
        <w:t>Compliance of a Trading Plan with the terms of Rule 10b5-1 and the executon of transactons pursuant to the Trading Plan are the responsibility of the person adoptng the Trading Plan. Rule 10b5-1 only provides an “afrmatve defense” to liability under certain insider trading laws; it does not prevent a lawsuit or guarantee there will not be liability in the event of a lawsuit.</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Administraton, Interpretaton and Updates of this Policy</w:t>
      </w:r>
    </w:p>
    <w:p>
      <w:pPr>
        <w:spacing w:after="0" w:line="228" w:lineRule="exact"/>
        <w:rPr>
          <w:sz w:val="20"/>
          <w:szCs w:val="20"/>
          <w:color w:val="auto"/>
        </w:rPr>
      </w:pPr>
    </w:p>
    <w:p>
      <w:pPr>
        <w:jc w:val="both"/>
        <w:ind w:firstLine="747"/>
        <w:spacing w:after="0" w:line="239" w:lineRule="auto"/>
        <w:rPr>
          <w:sz w:val="20"/>
          <w:szCs w:val="20"/>
          <w:color w:val="auto"/>
        </w:rPr>
      </w:pPr>
      <w:r>
        <w:rPr>
          <w:rFonts w:ascii="Calibri" w:cs="Calibri" w:eastAsia="Calibri" w:hAnsi="Calibri"/>
          <w:sz w:val="22"/>
          <w:szCs w:val="22"/>
          <w:color w:val="auto"/>
        </w:rPr>
        <w:t>This Policy shall be administered, updated and interpreted by the Company’s General Counsel or their designee (the “</w:t>
      </w:r>
      <w:r>
        <w:rPr>
          <w:rFonts w:ascii="Calibri" w:cs="Calibri" w:eastAsia="Calibri" w:hAnsi="Calibri"/>
          <w:sz w:val="22"/>
          <w:szCs w:val="22"/>
          <w:u w:val="single" w:color="auto"/>
          <w:color w:val="auto"/>
        </w:rPr>
        <w:t>Compliance Ofcer</w:t>
      </w:r>
      <w:r>
        <w:rPr>
          <w:rFonts w:ascii="Calibri" w:cs="Calibri" w:eastAsia="Calibri" w:hAnsi="Calibri"/>
          <w:sz w:val="22"/>
          <w:szCs w:val="22"/>
          <w:color w:val="auto"/>
        </w:rPr>
        <w:t>”), provided that for transactons involving the General Counsel, the Compliance Ofcer shall be the Company’s Chief Financial Ofcer. Questons regarding this Policy should be directed to the Compliance Ofcer. In partcular, interpretatons and updates of this Policy may include amendments to, or departures from, the terms of this Policy, to the extent consistent with the general purpose of this Policy and applicable securites laws.</w:t>
      </w:r>
    </w:p>
    <w:p>
      <w:pPr>
        <w:spacing w:after="0" w:line="229" w:lineRule="exact"/>
        <w:rPr>
          <w:sz w:val="20"/>
          <w:szCs w:val="20"/>
          <w:color w:val="auto"/>
        </w:rPr>
      </w:pPr>
    </w:p>
    <w:p>
      <w:pPr>
        <w:jc w:val="both"/>
        <w:ind w:firstLine="747"/>
        <w:spacing w:after="0" w:line="238" w:lineRule="auto"/>
        <w:rPr>
          <w:sz w:val="20"/>
          <w:szCs w:val="20"/>
          <w:color w:val="auto"/>
        </w:rPr>
      </w:pPr>
      <w:r>
        <w:rPr>
          <w:rFonts w:ascii="Calibri" w:cs="Calibri" w:eastAsia="Calibri" w:hAnsi="Calibri"/>
          <w:sz w:val="22"/>
          <w:szCs w:val="22"/>
          <w:color w:val="auto"/>
        </w:rPr>
        <w:t>None of the Company, the Compliance Ofcer or the Company’s other employees or directors assumes (a) any legality or consequences relatng to a person entering into, informing the Company of, or trading under, a Trading Plan, or (b) any liability for or delay in reviewing and/or refusing to approve a Trading Plan submited for approval or preclearance request.</w:t>
      </w:r>
    </w:p>
    <w:p>
      <w:pPr>
        <w:spacing w:after="0" w:line="231" w:lineRule="exact"/>
        <w:rPr>
          <w:sz w:val="20"/>
          <w:szCs w:val="20"/>
          <w:color w:val="auto"/>
        </w:rPr>
      </w:pPr>
    </w:p>
    <w:p>
      <w:pPr>
        <w:jc w:val="both"/>
        <w:ind w:firstLine="747"/>
        <w:spacing w:after="0" w:line="237" w:lineRule="auto"/>
        <w:rPr>
          <w:sz w:val="20"/>
          <w:szCs w:val="20"/>
          <w:color w:val="auto"/>
        </w:rPr>
      </w:pPr>
      <w:r>
        <w:rPr>
          <w:rFonts w:ascii="Calibri" w:cs="Calibri" w:eastAsia="Calibri" w:hAnsi="Calibri"/>
          <w:sz w:val="22"/>
          <w:szCs w:val="22"/>
          <w:color w:val="auto"/>
        </w:rPr>
        <w:t>Actons taken by the Company, the Compliance Ofcer or any other Company employee or director do not consttute legal advice to Covered Persons, nor do they insulate Covered Persons from the consequences of noncompliance with this Policy or with securites laws.</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u w:val="single" w:color="auto"/>
          <w:color w:val="auto"/>
        </w:rPr>
        <w:t>Certfcaton of Compliance</w:t>
      </w:r>
    </w:p>
    <w:p>
      <w:pPr>
        <w:spacing w:after="0" w:line="230" w:lineRule="exact"/>
        <w:rPr>
          <w:sz w:val="20"/>
          <w:szCs w:val="20"/>
          <w:color w:val="auto"/>
        </w:rPr>
      </w:pPr>
    </w:p>
    <w:p>
      <w:pPr>
        <w:ind w:right="940" w:firstLine="747"/>
        <w:spacing w:after="0" w:line="235" w:lineRule="auto"/>
        <w:rPr>
          <w:sz w:val="20"/>
          <w:szCs w:val="20"/>
          <w:color w:val="auto"/>
        </w:rPr>
      </w:pPr>
      <w:r>
        <w:rPr>
          <w:rFonts w:ascii="Calibri" w:cs="Calibri" w:eastAsia="Calibri" w:hAnsi="Calibri"/>
          <w:sz w:val="22"/>
          <w:szCs w:val="22"/>
          <w:color w:val="auto"/>
        </w:rPr>
        <w:t>All directors, ofcers, employees and others subject to this Policy may be asked periodically to certfy their compliance with the terms and provisions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794385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989" w:right="459" w:bottom="1440" w:gutter="0" w:footer="0" w:header="0"/>
        </w:sectPr>
      </w:pPr>
    </w:p>
    <w:bookmarkStart w:id="217" w:name="page218"/>
    <w:bookmarkEnd w:id="217"/>
    <w:p>
      <w:pPr>
        <w:spacing w:after="0"/>
        <w:rPr>
          <w:sz w:val="20"/>
          <w:szCs w:val="20"/>
          <w:color w:val="auto"/>
        </w:rPr>
      </w:pPr>
      <w:r>
        <w:rPr>
          <w:rFonts w:ascii="Calibri" w:cs="Calibri" w:eastAsia="Calibri" w:hAnsi="Calibri"/>
          <w:sz w:val="22"/>
          <w:szCs w:val="22"/>
          <w:u w:val="single" w:color="auto"/>
          <w:color w:val="auto"/>
        </w:rPr>
        <w:t>Schedule I</w:t>
      </w:r>
    </w:p>
    <w:p>
      <w:pPr>
        <w:spacing w:after="0" w:line="28" w:lineRule="exact"/>
        <w:rPr>
          <w:sz w:val="20"/>
          <w:szCs w:val="20"/>
          <w:color w:val="auto"/>
        </w:rPr>
      </w:pPr>
    </w:p>
    <w:p>
      <w:pPr>
        <w:jc w:val="right"/>
        <w:ind w:right="2259"/>
        <w:spacing w:after="0"/>
        <w:rPr>
          <w:sz w:val="20"/>
          <w:szCs w:val="20"/>
          <w:color w:val="auto"/>
        </w:rPr>
      </w:pPr>
      <w:r>
        <w:rPr>
          <w:rFonts w:ascii="Calibri" w:cs="Calibri" w:eastAsia="Calibri" w:hAnsi="Calibri"/>
          <w:sz w:val="22"/>
          <w:szCs w:val="22"/>
          <w:u w:val="single" w:color="auto"/>
          <w:color w:val="auto"/>
        </w:rPr>
        <w:t>Individuals Subject to Preclearance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1967230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803" w:right="1440"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right="200" w:firstLine="8"/>
        <w:spacing w:after="0" w:line="282" w:lineRule="auto"/>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333- 249568) pertaining to the Aligos Therapeutics, Inc. 2018 Equity Incentive Plan, 2020 Incentive Award Plan and 2020 Employee Stock Purchase Plan,</w:t>
      </w:r>
    </w:p>
    <w:p>
      <w:pPr>
        <w:spacing w:after="0" w:line="161" w:lineRule="exact"/>
        <w:rPr>
          <w:rFonts w:ascii="Times New Roman" w:cs="Times New Roman" w:eastAsia="Times New Roman" w:hAnsi="Times New Roman"/>
          <w:sz w:val="18"/>
          <w:szCs w:val="18"/>
          <w:color w:val="auto"/>
        </w:rPr>
      </w:pPr>
    </w:p>
    <w:p>
      <w:pPr>
        <w:ind w:right="400" w:firstLine="8"/>
        <w:spacing w:after="0" w:line="282" w:lineRule="auto"/>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333- 254628) pertaining to the Aligos Therapeutics, Inc. 2020 Incentive Award Plan and 2020 Employee Stock Purchase Plan,</w:t>
      </w:r>
    </w:p>
    <w:p>
      <w:pPr>
        <w:spacing w:after="0" w:line="16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333- 260774) of Aligos Therapeutics, Inc.,</w:t>
      </w:r>
    </w:p>
    <w:p>
      <w:pPr>
        <w:spacing w:after="0" w:line="225" w:lineRule="exact"/>
        <w:rPr>
          <w:rFonts w:ascii="Times New Roman" w:cs="Times New Roman" w:eastAsia="Times New Roman" w:hAnsi="Times New Roman"/>
          <w:sz w:val="18"/>
          <w:szCs w:val="18"/>
          <w:color w:val="auto"/>
        </w:rPr>
      </w:pPr>
    </w:p>
    <w:p>
      <w:pPr>
        <w:ind w:right="400" w:firstLine="8"/>
        <w:spacing w:after="0" w:line="282" w:lineRule="auto"/>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333- 263447) pertaining to the Aligos Therapeutics, Inc. 2020 Incentive Award Plan and 2020 Employee Stock Purchase Plan,</w:t>
      </w:r>
    </w:p>
    <w:p>
      <w:pPr>
        <w:spacing w:after="0" w:line="161" w:lineRule="exact"/>
        <w:rPr>
          <w:rFonts w:ascii="Times New Roman" w:cs="Times New Roman" w:eastAsia="Times New Roman" w:hAnsi="Times New Roman"/>
          <w:sz w:val="18"/>
          <w:szCs w:val="18"/>
          <w:color w:val="auto"/>
        </w:rPr>
      </w:pPr>
    </w:p>
    <w:p>
      <w:pPr>
        <w:ind w:right="440" w:firstLine="8"/>
        <w:spacing w:after="0" w:line="282" w:lineRule="auto"/>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333-270417) pertaining to the Aligos Therapeutics, Inc. 2020 Incentive Award Plan and 2020 Employee Stock Purchase Plan,</w:t>
      </w:r>
    </w:p>
    <w:p>
      <w:pPr>
        <w:spacing w:after="0" w:line="16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333-275636) of Aligos Therapeutics,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333-277860) pertaining to the Aligos Therapeutics, Inc. 2020 Incentive Award Plan and 2020 Employee Stock Purchase Plan,</w:t>
      </w:r>
    </w:p>
    <w:p>
      <w:pPr>
        <w:spacing w:after="0" w:line="16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333-283041) of Aligos Therapeutics, Inc., and</w:t>
      </w:r>
    </w:p>
    <w:p>
      <w:pPr>
        <w:spacing w:after="0" w:line="22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333-283042) pertaining to the Aligos Therapeutics, Inc. 2024 Employment Inducement Award Plan;</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our report dated March 10, 2025, with respect to the consolidated financial statements of Aligos Therapeutics, Inc. included in this Annual Report (Form 10-K) of Aligos Therapeutics, Inc. for the year ended December 31,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Mateo,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M. Blatt, Ph.D., certify that:</w:t>
      </w:r>
    </w:p>
    <w:p>
      <w:pPr>
        <w:spacing w:after="0" w:line="225"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Aligos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10, 2025</w:t>
            </w:r>
          </w:p>
        </w:tc>
        <w:tc>
          <w:tcPr>
            <w:tcW w:w="23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M. Blatt</w:t>
            </w:r>
          </w:p>
        </w:tc>
      </w:tr>
      <w:tr>
        <w:trPr>
          <w:trHeight w:val="191"/>
        </w:trPr>
        <w:tc>
          <w:tcPr>
            <w:tcW w:w="35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Lawrence M. Blatt, Ph.D.</w:t>
            </w:r>
          </w:p>
        </w:tc>
      </w:tr>
      <w:tr>
        <w:trPr>
          <w:trHeight w:val="216"/>
        </w:trPr>
        <w:tc>
          <w:tcPr>
            <w:tcW w:w="35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Chairman, and Chief Executive Officer</w:t>
            </w:r>
          </w:p>
        </w:tc>
      </w:tr>
      <w:tr>
        <w:trPr>
          <w:trHeight w:val="234"/>
        </w:trPr>
        <w:tc>
          <w:tcPr>
            <w:tcW w:w="3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235"/>
        </w:trPr>
        <w:tc>
          <w:tcPr>
            <w:tcW w:w="35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Lesley Ann Calhoun, certify that:</w:t>
      </w:r>
    </w:p>
    <w:p>
      <w:pPr>
        <w:spacing w:after="0" w:line="225"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Aligos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March 10, 2025</w:t>
            </w:r>
          </w:p>
        </w:tc>
        <w:tc>
          <w:tcPr>
            <w:tcW w:w="23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c>
          <w:tcPr>
            <w:tcW w:w="60" w:type="dxa"/>
            <w:vAlign w:val="bottom"/>
          </w:tcPr>
          <w:p>
            <w:pPr>
              <w:spacing w:after="0"/>
              <w:rPr>
                <w:sz w:val="20"/>
                <w:szCs w:val="20"/>
                <w:color w:val="auto"/>
              </w:rPr>
            </w:pPr>
          </w:p>
        </w:tc>
      </w:tr>
      <w:tr>
        <w:trPr>
          <w:trHeight w:val="228"/>
        </w:trPr>
        <w:tc>
          <w:tcPr>
            <w:tcW w:w="3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Lesley Ann Calhoun</w:t>
            </w:r>
          </w:p>
        </w:tc>
        <w:tc>
          <w:tcPr>
            <w:tcW w:w="60" w:type="dxa"/>
            <w:vAlign w:val="bottom"/>
          </w:tcPr>
          <w:p>
            <w:pPr>
              <w:spacing w:after="0"/>
              <w:rPr>
                <w:sz w:val="19"/>
                <w:szCs w:val="19"/>
                <w:color w:val="auto"/>
              </w:rPr>
            </w:pPr>
          </w:p>
        </w:tc>
      </w:tr>
      <w:tr>
        <w:trPr>
          <w:trHeight w:val="233"/>
        </w:trPr>
        <w:tc>
          <w:tcPr>
            <w:tcW w:w="3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Operating Officer &amp; Chief Financial</w:t>
            </w:r>
          </w:p>
        </w:tc>
        <w:tc>
          <w:tcPr>
            <w:tcW w:w="60" w:type="dxa"/>
            <w:vAlign w:val="bottom"/>
          </w:tcPr>
          <w:p>
            <w:pPr>
              <w:spacing w:after="0"/>
              <w:rPr>
                <w:sz w:val="20"/>
                <w:szCs w:val="20"/>
                <w:color w:val="auto"/>
              </w:rPr>
            </w:pPr>
          </w:p>
        </w:tc>
      </w:tr>
      <w:tr>
        <w:trPr>
          <w:trHeight w:val="234"/>
        </w:trPr>
        <w:tc>
          <w:tcPr>
            <w:tcW w:w="35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c>
          <w:tcPr>
            <w:tcW w:w="60" w:type="dxa"/>
            <w:vAlign w:val="bottom"/>
          </w:tcPr>
          <w:p>
            <w:pPr>
              <w:spacing w:after="0"/>
              <w:rPr>
                <w:sz w:val="20"/>
                <w:szCs w:val="20"/>
                <w:color w:val="auto"/>
              </w:rPr>
            </w:pPr>
          </w:p>
        </w:tc>
      </w:tr>
      <w:tr>
        <w:trPr>
          <w:trHeight w:val="270"/>
        </w:trPr>
        <w:tc>
          <w:tcPr>
            <w:tcW w:w="35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5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60" w:type="dxa"/>
            <w:vAlign w:val="bottom"/>
          </w:tcPr>
          <w:p>
            <w:pPr>
              <w:spacing w:after="0"/>
              <w:rPr>
                <w:sz w:val="23"/>
                <w:szCs w:val="23"/>
                <w:color w:val="auto"/>
              </w:rPr>
            </w:pPr>
          </w:p>
        </w:tc>
      </w:tr>
      <w:tr>
        <w:trPr>
          <w:trHeight w:val="1370"/>
        </w:trPr>
        <w:tc>
          <w:tcPr>
            <w:tcW w:w="35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1602105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Aligos Therapeutics,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135" w:lineRule="exact"/>
        <w:rPr>
          <w:sz w:val="20"/>
          <w:szCs w:val="20"/>
          <w:color w:val="auto"/>
        </w:rPr>
      </w:pPr>
    </w:p>
    <w:p>
      <w:pPr>
        <w:ind w:left="760" w:hanging="378"/>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ind w:left="6980"/>
              <w:spacing w:after="0"/>
              <w:rPr>
                <w:sz w:val="20"/>
                <w:szCs w:val="20"/>
                <w:color w:val="auto"/>
              </w:rPr>
            </w:pPr>
            <w:r>
              <w:rPr>
                <w:rFonts w:ascii="Times New Roman" w:cs="Times New Roman" w:eastAsia="Times New Roman" w:hAnsi="Times New Roman"/>
                <w:sz w:val="18"/>
                <w:szCs w:val="18"/>
                <w:color w:val="auto"/>
              </w:rPr>
              <w:t>By:</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Lawrence M. Blatt</w:t>
            </w:r>
          </w:p>
        </w:tc>
      </w:tr>
      <w:tr>
        <w:trPr>
          <w:trHeight w:val="191"/>
        </w:trPr>
        <w:tc>
          <w:tcPr>
            <w:tcW w:w="7640" w:type="dxa"/>
            <w:vAlign w:val="bottom"/>
          </w:tcPr>
          <w:p>
            <w:pPr>
              <w:spacing w:after="0"/>
              <w:rPr>
                <w:sz w:val="16"/>
                <w:szCs w:val="16"/>
                <w:color w:val="auto"/>
              </w:rPr>
            </w:pPr>
          </w:p>
        </w:tc>
        <w:tc>
          <w:tcPr>
            <w:tcW w:w="3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Lawrence M. Blatt, Ph.D.</w:t>
            </w:r>
          </w:p>
        </w:tc>
      </w:tr>
      <w:tr>
        <w:trPr>
          <w:trHeight w:val="216"/>
        </w:trPr>
        <w:tc>
          <w:tcPr>
            <w:tcW w:w="7640" w:type="dxa"/>
            <w:vAlign w:val="bottom"/>
          </w:tcPr>
          <w:p>
            <w:pPr>
              <w:spacing w:after="0"/>
              <w:rPr>
                <w:sz w:val="18"/>
                <w:szCs w:val="18"/>
                <w:color w:val="auto"/>
              </w:rPr>
            </w:pPr>
          </w:p>
        </w:tc>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Chairman, and Chief Executive</w:t>
            </w:r>
          </w:p>
        </w:tc>
      </w:tr>
      <w:tr>
        <w:trPr>
          <w:trHeight w:val="216"/>
        </w:trPr>
        <w:tc>
          <w:tcPr>
            <w:tcW w:w="764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234"/>
        </w:trPr>
        <w:tc>
          <w:tcPr>
            <w:tcW w:w="764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764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Aligos Therapeutics, Inc. (the “Company”) on Form 10-K for the period ended December 31,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10,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ind w:left="5200"/>
              <w:spacing w:after="0"/>
              <w:rPr>
                <w:sz w:val="20"/>
                <w:szCs w:val="20"/>
                <w:color w:val="auto"/>
              </w:rPr>
            </w:pPr>
            <w:r>
              <w:rPr>
                <w:rFonts w:ascii="Times New Roman" w:cs="Times New Roman" w:eastAsia="Times New Roman" w:hAnsi="Times New Roman"/>
                <w:sz w:val="18"/>
                <w:szCs w:val="18"/>
                <w:color w:val="auto"/>
              </w:rPr>
              <w:t>By:</w:t>
            </w: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Lesley Ann Calhoun</w:t>
            </w:r>
          </w:p>
        </w:tc>
      </w:tr>
      <w:tr>
        <w:trPr>
          <w:trHeight w:val="191"/>
        </w:trPr>
        <w:tc>
          <w:tcPr>
            <w:tcW w:w="5740" w:type="dxa"/>
            <w:vAlign w:val="bottom"/>
          </w:tcPr>
          <w:p>
            <w:pPr>
              <w:spacing w:after="0"/>
              <w:rPr>
                <w:sz w:val="16"/>
                <w:szCs w:val="16"/>
                <w:color w:val="auto"/>
              </w:rPr>
            </w:pPr>
          </w:p>
        </w:tc>
        <w:tc>
          <w:tcPr>
            <w:tcW w:w="55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Lesley Ann Calhoun</w:t>
            </w:r>
          </w:p>
        </w:tc>
      </w:tr>
      <w:tr>
        <w:trPr>
          <w:trHeight w:val="216"/>
        </w:trPr>
        <w:tc>
          <w:tcPr>
            <w:tcW w:w="5740" w:type="dxa"/>
            <w:vAlign w:val="bottom"/>
          </w:tcPr>
          <w:p>
            <w:pPr>
              <w:spacing w:after="0"/>
              <w:rPr>
                <w:sz w:val="18"/>
                <w:szCs w:val="18"/>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Operating Officer &amp; Chief Financial</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Officer</w:t>
            </w:r>
          </w:p>
        </w:tc>
      </w:tr>
      <w:tr>
        <w:trPr>
          <w:trHeight w:val="234"/>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27"/>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decimal"/>
      <w:start w:val="24"/>
    </w:lvl>
  </w:abstractNum>
  <w:abstractNum w:abstractNumId="48">
    <w:nsid w:val="71EA1109"/>
    <w:multiLevelType w:val="hybridMultilevel"/>
    <w:lvl w:ilvl="0">
      <w:lvlJc w:val="left"/>
      <w:lvlText w:val="•"/>
      <w:numFmt w:val="bullet"/>
      <w:start w:val="1"/>
    </w:lvl>
  </w:abstractNum>
  <w:abstractNum w:abstractNumId="49">
    <w:nsid w:val="100F59DC"/>
    <w:multiLevelType w:val="hybridMultilevel"/>
    <w:lvl w:ilvl="0">
      <w:lvlJc w:val="left"/>
      <w:lvlText w:val="•"/>
      <w:numFmt w:val="bullet"/>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1)"/>
      <w:numFmt w:val="decimal"/>
      <w:start w:val="2"/>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1)"/>
      <w:numFmt w:val="lowerLetter"/>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2"/>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1."/>
      <w:numFmt w:val="upperLetter"/>
      <w:start w:val="1"/>
    </w:lvl>
  </w:abstractNum>
  <w:abstractNum w:abstractNumId="61">
    <w:nsid w:val="68EBC550"/>
    <w:multiLevelType w:val="hybridMultilevel"/>
    <w:lvl w:ilvl="0">
      <w:lvlJc w:val="left"/>
      <w:lvlText w:val="%1."/>
      <w:numFmt w:val="decimal"/>
      <w:start w:val="1"/>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lowerLetter"/>
      <w:start w:val="3"/>
    </w:lvl>
  </w:abstractNum>
  <w:abstractNum w:abstractNumId="64">
    <w:nsid w:val="4A2AC315"/>
    <w:multiLevelType w:val="hybridMultilevel"/>
    <w:lvl w:ilvl="0">
      <w:lvlJc w:val="left"/>
      <w:lvlText w:val="%1."/>
      <w:numFmt w:val="decimal"/>
      <w:start w:val="2"/>
    </w:lvl>
    <w:lvl w:ilvl="1">
      <w:lvlJc w:val="left"/>
      <w:lvlText w:val="(%2)"/>
      <w:numFmt w:val="lowerLetter"/>
      <w:start w:val="1"/>
    </w:lvl>
  </w:abstractNum>
  <w:abstractNum w:abstractNumId="65">
    <w:nsid w:val="39EE015C"/>
    <w:multiLevelType w:val="hybridMultilevel"/>
    <w:lvl w:ilvl="0">
      <w:lvlJc w:val="left"/>
      <w:lvlText w:val="(%1)"/>
      <w:numFmt w:val="lowerLetter"/>
      <w:start w:val="4"/>
    </w:lvl>
  </w:abstractNum>
  <w:abstractNum w:abstractNumId="66">
    <w:nsid w:val="57FC4FBB"/>
    <w:multiLevelType w:val="hybridMultilevel"/>
    <w:lvl w:ilvl="0">
      <w:lvlJc w:val="left"/>
      <w:lvlText w:val="%1"/>
      <w:numFmt w:val="decimal"/>
      <w:start w:val="1"/>
    </w:lvl>
    <w:lvl w:ilvl="1">
      <w:lvlJc w:val="left"/>
      <w:lvlText w:val="(%2)"/>
      <w:numFmt w:val="lowerLetter"/>
      <w:start w:val="6"/>
    </w:lvl>
  </w:abstractNum>
  <w:abstractNum w:abstractNumId="67">
    <w:nsid w:val="CC1016F"/>
    <w:multiLevelType w:val="hybridMultilevel"/>
    <w:lvl w:ilvl="0">
      <w:lvlJc w:val="left"/>
      <w:lvlText w:val="%1."/>
      <w:numFmt w:val="decimal"/>
      <w:start w:val="3"/>
    </w:lvl>
    <w:lvl w:ilvl="1">
      <w:lvlJc w:val="left"/>
      <w:lvlText w:val="%2"/>
      <w:numFmt w:val="lowerLetter"/>
      <w:start w:val="1"/>
    </w:lvl>
  </w:abstractNum>
  <w:abstractNum w:abstractNumId="68">
    <w:nsid w:val="43F18422"/>
    <w:multiLevelType w:val="hybridMultilevel"/>
    <w:lvl w:ilvl="0">
      <w:lvlJc w:val="left"/>
      <w:lvlText w:val="(%1)"/>
      <w:numFmt w:val="lowerLetter"/>
      <w:start w:val="1"/>
    </w:lvl>
  </w:abstractNum>
  <w:abstractNum w:abstractNumId="69">
    <w:nsid w:val="60EF0119"/>
    <w:multiLevelType w:val="hybridMultilevel"/>
    <w:lvl w:ilvl="0">
      <w:lvlJc w:val="left"/>
      <w:lvlText w:val="(%1)"/>
      <w:numFmt w:val="lowerLetter"/>
      <w:start w:val="6"/>
    </w:lvl>
  </w:abstractNum>
  <w:abstractNum w:abstractNumId="70">
    <w:nsid w:val="26F324BA"/>
    <w:multiLevelType w:val="hybridMultilevel"/>
    <w:lvl w:ilvl="0">
      <w:lvlJc w:val="left"/>
      <w:lvlText w:val="%1"/>
      <w:numFmt w:val="decimal"/>
      <w:start w:val="1"/>
    </w:lvl>
    <w:lvl w:ilvl="1">
      <w:lvlJc w:val="left"/>
      <w:lvlText w:val="(%2)"/>
      <w:numFmt w:val="lowerLetter"/>
      <w:start w:val="9"/>
    </w:lvl>
  </w:abstractNum>
  <w:abstractNum w:abstractNumId="71">
    <w:nsid w:val="7F01579B"/>
    <w:multiLevelType w:val="hybridMultilevel"/>
    <w:lvl w:ilvl="0">
      <w:lvlJc w:val="left"/>
      <w:lvlText w:val="%1."/>
      <w:numFmt w:val="decimal"/>
      <w:start w:val="4"/>
    </w:lvl>
    <w:lvl w:ilvl="1">
      <w:lvlJc w:val="left"/>
      <w:lvlText w:val="(%2)"/>
      <w:numFmt w:val="lowerLetter"/>
      <w:start w:val="1"/>
    </w:lvl>
  </w:abstractNum>
  <w:abstractNum w:abstractNumId="72">
    <w:nsid w:val="49DA307D"/>
    <w:multiLevelType w:val="hybridMultilevel"/>
    <w:lvl w:ilvl="0">
      <w:lvlJc w:val="left"/>
      <w:lvlText w:val="%1"/>
      <w:numFmt w:val="decimal"/>
      <w:start w:val="1"/>
    </w:lvl>
    <w:lvl w:ilvl="1">
      <w:lvlJc w:val="left"/>
      <w:lvlText w:val="(%2)"/>
      <w:numFmt w:val="lowerLetter"/>
      <w:start w:val="3"/>
    </w:lvl>
  </w:abstractNum>
  <w:abstractNum w:abstractNumId="73">
    <w:nsid w:val="7055A5F5"/>
    <w:multiLevelType w:val="hybridMultilevel"/>
    <w:lvl w:ilvl="0">
      <w:lvlJc w:val="left"/>
      <w:lvlText w:val="%1."/>
      <w:numFmt w:val="decimal"/>
      <w:start w:val="5"/>
    </w:lvl>
    <w:lvl w:ilvl="1">
      <w:lvlJc w:val="left"/>
      <w:lvlText w:val="%2"/>
      <w:numFmt w:val="lowerLetter"/>
      <w:start w:val="1"/>
    </w:lvl>
  </w:abstractNum>
  <w:abstractNum w:abstractNumId="74">
    <w:nsid w:val="5FB8370B"/>
    <w:multiLevelType w:val="hybridMultilevel"/>
    <w:lvl w:ilvl="0">
      <w:lvlJc w:val="left"/>
      <w:lvlText w:val="%1."/>
      <w:numFmt w:val="decimal"/>
      <w:start w:val="6"/>
    </w:lvl>
    <w:lvl w:ilvl="1">
      <w:lvlJc w:val="left"/>
      <w:lvlText w:val="(%2)"/>
      <w:numFmt w:val="lowerLetter"/>
      <w:start w:val="1"/>
    </w:lvl>
  </w:abstractNum>
  <w:abstractNum w:abstractNumId="75">
    <w:nsid w:val="50801EE1"/>
    <w:multiLevelType w:val="hybridMultilevel"/>
    <w:lvl w:ilvl="0">
      <w:lvlJc w:val="left"/>
      <w:lvlText w:val="(%1)"/>
      <w:numFmt w:val="lowerLetter"/>
      <w:start w:val="2"/>
    </w:lvl>
  </w:abstractNum>
  <w:abstractNum w:abstractNumId="76">
    <w:nsid w:val="488AC1A"/>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4"/>
    </w:lvl>
  </w:abstractNum>
  <w:abstractNum w:abstractNumId="77">
    <w:nsid w:val="5FB8011C"/>
    <w:multiLevelType w:val="hybridMultilevel"/>
    <w:lvl w:ilvl="0">
      <w:lvlJc w:val="left"/>
      <w:lvlText w:val="%1."/>
      <w:numFmt w:val="decimal"/>
      <w:start w:val="8"/>
    </w:lvl>
  </w:abstractNum>
  <w:abstractNum w:abstractNumId="78">
    <w:nsid w:val="6AA78F7F"/>
    <w:multiLevelType w:val="hybridMultilevel"/>
    <w:lvl w:ilvl="0">
      <w:lvlJc w:val="left"/>
      <w:lvlText w:val="%1."/>
      <w:numFmt w:val="decimal"/>
      <w:start w:val="9"/>
    </w:lvl>
  </w:abstractNum>
  <w:abstractNum w:abstractNumId="79">
    <w:nsid w:val="7672BD2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80">
    <w:nsid w:val="6FC75AF8"/>
    <w:multiLevelType w:val="hybridMultilevel"/>
    <w:lvl w:ilvl="0">
      <w:lvlJc w:val="left"/>
      <w:lvlText w:val="%1."/>
      <w:numFmt w:val="lowerRoman"/>
      <w:start w:val="2"/>
    </w:lvl>
  </w:abstractNum>
  <w:abstractNum w:abstractNumId="81">
    <w:nsid w:val="6A5F7029"/>
    <w:multiLevelType w:val="hybridMultilevel"/>
    <w:lvl w:ilvl="0">
      <w:lvlJc w:val="left"/>
      <w:lvlText w:val="(%1)"/>
      <w:numFmt w:val="lowerLetter"/>
      <w:start w:val="2"/>
    </w:lvl>
  </w:abstractNum>
  <w:abstractNum w:abstractNumId="82">
    <w:nsid w:val="7D5E18F8"/>
    <w:multiLevelType w:val="hybridMultilevel"/>
    <w:lvl w:ilvl="0">
      <w:lvlJc w:val="left"/>
      <w:lvlText w:val="(%1)"/>
      <w:numFmt w:val="lowerLetter"/>
      <w:start w:val="8"/>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1."/>
      <w:numFmt w:val="decimal"/>
      <w:start w:val="1"/>
    </w:lvl>
    <w:lvl w:ilvl="1">
      <w:lvlJc w:val="left"/>
      <w:lvlText w:val="(%2)"/>
      <w:numFmt w:val="lowerLetter"/>
      <w:start w:val="1"/>
    </w:lvl>
  </w:abstractNum>
  <w:abstractNum w:abstractNumId="85">
    <w:nsid w:val="7DE67713"/>
    <w:multiLevelType w:val="hybridMultilevel"/>
    <w:lvl w:ilvl="0">
      <w:lvlJc w:val="left"/>
      <w:lvlText w:val="%1."/>
      <w:numFmt w:val="decimal"/>
      <w:start w:val="3"/>
    </w:lvl>
    <w:lvl w:ilvl="1">
      <w:lvlJc w:val="left"/>
      <w:lvlText w:val="(%2)"/>
      <w:numFmt w:val="lowerLetter"/>
      <w:start w:val="1"/>
    </w:lvl>
  </w:abstractNum>
  <w:abstractNum w:abstractNumId="86">
    <w:nsid w:val="555C55B5"/>
    <w:multiLevelType w:val="hybridMultilevel"/>
    <w:lvl w:ilvl="0">
      <w:lvlJc w:val="left"/>
      <w:lvlText w:val="(%1)"/>
      <w:numFmt w:val="lowerLetter"/>
      <w:start w:val="3"/>
    </w:lvl>
  </w:abstractNum>
  <w:abstractNum w:abstractNumId="87">
    <w:nsid w:val="3FA62ACA"/>
    <w:multiLevelType w:val="hybridMultilevel"/>
    <w:lvl w:ilvl="0">
      <w:lvlJc w:val="left"/>
      <w:lvlText w:val="(%1)"/>
      <w:numFmt w:val="lowerLetter"/>
      <w:start w:val="1"/>
    </w:lvl>
  </w:abstractNum>
  <w:abstractNum w:abstractNumId="88">
    <w:nsid w:val="14FCE74E"/>
    <w:multiLevelType w:val="hybridMultilevel"/>
    <w:lvl w:ilvl="0">
      <w:lvlJc w:val="left"/>
      <w:lvlText w:val="(%1)"/>
      <w:numFmt w:val="lowerLetter"/>
      <w:start w:val="7"/>
    </w:lvl>
  </w:abstractNum>
  <w:abstractNum w:abstractNumId="89">
    <w:nsid w:val="6A3DD3E8"/>
    <w:multiLevelType w:val="hybridMultilevel"/>
    <w:lvl w:ilvl="0">
      <w:lvlJc w:val="left"/>
      <w:lvlText w:val="(%1)"/>
      <w:numFmt w:val="lowerLetter"/>
      <w:start w:val="14"/>
    </w:lvl>
  </w:abstractNum>
  <w:abstractNum w:abstractNumId="90">
    <w:nsid w:val="71C91298"/>
    <w:multiLevelType w:val="hybridMultilevel"/>
    <w:lvl w:ilvl="0">
      <w:lvlJc w:val="left"/>
      <w:lvlText w:val="(%1)"/>
      <w:numFmt w:val="lowerLetter"/>
      <w:start w:val="1"/>
    </w:lvl>
  </w:abstractNum>
  <w:abstractNum w:abstractNumId="91">
    <w:nsid w:val="9DAF632"/>
    <w:multiLevelType w:val="hybridMultilevel"/>
    <w:lvl w:ilvl="0">
      <w:lvlJc w:val="left"/>
      <w:lvlText w:val="(%1)"/>
      <w:numFmt w:val="lowerLetter"/>
      <w:start w:val="3"/>
    </w:lvl>
  </w:abstractNum>
  <w:abstractNum w:abstractNumId="92">
    <w:nsid w:val="53299938"/>
    <w:multiLevelType w:val="hybridMultilevel"/>
    <w:lvl w:ilvl="0">
      <w:lvlJc w:val="left"/>
      <w:lvlText w:val="(%1)"/>
      <w:numFmt w:val="lowerRoman"/>
      <w:start w:val="1"/>
    </w:lvl>
  </w:abstractNum>
  <w:abstractNum w:abstractNumId="93">
    <w:nsid w:val="1FBFE8E0"/>
    <w:multiLevelType w:val="hybridMultilevel"/>
    <w:lvl w:ilvl="0">
      <w:lvlJc w:val="left"/>
      <w:lvlText w:val="(%1)"/>
      <w:numFmt w:val="lowerLetter"/>
      <w:start w:val="4"/>
    </w:lvl>
  </w:abstractNum>
  <w:abstractNum w:abstractNumId="94">
    <w:nsid w:val="5092CA79"/>
    <w:multiLevelType w:val="hybridMultilevel"/>
    <w:lvl w:ilvl="0">
      <w:lvlJc w:val="left"/>
      <w:lvlText w:val="(%1)"/>
      <w:numFmt w:val="lowerLetter"/>
      <w:start w:val="6"/>
    </w:lvl>
  </w:abstractNum>
  <w:abstractNum w:abstractNumId="95">
    <w:nsid w:val="1D545C4D"/>
    <w:multiLevelType w:val="hybridMultilevel"/>
    <w:lvl w:ilvl="0">
      <w:lvlJc w:val="left"/>
      <w:lvlText w:val="(%1)"/>
      <w:numFmt w:val="lowerLetter"/>
      <w:start w:val="1"/>
    </w:lvl>
  </w:abstractNum>
  <w:abstractNum w:abstractNumId="96">
    <w:nsid w:val="59ADEA3D"/>
    <w:multiLevelType w:val="hybridMultilevel"/>
    <w:lvl w:ilvl="0">
      <w:lvlJc w:val="left"/>
      <w:lvlText w:val="(%1)"/>
      <w:numFmt w:val="lowerLetter"/>
      <w:start w:val="5"/>
    </w:lvl>
  </w:abstractNum>
  <w:abstractNum w:abstractNumId="97">
    <w:nsid w:val="288F1A34"/>
    <w:multiLevelType w:val="hybridMultilevel"/>
    <w:lvl w:ilvl="0">
      <w:lvlJc w:val="left"/>
      <w:lvlText w:val="(%1)"/>
      <w:numFmt w:val="lowerLetter"/>
      <w:start w:val="1"/>
    </w:lvl>
  </w:abstractNum>
  <w:abstractNum w:abstractNumId="98">
    <w:nsid w:val="2A155DBC"/>
    <w:multiLevelType w:val="hybridMultilevel"/>
    <w:lvl w:ilvl="0">
      <w:lvlJc w:val="left"/>
      <w:lvlText w:val="(%1)"/>
      <w:numFmt w:val="lowerLetter"/>
      <w:start w:val="4"/>
    </w:lvl>
  </w:abstractNum>
  <w:abstractNum w:abstractNumId="99">
    <w:nsid w:val="1D9F6E5F"/>
    <w:multiLevelType w:val="hybridMultilevel"/>
    <w:lvl w:ilvl="0">
      <w:lvlJc w:val="left"/>
      <w:lvlText w:val="(%1)"/>
      <w:numFmt w:val="lowerLetter"/>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lowerLetter"/>
      <w:start w:val="2"/>
    </w:lvl>
  </w:abstractNum>
  <w:abstractNum w:abstractNumId="102">
    <w:nsid w:val="1CA0C5FA"/>
    <w:multiLevelType w:val="hybridMultilevel"/>
    <w:lvl w:ilvl="0">
      <w:lvlJc w:val="left"/>
      <w:lvlText w:val="(%1)"/>
      <w:numFmt w:val="lowerLetter"/>
      <w:start w:val="4"/>
    </w:lvl>
  </w:abstractNum>
  <w:abstractNum w:abstractNumId="103">
    <w:nsid w:val="53584BCB"/>
    <w:multiLevelType w:val="hybridMultilevel"/>
    <w:lvl w:ilvl="0">
      <w:lvlJc w:val="left"/>
      <w:lvlText w:val="(%1)"/>
      <w:numFmt w:val="lowerLetter"/>
      <w:start w:val="1"/>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lowerLetter"/>
      <w:start w:val="3"/>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lowerLetter"/>
      <w:start w:val="4"/>
    </w:lvl>
  </w:abstractNum>
  <w:abstractNum w:abstractNumId="108">
    <w:nsid w:val="5C10FE21"/>
    <w:multiLevelType w:val="hybridMultilevel"/>
    <w:lvl w:ilvl="0">
      <w:lvlJc w:val="left"/>
      <w:lvlText w:val="(%1)"/>
      <w:numFmt w:val="lowerLetter"/>
      <w:start w:val="9"/>
    </w:lvl>
  </w:abstractNum>
  <w:abstractNum w:abstractNumId="109">
    <w:nsid w:val="E7FFA2B"/>
    <w:multiLevelType w:val="hybridMultilevel"/>
    <w:lvl w:ilvl="0">
      <w:lvlJc w:val="left"/>
      <w:lvlText w:val="•"/>
      <w:numFmt w:val="bullet"/>
      <w:start w:val="1"/>
    </w:lvl>
    <w:lvl w:ilvl="1">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
      <w:numFmt w:val="bullet"/>
      <w:start w:val="1"/>
    </w:lvl>
  </w:abstractNum>
  <w:abstractNum w:abstractNumId="112">
    <w:nsid w:val="78DF6A55"/>
    <w:multiLevelType w:val="hybridMultilevel"/>
    <w:lvl w:ilvl="0">
      <w:lvlJc w:val="left"/>
      <w:lvlText w:val="•"/>
      <w:numFmt w:val="bullet"/>
      <w:start w:val="1"/>
    </w:lvl>
    <w:lvl w:ilvl="1">
      <w:lvlJc w:val="left"/>
      <w:lvlText w:val="o"/>
      <w:numFmt w:val="bullet"/>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45" Type="http://schemas.openxmlformats.org/officeDocument/2006/relationships/image" Target="media/image300.png"/><Relationship Id="rId347" Type="http://schemas.openxmlformats.org/officeDocument/2006/relationships/image" Target="media/image301.png"/><Relationship Id="rId348" Type="http://schemas.openxmlformats.org/officeDocument/2006/relationships/image" Target="media/image302.png"/><Relationship Id="rId349" Type="http://schemas.openxmlformats.org/officeDocument/2006/relationships/image" Target="media/image303.png"/><Relationship Id="rId350" Type="http://schemas.openxmlformats.org/officeDocument/2006/relationships/image" Target="media/image304.png"/><Relationship Id="rId351" Type="http://schemas.openxmlformats.org/officeDocument/2006/relationships/image" Target="media/image305.png"/><Relationship Id="rId352" Type="http://schemas.openxmlformats.org/officeDocument/2006/relationships/image" Target="media/image306.png"/><Relationship Id="rId353" Type="http://schemas.openxmlformats.org/officeDocument/2006/relationships/image" Target="media/image307.png"/><Relationship Id="rId354" Type="http://schemas.openxmlformats.org/officeDocument/2006/relationships/image" Target="media/image308.png"/><Relationship Id="rId355" Type="http://schemas.openxmlformats.org/officeDocument/2006/relationships/image" Target="media/image309.png"/><Relationship Id="rId356" Type="http://schemas.openxmlformats.org/officeDocument/2006/relationships/image" Target="media/image310.png"/><Relationship Id="rId357" Type="http://schemas.openxmlformats.org/officeDocument/2006/relationships/image" Target="media/image311.png"/><Relationship Id="rId358" Type="http://schemas.openxmlformats.org/officeDocument/2006/relationships/image" Target="media/image312.png"/><Relationship Id="rId359" Type="http://schemas.openxmlformats.org/officeDocument/2006/relationships/image" Target="media/image313.png"/><Relationship Id="rId360" Type="http://schemas.openxmlformats.org/officeDocument/2006/relationships/image" Target="media/image314.png"/><Relationship Id="rId361" Type="http://schemas.openxmlformats.org/officeDocument/2006/relationships/image" Target="media/image315.png"/><Relationship Id="rId362" Type="http://schemas.openxmlformats.org/officeDocument/2006/relationships/image" Target="media/image316.png"/><Relationship Id="rId363" Type="http://schemas.openxmlformats.org/officeDocument/2006/relationships/image" Target="media/image317.png"/><Relationship Id="rId364" Type="http://schemas.openxmlformats.org/officeDocument/2006/relationships/image" Target="media/image318.png"/><Relationship Id="rId365" Type="http://schemas.openxmlformats.org/officeDocument/2006/relationships/image" Target="media/image319.png"/><Relationship Id="rId366" Type="http://schemas.openxmlformats.org/officeDocument/2006/relationships/image" Target="media/image320.png"/><Relationship Id="rId367" Type="http://schemas.openxmlformats.org/officeDocument/2006/relationships/image" Target="media/image321.png"/><Relationship Id="rId368" Type="http://schemas.openxmlformats.org/officeDocument/2006/relationships/image" Target="media/image322.png"/><Relationship Id="rId369" Type="http://schemas.openxmlformats.org/officeDocument/2006/relationships/image" Target="media/image323.png"/><Relationship Id="rId370" Type="http://schemas.openxmlformats.org/officeDocument/2006/relationships/image" Target="media/image324.png"/><Relationship Id="rId371" Type="http://schemas.openxmlformats.org/officeDocument/2006/relationships/image" Target="media/image325.png"/><Relationship Id="rId372" Type="http://schemas.openxmlformats.org/officeDocument/2006/relationships/image" Target="media/image326.png"/><Relationship Id="rId373" Type="http://schemas.openxmlformats.org/officeDocument/2006/relationships/image" Target="media/image327.png"/><Relationship Id="rId374" Type="http://schemas.openxmlformats.org/officeDocument/2006/relationships/image" Target="media/image328.png"/><Relationship Id="rId375" Type="http://schemas.openxmlformats.org/officeDocument/2006/relationships/image" Target="media/image329.png"/><Relationship Id="rId376" Type="http://schemas.openxmlformats.org/officeDocument/2006/relationships/image" Target="media/image330.png"/><Relationship Id="rId377" Type="http://schemas.openxmlformats.org/officeDocument/2006/relationships/image" Target="media/image331.png"/><Relationship Id="rId378" Type="http://schemas.openxmlformats.org/officeDocument/2006/relationships/image" Target="media/image332.png"/><Relationship Id="rId379" Type="http://schemas.openxmlformats.org/officeDocument/2006/relationships/image" Target="media/image333.png"/><Relationship Id="rId380" Type="http://schemas.openxmlformats.org/officeDocument/2006/relationships/image" Target="media/image334.png"/><Relationship Id="rId381" Type="http://schemas.openxmlformats.org/officeDocument/2006/relationships/image" Target="media/image335.png"/><Relationship Id="rId382" Type="http://schemas.openxmlformats.org/officeDocument/2006/relationships/image" Target="media/image336.png"/><Relationship Id="rId383" Type="http://schemas.openxmlformats.org/officeDocument/2006/relationships/image" Target="media/image337.png"/><Relationship Id="rId384" Type="http://schemas.openxmlformats.org/officeDocument/2006/relationships/image" Target="media/image338.png"/><Relationship Id="rId385" Type="http://schemas.openxmlformats.org/officeDocument/2006/relationships/image" Target="media/image339.png"/><Relationship Id="rId386" Type="http://schemas.openxmlformats.org/officeDocument/2006/relationships/image" Target="media/image340.png"/><Relationship Id="rId387" Type="http://schemas.openxmlformats.org/officeDocument/2006/relationships/image" Target="media/image341.png"/><Relationship Id="rId388" Type="http://schemas.openxmlformats.org/officeDocument/2006/relationships/image" Target="media/image342.png"/><Relationship Id="rId389" Type="http://schemas.openxmlformats.org/officeDocument/2006/relationships/image" Target="media/image343.png"/><Relationship Id="rId390" Type="http://schemas.openxmlformats.org/officeDocument/2006/relationships/image" Target="media/image344.png"/><Relationship Id="rId391" Type="http://schemas.openxmlformats.org/officeDocument/2006/relationships/image" Target="media/image345.png"/><Relationship Id="rId392" Type="http://schemas.openxmlformats.org/officeDocument/2006/relationships/image" Target="media/image346.png"/><Relationship Id="rId393" Type="http://schemas.openxmlformats.org/officeDocument/2006/relationships/image" Target="media/image347.png"/><Relationship Id="rId394" Type="http://schemas.openxmlformats.org/officeDocument/2006/relationships/image" Target="media/image348.png"/><Relationship Id="rId395" Type="http://schemas.openxmlformats.org/officeDocument/2006/relationships/image" Target="media/image349.png"/><Relationship Id="rId396" Type="http://schemas.openxmlformats.org/officeDocument/2006/relationships/image" Target="media/image350.png"/><Relationship Id="rId397" Type="http://schemas.openxmlformats.org/officeDocument/2006/relationships/image" Target="media/image351.png"/><Relationship Id="rId398" Type="http://schemas.openxmlformats.org/officeDocument/2006/relationships/image" Target="media/image352.png"/><Relationship Id="rId399" Type="http://schemas.openxmlformats.org/officeDocument/2006/relationships/image" Target="media/image353.png"/><Relationship Id="rId400" Type="http://schemas.openxmlformats.org/officeDocument/2006/relationships/image" Target="media/image354.png"/><Relationship Id="rId401" Type="http://schemas.openxmlformats.org/officeDocument/2006/relationships/image" Target="media/image355.png"/><Relationship Id="rId402" Type="http://schemas.openxmlformats.org/officeDocument/2006/relationships/image" Target="media/image356.png"/><Relationship Id="rId403" Type="http://schemas.openxmlformats.org/officeDocument/2006/relationships/image" Target="media/image357.png"/><Relationship Id="rId404" Type="http://schemas.openxmlformats.org/officeDocument/2006/relationships/image" Target="media/image358.png"/><Relationship Id="rId405" Type="http://schemas.openxmlformats.org/officeDocument/2006/relationships/image" Target="media/image359.png"/><Relationship Id="rId406" Type="http://schemas.openxmlformats.org/officeDocument/2006/relationships/image" Target="media/image360.png"/><Relationship Id="rId407" Type="http://schemas.openxmlformats.org/officeDocument/2006/relationships/image" Target="media/image361.png"/><Relationship Id="rId408" Type="http://schemas.openxmlformats.org/officeDocument/2006/relationships/image" Target="media/image362.png"/><Relationship Id="rId409" Type="http://schemas.openxmlformats.org/officeDocument/2006/relationships/image" Target="media/image363.png"/><Relationship Id="rId410" Type="http://schemas.openxmlformats.org/officeDocument/2006/relationships/image" Target="media/image364.png"/><Relationship Id="rId411" Type="http://schemas.openxmlformats.org/officeDocument/2006/relationships/image" Target="media/image365.png"/><Relationship Id="rId412" Type="http://schemas.openxmlformats.org/officeDocument/2006/relationships/image" Target="media/image366.png"/><Relationship Id="rId413" Type="http://schemas.openxmlformats.org/officeDocument/2006/relationships/image" Target="media/image367.png"/><Relationship Id="rId414" Type="http://schemas.openxmlformats.org/officeDocument/2006/relationships/image" Target="media/image368.png"/><Relationship Id="rId415" Type="http://schemas.openxmlformats.org/officeDocument/2006/relationships/image" Target="media/image369.png"/><Relationship Id="rId416" Type="http://schemas.openxmlformats.org/officeDocument/2006/relationships/image" Target="media/image370.png"/><Relationship Id="rId417" Type="http://schemas.openxmlformats.org/officeDocument/2006/relationships/image" Target="media/image371.png"/><Relationship Id="rId418" Type="http://schemas.openxmlformats.org/officeDocument/2006/relationships/image" Target="media/image372.png"/><Relationship Id="rId419" Type="http://schemas.openxmlformats.org/officeDocument/2006/relationships/image" Target="media/image373.png"/><Relationship Id="rId420" Type="http://schemas.openxmlformats.org/officeDocument/2006/relationships/image" Target="media/image374.png"/><Relationship Id="rId421" Type="http://schemas.openxmlformats.org/officeDocument/2006/relationships/image" Target="media/image375.png"/><Relationship Id="rId422" Type="http://schemas.openxmlformats.org/officeDocument/2006/relationships/image" Target="media/image376.png"/><Relationship Id="rId423" Type="http://schemas.openxmlformats.org/officeDocument/2006/relationships/image" Target="media/image377.png"/><Relationship Id="rId424" Type="http://schemas.openxmlformats.org/officeDocument/2006/relationships/image" Target="media/image378.png"/><Relationship Id="rId425" Type="http://schemas.openxmlformats.org/officeDocument/2006/relationships/image" Target="media/image379.png"/><Relationship Id="rId426" Type="http://schemas.openxmlformats.org/officeDocument/2006/relationships/image" Target="media/image380.png"/><Relationship Id="rId427" Type="http://schemas.openxmlformats.org/officeDocument/2006/relationships/image" Target="media/image381.png"/><Relationship Id="rId428" Type="http://schemas.openxmlformats.org/officeDocument/2006/relationships/image" Target="media/image382.png"/><Relationship Id="rId429" Type="http://schemas.openxmlformats.org/officeDocument/2006/relationships/image" Target="media/image383.png"/><Relationship Id="rId430" Type="http://schemas.openxmlformats.org/officeDocument/2006/relationships/image" Target="media/image384.png"/><Relationship Id="rId431" Type="http://schemas.openxmlformats.org/officeDocument/2006/relationships/image" Target="media/image385.png"/><Relationship Id="rId432" Type="http://schemas.openxmlformats.org/officeDocument/2006/relationships/image" Target="media/image386.png"/><Relationship Id="rId433" Type="http://schemas.openxmlformats.org/officeDocument/2006/relationships/image" Target="media/image387.png"/><Relationship Id="rId434" Type="http://schemas.openxmlformats.org/officeDocument/2006/relationships/image" Target="media/image388.png"/><Relationship Id="rId435" Type="http://schemas.openxmlformats.org/officeDocument/2006/relationships/image" Target="media/image389.png"/><Relationship Id="rId436" Type="http://schemas.openxmlformats.org/officeDocument/2006/relationships/image" Target="media/image390.png"/><Relationship Id="rId437" Type="http://schemas.openxmlformats.org/officeDocument/2006/relationships/image" Target="media/image391.png"/><Relationship Id="rId438" Type="http://schemas.openxmlformats.org/officeDocument/2006/relationships/image" Target="media/image392.png"/><Relationship Id="rId439" Type="http://schemas.openxmlformats.org/officeDocument/2006/relationships/image" Target="media/image393.png"/><Relationship Id="rId440" Type="http://schemas.openxmlformats.org/officeDocument/2006/relationships/image" Target="media/image394.png"/><Relationship Id="rId441" Type="http://schemas.openxmlformats.org/officeDocument/2006/relationships/image" Target="media/image395.png"/><Relationship Id="rId442" Type="http://schemas.openxmlformats.org/officeDocument/2006/relationships/image" Target="media/image396.png"/><Relationship Id="rId443" Type="http://schemas.openxmlformats.org/officeDocument/2006/relationships/image" Target="media/image397.png"/><Relationship Id="rId444" Type="http://schemas.openxmlformats.org/officeDocument/2006/relationships/image" Target="media/image398.png"/><Relationship Id="rId445" Type="http://schemas.openxmlformats.org/officeDocument/2006/relationships/image" Target="media/image399.png"/><Relationship Id="rId446" Type="http://schemas.openxmlformats.org/officeDocument/2006/relationships/image" Target="media/image400.png"/><Relationship Id="rId447" Type="http://schemas.openxmlformats.org/officeDocument/2006/relationships/image" Target="media/image401.png"/><Relationship Id="rId448" Type="http://schemas.openxmlformats.org/officeDocument/2006/relationships/image" Target="media/image402.png"/><Relationship Id="rId449" Type="http://schemas.openxmlformats.org/officeDocument/2006/relationships/image" Target="media/image403.png"/><Relationship Id="rId450" Type="http://schemas.openxmlformats.org/officeDocument/2006/relationships/image" Target="media/image404.png"/><Relationship Id="rId451" Type="http://schemas.openxmlformats.org/officeDocument/2006/relationships/image" Target="media/image405.png"/><Relationship Id="rId452" Type="http://schemas.openxmlformats.org/officeDocument/2006/relationships/image" Target="media/image406.png"/><Relationship Id="rId453" Type="http://schemas.openxmlformats.org/officeDocument/2006/relationships/image" Target="media/image407.png"/><Relationship Id="rId454" Type="http://schemas.openxmlformats.org/officeDocument/2006/relationships/image" Target="media/image408.png"/><Relationship Id="rId455" Type="http://schemas.openxmlformats.org/officeDocument/2006/relationships/image" Target="media/image409.png"/><Relationship Id="rId456" Type="http://schemas.openxmlformats.org/officeDocument/2006/relationships/image" Target="media/image410.png"/><Relationship Id="rId457" Type="http://schemas.openxmlformats.org/officeDocument/2006/relationships/image" Target="media/image411.png"/><Relationship Id="rId458" Type="http://schemas.openxmlformats.org/officeDocument/2006/relationships/image" Target="media/image412.png"/><Relationship Id="rId459" Type="http://schemas.openxmlformats.org/officeDocument/2006/relationships/image" Target="media/image413.png"/><Relationship Id="rId460" Type="http://schemas.openxmlformats.org/officeDocument/2006/relationships/image" Target="media/image414.png"/><Relationship Id="rId461" Type="http://schemas.openxmlformats.org/officeDocument/2006/relationships/image" Target="media/image415.png"/><Relationship Id="rId462" Type="http://schemas.openxmlformats.org/officeDocument/2006/relationships/image" Target="media/image416.png"/><Relationship Id="rId463" Type="http://schemas.openxmlformats.org/officeDocument/2006/relationships/image" Target="media/image417.png"/><Relationship Id="rId464" Type="http://schemas.openxmlformats.org/officeDocument/2006/relationships/image" Target="media/image418.png"/><Relationship Id="rId465" Type="http://schemas.openxmlformats.org/officeDocument/2006/relationships/image" Target="media/image419.png"/><Relationship Id="rId466" Type="http://schemas.openxmlformats.org/officeDocument/2006/relationships/image" Target="media/image420.png"/><Relationship Id="rId305" Type="http://schemas.openxmlformats.org/officeDocument/2006/relationships/hyperlink" Target="https://www.sec.gov/Archives/edgar/data/1799448/000119312520272852/d46540dex31.htm" TargetMode="External"/><Relationship Id="rId306" Type="http://schemas.openxmlformats.org/officeDocument/2006/relationships/hyperlink" Target="https://www.sec.gov/Archives/edgar/data/1799448/000119312524172218/d129014dex31.htm" TargetMode="External"/><Relationship Id="rId307" Type="http://schemas.openxmlformats.org/officeDocument/2006/relationships/hyperlink" Target="https://www.sec.gov/Archives/edgar/data/1799448/000119312524202813/d882619dex31.htm" TargetMode="External"/><Relationship Id="rId308" Type="http://schemas.openxmlformats.org/officeDocument/2006/relationships/hyperlink" Target="https://www.sec.gov/Archives/edgar/data/1799448/000119312520272852/d46540dex32.htm" TargetMode="External"/><Relationship Id="rId309" Type="http://schemas.openxmlformats.org/officeDocument/2006/relationships/hyperlink" Target="https://www.sec.gov/Archives/edgar/data/1799448/000095017024122371/algs-ex4_2.pdf" TargetMode="External"/><Relationship Id="rId310" Type="http://schemas.openxmlformats.org/officeDocument/2006/relationships/hyperlink" Target="https://www.sec.gov/Archives/edgar/data/1799448/000119312523263158/d533607dex41.htm" TargetMode="External"/><Relationship Id="rId311" Type="http://schemas.openxmlformats.org/officeDocument/2006/relationships/hyperlink" Target="https://www.sec.gov/Archives/edgar/data/1799448/000119312523263158/d533607dex42.htm" TargetMode="External"/><Relationship Id="rId312" Type="http://schemas.openxmlformats.org/officeDocument/2006/relationships/hyperlink" Target="https://www.sec.gov/Archives/edgar/data/1799448/000119312525024838/d901857dex41.htm" TargetMode="External"/><Relationship Id="rId313" Type="http://schemas.openxmlformats.org/officeDocument/2006/relationships/hyperlink" Target="https://www.sec.gov/Archives/edgar/data/1799448/000119312525024838/d901857dex42.htm" TargetMode="External"/><Relationship Id="rId314" Type="http://schemas.openxmlformats.org/officeDocument/2006/relationships/hyperlink" Target="https://www.sec.gov/Archives/edgar/data/1799448/000119312520254760/d31402dex101a.htm" TargetMode="External"/><Relationship Id="rId315" Type="http://schemas.openxmlformats.org/officeDocument/2006/relationships/hyperlink" Target="https://www.sec.gov/Archives/edgar/data/1799448/000119312520254760/d31402dex101b.htm" TargetMode="External"/><Relationship Id="rId316" Type="http://schemas.openxmlformats.org/officeDocument/2006/relationships/hyperlink" Target="https://www.sec.gov/Archives/edgar/data/1799448/000119312520254760/d31402dex102a.htm" TargetMode="External"/><Relationship Id="rId317" Type="http://schemas.openxmlformats.org/officeDocument/2006/relationships/hyperlink" Target="https://www.sec.gov/Archives/edgar/data/1799448/000119312520254760/d31402dex102b.htm" TargetMode="External"/><Relationship Id="rId318" Type="http://schemas.openxmlformats.org/officeDocument/2006/relationships/hyperlink" Target="https://www.sec.gov/Archives/edgar/data/1799448/000119312520254760/d31402dex103.htm" TargetMode="External"/><Relationship Id="rId319" Type="http://schemas.openxmlformats.org/officeDocument/2006/relationships/hyperlink" Target="https://www.sec.gov/Archives/edgar/data/1799448/000119312520254760/d31402dex105a.htm" TargetMode="External"/><Relationship Id="rId320" Type="http://schemas.openxmlformats.org/officeDocument/2006/relationships/hyperlink" Target="https://www.sec.gov/Archives/edgar/data/1799448/000119312520254760/d31402dex105b.htm" TargetMode="External"/><Relationship Id="rId321" Type="http://schemas.openxmlformats.org/officeDocument/2006/relationships/hyperlink" Target="https://www.sec.gov/Archives/edgar/data/1799448/000119312520254760/d31402dex105c.htm" TargetMode="External"/><Relationship Id="rId322" Type="http://schemas.openxmlformats.org/officeDocument/2006/relationships/hyperlink" Target="https://www.sec.gov/Archives/edgar/data/1799448/000119312520254760/d31402dex105d.htm" TargetMode="External"/><Relationship Id="rId323" Type="http://schemas.openxmlformats.org/officeDocument/2006/relationships/hyperlink" Target="https://www.sec.gov/Archives/edgar/data/1799448/000119312520267346/d31402dex106a.htm" TargetMode="External"/><Relationship Id="rId324" Type="http://schemas.openxmlformats.org/officeDocument/2006/relationships/hyperlink" Target="https://www.sec.gov/Archives/edgar/data/1799448/000119312524172218/d129014dex101.htm" TargetMode="External"/><Relationship Id="rId325" Type="http://schemas.openxmlformats.org/officeDocument/2006/relationships/hyperlink" Target="https://www.sec.gov/Archives/edgar/data/1799448/000119312520267346/d31402dex106b.htm" TargetMode="External"/><Relationship Id="rId326" Type="http://schemas.openxmlformats.org/officeDocument/2006/relationships/hyperlink" Target="https://www.sec.gov/Archives/edgar/data/1799448/000119312520267346/d31402dex106c.htm" TargetMode="External"/><Relationship Id="rId327" Type="http://schemas.openxmlformats.org/officeDocument/2006/relationships/hyperlink" Target="https://www.sec.gov/Archives/edgar/data/1799448/000119312520267346/d31402dex106d.htm" TargetMode="External"/><Relationship Id="rId328" Type="http://schemas.openxmlformats.org/officeDocument/2006/relationships/hyperlink" Target="https://www.sec.gov/Archives/edgar/data/1799448/000119312520267346/d31402dex107.htm" TargetMode="External"/><Relationship Id="rId331" Type="http://schemas.openxmlformats.org/officeDocument/2006/relationships/hyperlink" Target="https://www.sec.gov/Archives/edgar/data/1799448/000095017024122371/algs-ex10_1a.htm" TargetMode="External"/><Relationship Id="rId332" Type="http://schemas.openxmlformats.org/officeDocument/2006/relationships/hyperlink" Target="https://www.sec.gov/Archives/edgar/data/1799448/000095017024122371/algs-ex10_1b.htm" TargetMode="External"/><Relationship Id="rId333" Type="http://schemas.openxmlformats.org/officeDocument/2006/relationships/hyperlink" Target="https://www.sec.gov/Archives/edgar/data/1799448/000095017024122371/algs-ex10_1c.htm" TargetMode="External"/><Relationship Id="rId334" Type="http://schemas.openxmlformats.org/officeDocument/2006/relationships/hyperlink" Target="https://www.sec.gov/Archives/edgar/data/1799448/000119312520267346/d31402dex1012.htm" TargetMode="External"/><Relationship Id="rId335" Type="http://schemas.openxmlformats.org/officeDocument/2006/relationships/hyperlink" Target="https://www.sec.gov/Archives/edgar/data/0001799448/000156459021026071/algs-ex102_183.htm" TargetMode="External"/><Relationship Id="rId336" Type="http://schemas.openxmlformats.org/officeDocument/2006/relationships/hyperlink" Target="https://www.sec.gov/Archives/edgar/data/0001799448/000156459021026071/algs-ex103_277.htm" TargetMode="External"/><Relationship Id="rId337" Type="http://schemas.openxmlformats.org/officeDocument/2006/relationships/hyperlink" Target="https://www.sec.gov/Archives/edgar/data/0001799448/000156459021026071/algs-ex104_182.htm" TargetMode="External"/><Relationship Id="rId338" Type="http://schemas.openxmlformats.org/officeDocument/2006/relationships/hyperlink" Target="https://www.sec.gov/Archives/edgar/data/1799448/000095017022003365/algs-ex10_16.htm" TargetMode="External"/><Relationship Id="rId339" Type="http://schemas.openxmlformats.org/officeDocument/2006/relationships/hyperlink" Target="https://www.sec.gov/Archives/edgar/data/1799448/000095017024122371/algs-ex10_3.htm" TargetMode="External"/><Relationship Id="rId340" Type="http://schemas.openxmlformats.org/officeDocument/2006/relationships/hyperlink" Target="https://www.sec.gov/Archives/edgar/data/1799448/000119312523263158/d533607dex101.htm" TargetMode="External"/><Relationship Id="rId341" Type="http://schemas.openxmlformats.org/officeDocument/2006/relationships/hyperlink" Target="https://www.sec.gov/Archives/edgar/data/1799448/000095017024029953/algs-ex10_17.htm" TargetMode="External"/><Relationship Id="rId342" Type="http://schemas.openxmlformats.org/officeDocument/2006/relationships/hyperlink" Target="https://www.sec.gov/Archives/edgar/data/1799448/000095017024122371/algs-ex10_2.pdf" TargetMode="External"/><Relationship Id="rId343" Type="http://schemas.openxmlformats.org/officeDocument/2006/relationships/hyperlink" Target="https://www.sec.gov/Archives/edgar/data/1799448/000119312525024838/d901857dex101.htm" TargetMode="External"/><Relationship Id="rId344" Type="http://schemas.openxmlformats.org/officeDocument/2006/relationships/hyperlink" Target="https://www.sec.gov/Archives/edgar/data/1799448/000095017023007033/algs-ex21_1.htm" TargetMode="External"/><Relationship Id="rId346" Type="http://schemas.openxmlformats.org/officeDocument/2006/relationships/hyperlink" Target="https://www.sec.gov/Archives/edgar/data/1799448/000095017024029953/algs-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2025-03-10T07:16:59Z</dcterms:created>
  <dcterms:modified xsi:type="dcterms:W3CDTF">2025-03-10T07:16:59Z</dcterms:modified>
</cp:coreProperties>
</file>