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center"/>
        <w:rPr/>
      </w:pPr>
      <w:bookmarkStart w:id="0" w:name="algs-20230331.htm"/>
      <w:bookmarkStart w:id="1" w:name="ksalgs20230331"/>
      <w:bookmarkEnd w:id="0"/>
      <w:bookmarkEnd w:id="1"/>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35"/>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5"/>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35"/>
        </w:rPr>
        <w:t>FORM 10-Q</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40" w:after="0"/>
              <w:ind w:left="0" w:right="0" w:hanging="0"/>
              <w:jc w:val="center"/>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8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40" w:after="0"/>
              <w:ind w:left="0" w:right="0" w:hanging="0"/>
              <w:jc w:val="center"/>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Commission File Number: 001-39617</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47"/>
        </w:rPr>
        <w:t>Aligos Therapeutics,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097" w:type="dxa"/>
        <w:jc w:val="left"/>
        <w:tblInd w:w="0" w:type="dxa"/>
        <w:tblCellMar>
          <w:top w:w="28" w:type="dxa"/>
          <w:left w:w="28" w:type="dxa"/>
          <w:bottom w:w="28" w:type="dxa"/>
          <w:right w:w="28" w:type="dxa"/>
        </w:tblCellMar>
      </w:tblPr>
      <w:tblGrid>
        <w:gridCol w:w="2851"/>
        <w:gridCol w:w="1246"/>
      </w:tblGrid>
      <w:tr>
        <w:trPr/>
        <w:tc>
          <w:tcPr>
            <w:tcW w:w="285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82-4724808</w:t>
            </w:r>
          </w:p>
        </w:tc>
      </w:tr>
      <w:tr>
        <w:trPr/>
        <w:tc>
          <w:tcPr>
            <w:tcW w:w="2851"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851"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283"/>
              <w:ind w:left="0" w:right="0" w:hanging="0"/>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One Corporate Drive, 2nd Floor</w:t>
            </w:r>
          </w:p>
          <w:p>
            <w:pPr>
              <w:pStyle w:val="TableContents"/>
              <w:spacing w:before="0" w:after="20"/>
              <w:ind w:left="0" w:right="0" w:hanging="0"/>
              <w:jc w:val="center"/>
              <w:rPr>
                <w:rFonts w:ascii="Times New Roman;serif" w:hAnsi="Times New Roman;serif"/>
                <w:b/>
                <w:sz w:val="20"/>
              </w:rPr>
            </w:pPr>
            <w:r>
              <w:rPr>
                <w:rFonts w:ascii="Times New Roman;serif" w:hAnsi="Times New Roman;serif"/>
                <w:b/>
                <w:sz w:val="20"/>
              </w:rPr>
              <w:t>South San Francisco, California</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2851"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Registrant’s telephone number, including area code: (800) 466-6059</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20"/>
        </w:rPr>
        <w:t>Securities registered pursuant to Section 12(b) of the Act:</w:t>
      </w:r>
      <w:r>
        <w:rPr>
          <w:rFonts w:ascii="Times New Roman" w:hAnsi="Times New Roman"/>
          <w:sz w:val="20"/>
        </w:rPr>
        <w:t xml:space="preserve"> </w:t>
      </w:r>
    </w:p>
    <w:tbl>
      <w:tblPr>
        <w:tblW w:w="8230" w:type="dxa"/>
        <w:jc w:val="left"/>
        <w:tblInd w:w="0" w:type="dxa"/>
        <w:tblCellMar>
          <w:top w:w="28" w:type="dxa"/>
          <w:left w:w="28" w:type="dxa"/>
          <w:bottom w:w="28" w:type="dxa"/>
          <w:right w:w="28" w:type="dxa"/>
        </w:tblCellMar>
      </w:tblPr>
      <w:tblGrid>
        <w:gridCol w:w="3916"/>
        <w:gridCol w:w="146"/>
        <w:gridCol w:w="1231"/>
        <w:gridCol w:w="146"/>
        <w:gridCol w:w="279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r>
      <w:tr>
        <w:trPr/>
        <w:tc>
          <w:tcPr>
            <w:tcW w:w="3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Trading</w:t>
            </w:r>
            <w:r>
              <w:rPr>
                <w:rFonts w:ascii="Times New Roman" w:hAnsi="Times New Roman"/>
                <w:sz w:val="14"/>
              </w:rPr>
              <w:t xml:space="preserve"> </w:t>
            </w:r>
            <w:r>
              <w:rPr>
                <w:rFonts w:ascii="Times New Roman;serif" w:hAnsi="Times New Roman;serif"/>
                <w:b/>
                <w:sz w:val="14"/>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Name of each exchange on which registered</w:t>
            </w:r>
            <w:r>
              <w:rPr>
                <w:rFonts w:ascii="Times New Roman" w:hAnsi="Times New Roman"/>
                <w:sz w:val="14"/>
              </w:rPr>
              <w:t xml:space="preserve"> </w:t>
            </w:r>
          </w:p>
        </w:tc>
      </w:tr>
      <w:tr>
        <w:trPr/>
        <w:tc>
          <w:tcPr>
            <w:tcW w:w="39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Common Stock, par value, $0.0001 per share</w:t>
            </w:r>
          </w:p>
        </w:tc>
        <w:tc>
          <w:tcPr>
            <w:tcW w:w="146" w:type="dxa"/>
            <w:tcBorders/>
            <w:shd w:fill="auto" w:val="clear"/>
            <w:vAlign w:val="center"/>
          </w:tcPr>
          <w:p>
            <w:pPr>
              <w:pStyle w:val="TableContents"/>
              <w:spacing w:before="0" w:after="0"/>
              <w:ind w:left="0" w:right="0" w:hanging="0"/>
              <w:jc w:val="center"/>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ALGS</w:t>
            </w:r>
          </w:p>
        </w:tc>
        <w:tc>
          <w:tcPr>
            <w:tcW w:w="146" w:type="dxa"/>
            <w:tcBorders/>
            <w:shd w:fill="auto" w:val="clear"/>
            <w:vAlign w:val="center"/>
          </w:tcPr>
          <w:p>
            <w:pPr>
              <w:pStyle w:val="TableContents"/>
              <w:spacing w:before="0" w:after="0"/>
              <w:ind w:left="0" w:right="0" w:hanging="0"/>
              <w:jc w:val="center"/>
              <w:rPr/>
            </w:pPr>
            <w:r>
              <w:rPr/>
              <w:t> </w:t>
            </w:r>
          </w:p>
        </w:tc>
        <w:tc>
          <w:tcPr>
            <w:tcW w:w="279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(Nasdaq Global Select Market)</w:t>
            </w:r>
          </w:p>
        </w:tc>
      </w:tr>
    </w:tbl>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456" w:type="dxa"/>
        <w:jc w:val="left"/>
        <w:tblInd w:w="0" w:type="dxa"/>
        <w:tblCellMar>
          <w:top w:w="28" w:type="dxa"/>
          <w:left w:w="28" w:type="dxa"/>
          <w:bottom w:w="28" w:type="dxa"/>
          <w:right w:w="28" w:type="dxa"/>
        </w:tblCellMar>
      </w:tblPr>
      <w:tblGrid>
        <w:gridCol w:w="1921"/>
        <w:gridCol w:w="146"/>
        <w:gridCol w:w="316"/>
        <w:gridCol w:w="146"/>
        <w:gridCol w:w="109"/>
        <w:gridCol w:w="2311"/>
        <w:gridCol w:w="146"/>
        <w:gridCol w:w="361"/>
      </w:tblGrid>
      <w:tr>
        <w:trPr/>
        <w:tc>
          <w:tcPr>
            <w:tcW w:w="1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420"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pPr>
            <w:r>
              <w:rPr/>
              <w:t>☐</w:t>
            </w:r>
          </w:p>
        </w:tc>
      </w:tr>
      <w:tr>
        <w:trPr/>
        <w:tc>
          <w:tcPr>
            <w:tcW w:w="19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2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420"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pPr>
            <w:r>
              <w:rPr/>
              <w:t>☒</w:t>
            </w:r>
          </w:p>
        </w:tc>
      </w:tr>
      <w:tr>
        <w:trPr/>
        <w:tc>
          <w:tcPr>
            <w:tcW w:w="192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2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25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20"/>
        </w:rPr>
        <w:t>As of May 1, 2023, the registrant had 42,940,089 shares of common stock, $0.0001 par value per share, outstanding, comprised of 39,847,751</w:t>
      </w:r>
      <w:r>
        <w:rPr>
          <w:rFonts w:ascii="Times New Roman" w:hAnsi="Times New Roman"/>
          <w:sz w:val="20"/>
        </w:rPr>
        <w:t xml:space="preserve"> </w:t>
      </w:r>
      <w:r>
        <w:rPr>
          <w:rFonts w:ascii="Times New Roman;serif" w:hAnsi="Times New Roman;serif"/>
          <w:b w:val="false"/>
          <w:sz w:val="20"/>
        </w:rPr>
        <w:t>shares of voting common stock, $0.0001 par value per share and 3,092,338</w:t>
      </w:r>
      <w:r>
        <w:rPr>
          <w:rFonts w:ascii="Times New Roman" w:hAnsi="Times New Roman"/>
          <w:sz w:val="20"/>
        </w:rPr>
        <w:t xml:space="preserve"> </w:t>
      </w:r>
      <w:r>
        <w:rPr>
          <w:rFonts w:ascii="Times New Roman;serif" w:hAnsi="Times New Roman;serif"/>
          <w:b w:val="false"/>
          <w:sz w:val="20"/>
        </w:rPr>
        <w:t>shares of non-voting common stock, $0.0001 par value per share.</w:t>
      </w:r>
      <w:r>
        <w:rPr>
          <w:rFonts w:ascii="Times New Roman" w:hAnsi="Times New Roman"/>
          <w:sz w:val="20"/>
        </w:rPr>
        <w:t xml:space="preserve"> </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120" w:after="0"/>
        <w:jc w:val="center"/>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sz w:val="20"/>
        </w:rPr>
        <w:t>Special note regarding forward-looking statements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pacing w:before="240" w:after="0"/>
        <w:jc w:val="left"/>
        <w:rPr>
          <w:rFonts w:ascii="Times New Roman" w:hAnsi="Times New Roman"/>
          <w:sz w:val="20"/>
        </w:rPr>
      </w:pPr>
      <w:r>
        <w:rPr>
          <w:rFonts w:ascii="Times New Roman;serif" w:hAnsi="Times New Roman;serif"/>
          <w:b w:val="false"/>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of developing our drug candidates or any other future drug candidates, and conducting nonclinical studies and clinical trials, including our ALG-055009, ALG</w:t>
        <w:noBreakHyphen/>
        <w:t>000184, and ALG</w:t>
        <w:noBreakHyphen/>
        <w:t>125755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related to the research and development of our pipeline;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and costs involved in, obtaining and maintaining regulatory approval for any of our current or future drug candidates, and any related restrictions or limitations;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developments related to COVID-19 on our business and operations, including clinical trials, manufacturing suppliers, collaborators, use of contract research organizations and employees;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potential market size and size of the potential patient populations for ALG</w:t>
        <w:noBreakHyphen/>
        <w:t>055009, ALG</w:t>
        <w:noBreakHyphen/>
        <w:t>000184, and ALG</w:t>
        <w:noBreakHyphen/>
        <w:t>125755, our other drug candidates and any future drug candidates, if approved for commercial use;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existing, and establish new, collaborations, licensing or other arrangements and the financial terms of any such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commercialization, marketing and manufacturing capabilities and expectations;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of our drug candidates, as well as the pricing and reimbursement of our drug candidates,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implementation of our business model and strategic plans for our business, drug candidates and technology, including additional indications for which we may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covering our drug candidates, including the projected term of patent protection;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lawsuits related to our drug candidates or commenced against us, including the costs associated with our current litigation with Janssen Biopharma, LLC (Janssen);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estimates of our expenses, future revenue, capital requirements, our needs for additional financing and our ability to obtain additional capital;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and projections relating to our competitors and our industry, including competing therapies and procedures;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and legal developments in the United States and foreign countries;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performance of our third-party suppliers and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attract and retain key management, scientific and medical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the period during which we will qualify as an emerging growth company under the Jumpstart Our Business Startups Act of 2012;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expectations regarding our ability to obtain, maintain, enforce and defend our intellectual property protection for our drug candidates;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other risks and uncertainties, including those listed under the caption “Risk Factors.”</w:t>
      </w:r>
    </w:p>
    <w:p>
      <w:pPr>
        <w:pStyle w:val="TextBody"/>
        <w:spacing w:before="120" w:after="0"/>
        <w:jc w:val="left"/>
        <w:rPr>
          <w:rFonts w:ascii="Times New Roman" w:hAnsi="Times New Roman"/>
          <w:sz w:val="20"/>
        </w:rPr>
      </w:pPr>
      <w:r>
        <w:rPr>
          <w:rFonts w:ascii="Times New Roman;serif" w:hAnsi="Times New Roman;serif"/>
          <w:b w:val="false"/>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120" w:after="0"/>
        <w:jc w:val="left"/>
        <w:rPr>
          <w:rFonts w:ascii="Times New Roman" w:hAnsi="Times New Roman"/>
          <w:sz w:val="20"/>
        </w:rPr>
      </w:pPr>
      <w:r>
        <w:rPr>
          <w:rFonts w:ascii="Times New Roman;serif" w:hAnsi="Times New Roman;serif"/>
          <w:b w:val="false"/>
          <w:sz w:val="20"/>
        </w:rPr>
        <w:t>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Summary of material risks associated with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principal risks and uncertainties affecting our business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have never generated revenue from product sales and may never be profitable.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intend to develop our current drug candidates, and expect to develop other future drug candidates, in combination with other therapies, which exposes us to additional risks.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have entered into licensing and collaboration agreements with third parties. If we fail to comply with our obligations in the agreements under which we license intellectual property rights to or from third parties, or these agreements are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ii</w:t>
      </w:r>
    </w:p>
    <w:p>
      <w:pPr>
        <w:pStyle w:val="HorizontalLine"/>
        <w:rPr/>
      </w:pPr>
      <w:r>
        <w:rPr/>
      </w:r>
    </w:p>
    <w:p>
      <w:pPr>
        <w:pStyle w:val="TextBody"/>
        <w:spacing w:before="120" w:after="0"/>
        <w:jc w:val="left"/>
        <w:rPr/>
      </w:pPr>
      <w:r>
        <w:rPr>
          <w:rFonts w:ascii="Times New Roman;serif" w:hAnsi="Times New Roman;serif"/>
          <w:b w:val="false"/>
          <w:sz w:val="20"/>
        </w:rPr>
        <w:t>terminated, or we otherwise experience disruptions to our business relationships with our licensors or licensees, our competitive position, business, financial condition, results of operations and prospects could be harmed.</w:t>
      </w:r>
      <w:r>
        <w:rPr/>
        <w:t xml:space="preserve">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are highly dependent on our key personnel, and if we are not successful in attracting, motivating and retaining highly qualified personnel, we may not be able to successfully implement our business strategy.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iii</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835"/>
        <w:gridCol w:w="8822"/>
        <w:gridCol w:w="548"/>
      </w:tblGrid>
      <w:tr>
        <w:trPr/>
        <w:tc>
          <w:tcPr>
            <w:tcW w:w="835" w:type="dxa"/>
            <w:tcBorders/>
            <w:shd w:fill="auto" w:val="clear"/>
            <w:vAlign w:val="center"/>
          </w:tcPr>
          <w:p>
            <w:pPr>
              <w:pStyle w:val="TableContents"/>
              <w:spacing w:before="0" w:after="283"/>
              <w:rPr>
                <w:sz w:val="4"/>
                <w:szCs w:val="4"/>
              </w:rPr>
            </w:pPr>
            <w:r>
              <w:rPr>
                <w:sz w:val="4"/>
                <w:szCs w:val="4"/>
              </w:rPr>
            </w:r>
          </w:p>
        </w:tc>
        <w:tc>
          <w:tcPr>
            <w:tcW w:w="8822"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r>
      <w:tr>
        <w:trPr/>
        <w:tc>
          <w:tcPr>
            <w:tcW w:w="83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82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Page</w:t>
            </w:r>
            <w:r>
              <w:rPr>
                <w:rFonts w:ascii="Times New Roman" w:hAnsi="Times New Roman"/>
                <w:sz w:val="16"/>
              </w:rPr>
              <w:t xml:space="preserve"> </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283"/>
              <w:ind w:left="0" w:right="0" w:hanging="0"/>
              <w:rPr>
                <w:sz w:val="4"/>
                <w:szCs w:val="4"/>
              </w:rPr>
            </w:pPr>
            <w:r>
              <w:rPr>
                <w:sz w:val="4"/>
                <w:szCs w:val="4"/>
              </w:rPr>
            </w:r>
          </w:p>
        </w:tc>
      </w:tr>
      <w:tr>
        <w:trPr/>
        <w:tc>
          <w:tcPr>
            <w:tcW w:w="8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PART I</w:t>
            </w:r>
            <w:r>
              <w:rPr>
                <w:rFonts w:ascii="Times New Roman;serif" w:hAnsi="Times New Roman;serif"/>
                <w:b w:val="false"/>
                <w:sz w:val="20"/>
              </w:rPr>
              <w:t>.</w:t>
            </w:r>
          </w:p>
        </w:tc>
        <w:tc>
          <w:tcPr>
            <w:tcW w:w="8822" w:type="dxa"/>
            <w:tcBorders/>
            <w:shd w:fill="auto" w:val="clear"/>
            <w:vAlign w:val="center"/>
          </w:tcPr>
          <w:p>
            <w:pPr>
              <w:pStyle w:val="TableContents"/>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22" w:type="dxa"/>
            <w:tcBorders/>
            <w:shd w:fill="auto" w:val="cle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 for the Three Months Ended March 31, 2023 and 2022</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0"/>
              <w:ind w:left="0" w:right="0" w:hanging="0"/>
              <w:jc w:val="left"/>
              <w:rPr/>
            </w:pPr>
            <w:hyperlink w:anchor="condensed_consolidated_statements_change">
              <w:r>
                <w:rPr>
                  <w:rStyle w:val="InternetLink"/>
                  <w:rFonts w:ascii="Times New Roman;serif" w:hAnsi="Times New Roman;serif"/>
                  <w:b w:val="false"/>
                  <w:sz w:val="20"/>
                  <w:u w:val="single"/>
                </w:rPr>
                <w:t>Condensed Consolidated Statements of Changes in Stockholders’ Equity for the Three Months Ended March 31, 2023 and 2022</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0"/>
              <w:ind w:left="0" w:right="0" w:hanging="0"/>
              <w:jc w:val="left"/>
              <w:rPr/>
            </w:pPr>
            <w:hyperlink w:anchor="condensed_consolidated_statements">
              <w:r>
                <w:rPr>
                  <w:rStyle w:val="InternetLink"/>
                  <w:rFonts w:ascii="Times New Roman;serif" w:hAnsi="Times New Roman;serif"/>
                  <w:b w:val="false"/>
                  <w:sz w:val="20"/>
                  <w:u w:val="single"/>
                </w:rPr>
                <w:t>Condensed Consolidated Statements of Cash Flows for the Three Months Ended March 31, 2023 and 2022</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22" w:type="dxa"/>
            <w:tcBorders/>
            <w:shd w:fill="auto" w:val="clear"/>
            <w:vAlign w:val="center"/>
          </w:tcPr>
          <w:p>
            <w:pPr>
              <w:pStyle w:val="TableContents"/>
              <w:spacing w:before="0" w:after="0"/>
              <w:ind w:left="0" w:right="0" w:hanging="0"/>
              <w:jc w:val="left"/>
              <w:rPr/>
            </w:pPr>
            <w:hyperlink w:anchor="itm2">
              <w:r>
                <w:rPr>
                  <w:rStyle w:val="InternetLink"/>
                  <w:rFonts w:ascii="Times New Roman;serif" w:hAnsi="Times New Roman;serif"/>
                  <w:b w:val="false"/>
                  <w:sz w:val="20"/>
                  <w:u w:val="single"/>
                </w:rPr>
                <w:t>Management’s Discussion and Analysis of Financial Condition and Results of Operations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22"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22"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22" w:type="dxa"/>
            <w:tcBorders/>
            <w:shd w:fill="auto" w:val="clear"/>
            <w:vAlign w:val="center"/>
          </w:tcPr>
          <w:p>
            <w:pPr>
              <w:pStyle w:val="TableContents"/>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48"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22"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22"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22"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22"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22"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22"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835" w:type="dxa"/>
            <w:tcBorders/>
            <w:shd w:fill="auto" w:val="clear"/>
            <w:vAlign w:val="center"/>
          </w:tcPr>
          <w:p>
            <w:pPr>
              <w:pStyle w:val="TableContents"/>
              <w:spacing w:before="0" w:after="283"/>
              <w:ind w:left="0" w:right="0" w:hanging="0"/>
              <w:rPr>
                <w:sz w:val="4"/>
                <w:szCs w:val="4"/>
              </w:rPr>
            </w:pPr>
            <w:r>
              <w:rPr>
                <w:sz w:val="4"/>
                <w:szCs w:val="4"/>
              </w:rPr>
            </w:r>
          </w:p>
        </w:tc>
        <w:tc>
          <w:tcPr>
            <w:tcW w:w="8822" w:type="dxa"/>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8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22" w:type="dxa"/>
            <w:tcBorders/>
            <w:shd w:fill="auto" w:val="clear"/>
            <w:vAlign w:val="center"/>
          </w:tcPr>
          <w:p>
            <w:pPr>
              <w:pStyle w:val="TableContents"/>
              <w:spacing w:before="0" w:after="0"/>
              <w:ind w:left="0" w:right="0" w:hanging="0"/>
              <w:jc w:val="left"/>
              <w:rPr/>
            </w:pPr>
            <w:hyperlink w:anchor="exhibits">
              <w:r>
                <w:rPr>
                  <w:rStyle w:val="InternetLink"/>
                  <w:rFonts w:ascii="Times New Roman;serif" w:hAnsi="Times New Roman;serif"/>
                  <w:b w:val="false"/>
                  <w:sz w:val="20"/>
                  <w:u w:val="single"/>
                </w:rPr>
                <w:t>Exhibits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82</w:t>
            </w:r>
          </w:p>
        </w:tc>
      </w:tr>
      <w:tr>
        <w:trPr/>
        <w:tc>
          <w:tcPr>
            <w:tcW w:w="9657" w:type="dxa"/>
            <w:gridSpan w:val="2"/>
            <w:tcBorders/>
            <w:shd w:fill="auto" w:val="clear"/>
            <w:vAlign w:val="center"/>
          </w:tcPr>
          <w:p>
            <w:pPr>
              <w:pStyle w:val="TableContents"/>
              <w:spacing w:before="0" w:after="283"/>
              <w:ind w:left="0" w:right="0" w:hanging="0"/>
              <w:rPr>
                <w:sz w:val="4"/>
                <w:szCs w:val="4"/>
              </w:rPr>
            </w:pPr>
            <w:r>
              <w:rPr>
                <w:sz w:val="4"/>
                <w:szCs w:val="4"/>
              </w:rPr>
            </w:r>
          </w:p>
        </w:tc>
        <w:tc>
          <w:tcPr>
            <w:tcW w:w="548" w:type="dxa"/>
            <w:tcBorders/>
            <w:shd w:fill="auto" w:val="clear"/>
            <w:vAlign w:val="center"/>
          </w:tcPr>
          <w:p>
            <w:pPr>
              <w:pStyle w:val="TableContents"/>
              <w:spacing w:before="0" w:after="0"/>
              <w:ind w:left="0" w:right="0" w:hanging="0"/>
              <w:jc w:val="right"/>
              <w:rPr/>
            </w:pPr>
            <w:r>
              <w:rPr/>
              <w:t> </w:t>
            </w:r>
          </w:p>
        </w:tc>
      </w:tr>
      <w:tr>
        <w:trPr/>
        <w:tc>
          <w:tcPr>
            <w:tcW w:w="9657" w:type="dxa"/>
            <w:gridSpan w:val="2"/>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48" w:type="dxa"/>
            <w:tcBorders/>
            <w:shd w:fill="auto" w:val="clear"/>
            <w:tcMar>
              <w:top w:w="0" w:type="dxa"/>
              <w:left w:w="0" w:type="dxa"/>
              <w:bottom w:w="0" w:type="dxa"/>
              <w:right w:w="0" w:type="dxa"/>
            </w:tcMar>
            <w:vAlign w:val="center"/>
          </w:tcPr>
          <w:p>
            <w:pPr>
              <w:pStyle w:val="TableContents"/>
              <w:spacing w:before="0" w:after="20"/>
              <w:ind w:left="0" w:right="0" w:hanging="0"/>
              <w:jc w:val="right"/>
              <w:rPr>
                <w:rFonts w:ascii="Times New Roman;serif" w:hAnsi="Times New Roman;serif"/>
                <w:b w:val="false"/>
                <w:sz w:val="20"/>
              </w:rPr>
            </w:pPr>
            <w:r>
              <w:rPr>
                <w:rFonts w:ascii="Times New Roman;serif" w:hAnsi="Times New Roman;serif"/>
                <w:b w:val="false"/>
                <w:sz w:val="20"/>
              </w:rPr>
              <w:t>83</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iv</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0"/>
        </w:rPr>
        <w:t>ALIGOS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7040"/>
        <w:gridCol w:w="146"/>
        <w:gridCol w:w="211"/>
        <w:gridCol w:w="841"/>
        <w:gridCol w:w="166"/>
        <w:gridCol w:w="146"/>
        <w:gridCol w:w="213"/>
        <w:gridCol w:w="850"/>
        <w:gridCol w:w="592"/>
      </w:tblGrid>
      <w:tr>
        <w:trPr/>
        <w:tc>
          <w:tcPr>
            <w:tcW w:w="70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3" w:type="dxa"/>
            <w:gridSpan w:val="2"/>
            <w:tcBorders/>
            <w:shd w:fill="auto" w:val="clear"/>
            <w:vAlign w:val="center"/>
          </w:tcPr>
          <w:p>
            <w:pPr>
              <w:pStyle w:val="TableContents"/>
              <w:spacing w:before="0" w:after="0"/>
              <w:ind w:left="0" w:right="0" w:hanging="0"/>
              <w:jc w:val="center"/>
              <w:rPr/>
            </w:pPr>
            <w:r>
              <w:rPr/>
              <w:t> </w:t>
            </w:r>
          </w:p>
        </w:tc>
        <w:tc>
          <w:tcPr>
            <w:tcW w:w="592" w:type="dxa"/>
            <w:tcBorders/>
            <w:shd w:fill="auto" w:val="clear"/>
            <w:vAlign w:val="center"/>
          </w:tcPr>
          <w:p>
            <w:pPr>
              <w:pStyle w:val="TableContents"/>
              <w:spacing w:before="0" w:after="0"/>
              <w:ind w:left="0" w:right="0" w:hanging="0"/>
              <w:jc w:val="center"/>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81,347</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44,480</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133,545</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7,698</w:t>
            </w:r>
          </w:p>
        </w:tc>
        <w:tc>
          <w:tcPr>
            <w:tcW w:w="592" w:type="dxa"/>
            <w:tcBorders/>
            <w:shd w:fill="auto" w:val="cle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4,816</w:t>
            </w:r>
          </w:p>
        </w:tc>
        <w:tc>
          <w:tcPr>
            <w:tcW w:w="592" w:type="dxa"/>
            <w:tcBorders/>
            <w:shd w:fill="auto" w:val="cle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146,693</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4,737</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16,039</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3,035</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from customers,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from collaborations,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33,129</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9,201</w:t>
            </w:r>
          </w:p>
        </w:tc>
        <w:tc>
          <w:tcPr>
            <w:tcW w:w="592" w:type="dxa"/>
            <w:tcBorders/>
            <w:shd w:fill="auto" w:val="cle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592" w:type="dxa"/>
            <w:tcBorders/>
            <w:shd w:fill="auto" w:val="cle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customers,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42,793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Commitments</w:t>
            </w:r>
            <w:r>
              <w:rPr>
                <w:rFonts w:ascii="Times New Roman" w:hAnsi="Times New Roman"/>
                <w:sz w:val="20"/>
              </w:rPr>
              <w:t> </w:t>
            </w:r>
            <w:r>
              <w:rPr>
                <w:rFonts w:ascii="Times New Roman;serif" w:hAnsi="Times New Roman;serif"/>
                <w:b w:val="false"/>
                <w:sz w:val="20"/>
              </w:rPr>
              <w:t>and contingencies (Note 10)</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0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as of March 31, 2023 (unaudited) and December 31, 2022, respectively; no</w:t>
            </w:r>
            <w:r>
              <w:rPr>
                <w:rFonts w:ascii="Times New Roman" w:hAnsi="Times New Roman"/>
                <w:sz w:val="20"/>
              </w:rPr>
              <w:t> </w:t>
            </w:r>
            <w:r>
              <w:rPr>
                <w:rFonts w:ascii="Times New Roman;serif" w:hAnsi="Times New Roman;serif"/>
                <w:b w:val="false"/>
                <w:sz w:val="20"/>
              </w:rPr>
              <w:t>shares issued and outstanding as of March 31, 2023 (unaudited)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320,000,000</w:t>
            </w:r>
            <w:r>
              <w:rPr>
                <w:rFonts w:ascii="Times New Roman" w:hAnsi="Times New Roman"/>
                <w:sz w:val="20"/>
              </w:rPr>
              <w:t> </w:t>
            </w:r>
            <w:r>
              <w:rPr>
                <w:rFonts w:ascii="Times New Roman;serif" w:hAnsi="Times New Roman;serif"/>
                <w:b w:val="false"/>
                <w:sz w:val="20"/>
              </w:rPr>
              <w:t>shares authorized as of March 31, 2023 (unaudited) and December 31, 2022, respectively; 42,940,089</w:t>
            </w:r>
            <w:r>
              <w:rPr>
                <w:rFonts w:ascii="Times New Roman" w:hAnsi="Times New Roman"/>
                <w:sz w:val="20"/>
              </w:rPr>
              <w:t> </w:t>
            </w:r>
            <w:r>
              <w:rPr>
                <w:rFonts w:ascii="Times New Roman;serif" w:hAnsi="Times New Roman;serif"/>
                <w:b w:val="false"/>
                <w:sz w:val="20"/>
              </w:rPr>
              <w:t>and 42,922,980</w:t>
            </w:r>
            <w:r>
              <w:rPr>
                <w:rFonts w:ascii="Times New Roman" w:hAnsi="Times New Roman"/>
                <w:sz w:val="20"/>
              </w:rPr>
              <w:t> </w:t>
            </w:r>
            <w:r>
              <w:rPr>
                <w:rFonts w:ascii="Times New Roman;serif" w:hAnsi="Times New Roman;serif"/>
                <w:b w:val="false"/>
                <w:sz w:val="20"/>
              </w:rPr>
              <w:t>shares issued and outstanding as of March 31, 2023 (unaudited)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502,613</w:t>
            </w:r>
          </w:p>
        </w:tc>
        <w:tc>
          <w:tcPr>
            <w:tcW w:w="592" w:type="dxa"/>
            <w:tcBorders/>
            <w:shd w:fill="auto" w:val="clear"/>
            <w:vAlign w:val="center"/>
          </w:tcPr>
          <w:p>
            <w:pPr>
              <w:pStyle w:val="TableContents"/>
              <w:spacing w:before="0" w:after="0"/>
              <w:ind w:left="0" w:right="0" w:firstLine="200"/>
              <w:jc w:val="left"/>
              <w:rPr/>
            </w:pPr>
            <w:r>
              <w:rPr/>
              <w:t> </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(422,073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(399,118</w:t>
            </w:r>
          </w:p>
        </w:tc>
        <w:tc>
          <w:tcPr>
            <w:tcW w:w="59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4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103,900</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4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146,693</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0" w:after="0"/>
        <w:jc w:val="left"/>
        <w:rPr/>
      </w:pPr>
      <w:r>
        <w:rPr/>
        <w:t> </w:t>
      </w:r>
    </w:p>
    <w:p>
      <w:pPr>
        <w:pStyle w:val="TextBody"/>
        <w:spacing w:before="0" w:after="0"/>
        <w:jc w:val="left"/>
        <w:rPr/>
      </w:pPr>
      <w:r>
        <w:rPr/>
        <w:t> </w:t>
      </w:r>
    </w:p>
    <w:tbl>
      <w:tblPr>
        <w:tblW w:w="8765" w:type="dxa"/>
        <w:jc w:val="left"/>
        <w:tblInd w:w="0" w:type="dxa"/>
        <w:tblCellMar>
          <w:top w:w="28" w:type="dxa"/>
          <w:left w:w="28" w:type="dxa"/>
          <w:bottom w:w="28" w:type="dxa"/>
          <w:right w:w="28" w:type="dxa"/>
        </w:tblCellMar>
      </w:tblPr>
      <w:tblGrid>
        <w:gridCol w:w="5056"/>
        <w:gridCol w:w="146"/>
        <w:gridCol w:w="146"/>
        <w:gridCol w:w="211"/>
        <w:gridCol w:w="1036"/>
        <w:gridCol w:w="166"/>
        <w:gridCol w:w="146"/>
        <w:gridCol w:w="211"/>
        <w:gridCol w:w="1036"/>
        <w:gridCol w:w="611"/>
      </w:tblGrid>
      <w:tr>
        <w:trPr/>
        <w:tc>
          <w:tcPr>
            <w:tcW w:w="5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collaborations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2,571</w:t>
            </w:r>
          </w:p>
        </w:tc>
        <w:tc>
          <w:tcPr>
            <w:tcW w:w="611" w:type="dxa"/>
            <w:tcBorders/>
            <w:shd w:fill="auto" w:val="clear"/>
            <w:vAlign w:val="center"/>
          </w:tcPr>
          <w:p>
            <w:pPr>
              <w:pStyle w:val="TableContents"/>
              <w:spacing w:before="0" w:after="0"/>
              <w:ind w:left="0" w:right="0" w:hanging="0"/>
              <w:jc w:val="left"/>
              <w:rPr/>
            </w:pPr>
            <w:r>
              <w:rPr/>
              <w:t> </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customers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shd w:fill="auto" w:val="clear"/>
            <w:vAlign w:val="center"/>
          </w:tcPr>
          <w:p>
            <w:pPr>
              <w:pStyle w:val="TableContents"/>
              <w:spacing w:before="0" w:after="0"/>
              <w:ind w:left="0" w:right="0" w:hanging="0"/>
              <w:jc w:val="left"/>
              <w:rPr/>
            </w:pPr>
            <w:r>
              <w:rPr/>
              <w:t> </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0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31,676</w:t>
            </w:r>
          </w:p>
        </w:tc>
        <w:tc>
          <w:tcPr>
            <w:tcW w:w="611" w:type="dxa"/>
            <w:tcBorders/>
            <w:shd w:fill="auto" w:val="clear"/>
            <w:vAlign w:val="center"/>
          </w:tcPr>
          <w:p>
            <w:pPr>
              <w:pStyle w:val="TableContents"/>
              <w:spacing w:before="0" w:after="0"/>
              <w:ind w:left="0" w:right="0" w:firstLine="200"/>
              <w:jc w:val="left"/>
              <w:rPr/>
            </w:pPr>
            <w:r>
              <w:rPr/>
              <w:t> </w:t>
            </w:r>
          </w:p>
        </w:tc>
      </w:tr>
      <w:tr>
        <w:trPr/>
        <w:tc>
          <w:tcPr>
            <w:tcW w:w="50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0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38,128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0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(35,557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(35,562</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(35,615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50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(35,863</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(0.84</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of common stock, basic and 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42,910,065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42,511,559</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6" w:name="condensed_consolidated_statements_change"/>
      <w:bookmarkEnd w:id="6"/>
      <w:r>
        <w:rPr>
          <w:rFonts w:ascii="Times New Roman;serif" w:hAnsi="Times New Roman;serif"/>
          <w:b/>
          <w:sz w:val="20"/>
        </w:rPr>
        <w:t>CONDENSED CONSOLIDATED STATEMENTS OF CHANGES IN STOCKHOLDERS’ EQUITY</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07"/>
        <w:gridCol w:w="146"/>
        <w:gridCol w:w="146"/>
        <w:gridCol w:w="916"/>
        <w:gridCol w:w="146"/>
        <w:gridCol w:w="146"/>
        <w:gridCol w:w="345"/>
        <w:gridCol w:w="346"/>
        <w:gridCol w:w="146"/>
        <w:gridCol w:w="146"/>
        <w:gridCol w:w="196"/>
        <w:gridCol w:w="691"/>
        <w:gridCol w:w="146"/>
        <w:gridCol w:w="146"/>
        <w:gridCol w:w="217"/>
        <w:gridCol w:w="834"/>
        <w:gridCol w:w="166"/>
        <w:gridCol w:w="146"/>
        <w:gridCol w:w="416"/>
        <w:gridCol w:w="800"/>
        <w:gridCol w:w="146"/>
        <w:gridCol w:w="146"/>
        <w:gridCol w:w="231"/>
        <w:gridCol w:w="821"/>
        <w:gridCol w:w="213"/>
      </w:tblGrid>
      <w:tr>
        <w:trPr/>
        <w:tc>
          <w:tcPr>
            <w:tcW w:w="24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4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9"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3" w:type="dxa"/>
            <w:tcBorders/>
            <w:shd w:fill="auto" w:val="clear"/>
            <w:vAlign w:val="center"/>
          </w:tcPr>
          <w:p>
            <w:pPr>
              <w:pStyle w:val="TableContents"/>
              <w:spacing w:before="0" w:after="0"/>
              <w:ind w:left="0" w:right="0" w:hanging="0"/>
              <w:jc w:val="center"/>
              <w:rPr/>
            </w:pPr>
            <w:r>
              <w:rPr/>
              <w:t> </w:t>
            </w:r>
          </w:p>
        </w:tc>
      </w:tr>
      <w:tr>
        <w:trPr/>
        <w:tc>
          <w:tcPr>
            <w:tcW w:w="240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center"/>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42,922,980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502,613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(399,118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103,900</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upon </w:t>
              <w:br/>
              <w:t>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related </w:t>
              <w:br/>
              <w:t>   to ESPP purchase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3,503</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purchases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161</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Vesting of early exercised </w:t>
              <w:br/>
              <w:t>   common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213" w:type="dxa"/>
            <w:tcBorders/>
            <w:shd w:fill="auto" w:val="clear"/>
            <w:vAlign w:val="center"/>
          </w:tcPr>
          <w:p>
            <w:pPr>
              <w:pStyle w:val="TableContents"/>
              <w:spacing w:before="0" w:after="0"/>
              <w:ind w:left="0" w:right="0" w:hanging="0"/>
              <w:jc w:val="left"/>
              <w:rPr/>
            </w:pPr>
            <w:r>
              <w:rPr/>
              <w:t> </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(22,955</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40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42,940,089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506,320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(422,073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84,750</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43"/>
        <w:gridCol w:w="146"/>
        <w:gridCol w:w="146"/>
        <w:gridCol w:w="146"/>
        <w:gridCol w:w="916"/>
        <w:gridCol w:w="146"/>
        <w:gridCol w:w="146"/>
        <w:gridCol w:w="345"/>
        <w:gridCol w:w="346"/>
        <w:gridCol w:w="146"/>
        <w:gridCol w:w="146"/>
        <w:gridCol w:w="196"/>
        <w:gridCol w:w="691"/>
        <w:gridCol w:w="146"/>
        <w:gridCol w:w="146"/>
        <w:gridCol w:w="217"/>
        <w:gridCol w:w="834"/>
        <w:gridCol w:w="166"/>
        <w:gridCol w:w="146"/>
        <w:gridCol w:w="377"/>
        <w:gridCol w:w="839"/>
        <w:gridCol w:w="166"/>
        <w:gridCol w:w="146"/>
        <w:gridCol w:w="231"/>
        <w:gridCol w:w="820"/>
        <w:gridCol w:w="212"/>
      </w:tblGrid>
      <w:tr>
        <w:trPr/>
        <w:tc>
          <w:tcPr>
            <w:tcW w:w="22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24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04" w:type="dxa"/>
            <w:gridSpan w:val="2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4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2" w:type="dxa"/>
            <w:tcBorders/>
            <w:shd w:fill="auto" w:val="clear"/>
            <w:vAlign w:val="center"/>
          </w:tcPr>
          <w:p>
            <w:pPr>
              <w:pStyle w:val="TableContents"/>
              <w:spacing w:before="0" w:after="0"/>
              <w:ind w:left="0" w:right="0" w:hanging="0"/>
              <w:jc w:val="center"/>
              <w:rPr/>
            </w:pPr>
            <w:r>
              <w:rPr/>
              <w:t> </w:t>
            </w:r>
          </w:p>
        </w:tc>
      </w:tr>
      <w:tr>
        <w:trPr/>
        <w:tc>
          <w:tcPr>
            <w:tcW w:w="224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42,690,229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487,347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(303,072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184,731</w:t>
            </w:r>
          </w:p>
        </w:tc>
        <w:tc>
          <w:tcPr>
            <w:tcW w:w="212" w:type="dxa"/>
            <w:tcBorders/>
            <w:shd w:fill="auto" w:val="clear"/>
            <w:vAlign w:val="center"/>
          </w:tcPr>
          <w:p>
            <w:pPr>
              <w:pStyle w:val="TableContents"/>
              <w:spacing w:before="0" w:after="0"/>
              <w:ind w:left="0" w:right="0" w:hanging="0"/>
              <w:jc w:val="left"/>
              <w:rPr/>
            </w:pPr>
            <w:r>
              <w:rPr/>
              <w:t> </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upon </w:t>
              <w:br/>
              <w:t>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12" w:type="dxa"/>
            <w:tcBorders/>
            <w:shd w:fill="auto" w:val="clear"/>
            <w:vAlign w:val="center"/>
          </w:tcPr>
          <w:p>
            <w:pPr>
              <w:pStyle w:val="TableContents"/>
              <w:spacing w:before="0" w:after="0"/>
              <w:ind w:left="0" w:right="0" w:hanging="0"/>
              <w:jc w:val="left"/>
              <w:rPr/>
            </w:pPr>
            <w:r>
              <w:rPr/>
              <w:t> </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3,480</w:t>
            </w:r>
          </w:p>
        </w:tc>
        <w:tc>
          <w:tcPr>
            <w:tcW w:w="212" w:type="dxa"/>
            <w:tcBorders/>
            <w:shd w:fill="auto" w:val="clear"/>
            <w:vAlign w:val="center"/>
          </w:tcPr>
          <w:p>
            <w:pPr>
              <w:pStyle w:val="TableContents"/>
              <w:spacing w:before="0" w:after="0"/>
              <w:ind w:left="0" w:right="0" w:hanging="0"/>
              <w:jc w:val="left"/>
              <w:rPr/>
            </w:pPr>
            <w:r>
              <w:rPr/>
              <w:t> </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purchases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444</w:t>
            </w:r>
          </w:p>
        </w:tc>
        <w:tc>
          <w:tcPr>
            <w:tcW w:w="212" w:type="dxa"/>
            <w:tcBorders/>
            <w:shd w:fill="auto" w:val="clear"/>
            <w:vAlign w:val="center"/>
          </w:tcPr>
          <w:p>
            <w:pPr>
              <w:pStyle w:val="TableContents"/>
              <w:spacing w:before="0" w:after="0"/>
              <w:ind w:left="0" w:right="0" w:hanging="0"/>
              <w:jc w:val="left"/>
              <w:rPr/>
            </w:pPr>
            <w:r>
              <w:rPr/>
              <w:t> </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Vesting of early exercised </w:t>
              <w:br/>
              <w:t>   common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212" w:type="dxa"/>
            <w:tcBorders/>
            <w:shd w:fill="auto" w:val="clear"/>
            <w:vAlign w:val="center"/>
          </w:tcPr>
          <w:p>
            <w:pPr>
              <w:pStyle w:val="TableContents"/>
              <w:spacing w:before="0" w:after="0"/>
              <w:ind w:left="0" w:right="0" w:hanging="0"/>
              <w:jc w:val="left"/>
              <w:rPr/>
            </w:pPr>
            <w:r>
              <w:rPr/>
              <w:t> </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(248</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(35,615</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4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42,695,195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491,365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(338,687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152,886</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7" w:name="condensed_consolidated_statements"/>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(In thousands)</w:t>
      </w:r>
      <w:r>
        <w:rPr>
          <w:rFonts w:ascii="Times New Roman" w:hAnsi="Times New Roman"/>
          <w:sz w:val="20"/>
        </w:rPr>
        <w:t xml:space="preserve"> </w:t>
      </w:r>
    </w:p>
    <w:p>
      <w:pPr>
        <w:pStyle w:val="TextBody"/>
        <w:spacing w:before="0" w:after="0"/>
        <w:jc w:val="center"/>
        <w:rPr/>
      </w:pPr>
      <w:r>
        <w:rPr/>
        <w:t> </w:t>
      </w:r>
    </w:p>
    <w:tbl>
      <w:tblPr>
        <w:tblW w:w="9588" w:type="dxa"/>
        <w:jc w:val="left"/>
        <w:tblInd w:w="0" w:type="dxa"/>
        <w:tblCellMar>
          <w:top w:w="28" w:type="dxa"/>
          <w:left w:w="28" w:type="dxa"/>
          <w:bottom w:w="28" w:type="dxa"/>
          <w:right w:w="28" w:type="dxa"/>
        </w:tblCellMar>
      </w:tblPr>
      <w:tblGrid>
        <w:gridCol w:w="6031"/>
        <w:gridCol w:w="146"/>
        <w:gridCol w:w="225"/>
        <w:gridCol w:w="785"/>
        <w:gridCol w:w="177"/>
        <w:gridCol w:w="155"/>
        <w:gridCol w:w="225"/>
        <w:gridCol w:w="833"/>
        <w:gridCol w:w="1011"/>
      </w:tblGrid>
      <w:tr>
        <w:trPr/>
        <w:tc>
          <w:tcPr>
            <w:tcW w:w="6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10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(22,955</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(35,615</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400"/>
              <w:jc w:val="righ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Accretion of discount on investments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right of use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including ESPP</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3,664</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3,786</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600"/>
              <w:jc w:val="righ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2,086</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3,620</w:t>
            </w:r>
          </w:p>
        </w:tc>
        <w:tc>
          <w:tcPr>
            <w:tcW w:w="101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01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(6,071</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011" w:type="dxa"/>
            <w:tcBorders/>
            <w:shd w:fill="auto" w:val="clear"/>
            <w:vAlign w:val="center"/>
          </w:tcPr>
          <w:p>
            <w:pPr>
              <w:pStyle w:val="TableContents"/>
              <w:spacing w:before="0" w:after="0"/>
              <w:ind w:left="0" w:right="0" w:firstLine="600"/>
              <w:jc w:val="left"/>
              <w:rPr/>
            </w:pPr>
            <w:r>
              <w:rPr/>
              <w:t> </w:t>
            </w:r>
          </w:p>
        </w:tc>
      </w:tr>
      <w:tr>
        <w:trPr/>
        <w:tc>
          <w:tcPr>
            <w:tcW w:w="603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 from collaborations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12,438</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and cash equivalents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(22,387</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(20,434</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Activities in available-for-sale investments:</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400"/>
              <w:jc w:val="righ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Maturities of investments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1" w:type="dxa"/>
            <w:tcBorders/>
            <w:shd w:fill="auto" w:val="clear"/>
            <w:vAlign w:val="center"/>
          </w:tcPr>
          <w:p>
            <w:pPr>
              <w:pStyle w:val="TableContents"/>
              <w:spacing w:before="0" w:after="0"/>
              <w:ind w:left="0" w:right="0" w:firstLine="400"/>
              <w:jc w:val="left"/>
              <w:rPr/>
            </w:pPr>
            <w:r>
              <w:rPr/>
              <w:t> </w:t>
            </w:r>
          </w:p>
        </w:tc>
      </w:tr>
      <w:tr>
        <w:trPr/>
        <w:tc>
          <w:tcPr>
            <w:tcW w:w="60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(59,889</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and cash equivalents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(60,404</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1058"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exercise of common stock option</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and cash equivalents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011"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(2,395</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(80,859</w:t>
            </w:r>
          </w:p>
        </w:tc>
        <w:tc>
          <w:tcPr>
            <w:tcW w:w="1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81,463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186,980</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79,068</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106,121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sz w:val="20"/>
        </w:rPr>
        <w:t>(In thousands)</w:t>
      </w:r>
      <w:r>
        <w:rPr>
          <w:rFonts w:ascii="Times New Roman" w:hAnsi="Times New Roman"/>
          <w:sz w:val="20"/>
        </w:rPr>
        <w:t xml:space="preserve"> </w:t>
      </w:r>
    </w:p>
    <w:p>
      <w:pPr>
        <w:pStyle w:val="TextBody"/>
        <w:spacing w:before="0" w:after="0"/>
        <w:jc w:val="left"/>
        <w:rPr/>
      </w:pPr>
      <w:r>
        <w:rPr/>
        <w:t> </w:t>
      </w:r>
    </w:p>
    <w:tbl>
      <w:tblPr>
        <w:tblW w:w="8711" w:type="dxa"/>
        <w:jc w:val="left"/>
        <w:tblInd w:w="0" w:type="dxa"/>
        <w:tblCellMar>
          <w:top w:w="28" w:type="dxa"/>
          <w:left w:w="28" w:type="dxa"/>
          <w:bottom w:w="28" w:type="dxa"/>
          <w:right w:w="28" w:type="dxa"/>
        </w:tblCellMar>
      </w:tblPr>
      <w:tblGrid>
        <w:gridCol w:w="5956"/>
        <w:gridCol w:w="146"/>
        <w:gridCol w:w="233"/>
        <w:gridCol w:w="747"/>
        <w:gridCol w:w="161"/>
        <w:gridCol w:w="161"/>
        <w:gridCol w:w="233"/>
        <w:gridCol w:w="863"/>
        <w:gridCol w:w="211"/>
      </w:tblGrid>
      <w:tr>
        <w:trPr/>
        <w:tc>
          <w:tcPr>
            <w:tcW w:w="5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Reconciliation to amounts on the consolidated balance sheet:</w:t>
            </w:r>
          </w:p>
        </w:tc>
        <w:tc>
          <w:tcPr>
            <w:tcW w:w="146" w:type="dxa"/>
            <w:tcBorders/>
            <w:shd w:fill="auto" w:val="clear"/>
            <w:vAlign w:val="center"/>
          </w:tcPr>
          <w:p>
            <w:pPr>
              <w:pStyle w:val="TableContents"/>
              <w:spacing w:before="0" w:after="0"/>
              <w:ind w:left="0" w:right="0" w:hanging="0"/>
              <w:jc w:val="left"/>
              <w:rPr/>
            </w:pPr>
            <w:r>
              <w:rPr/>
              <w:t> </w:t>
            </w:r>
          </w:p>
        </w:tc>
        <w:tc>
          <w:tcPr>
            <w:tcW w:w="980" w:type="dxa"/>
            <w:gridSpan w:val="2"/>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78,671</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104,562</w:t>
            </w:r>
          </w:p>
        </w:tc>
        <w:tc>
          <w:tcPr>
            <w:tcW w:w="211" w:type="dxa"/>
            <w:tcBorders/>
            <w:shd w:fill="auto" w:val="clear"/>
            <w:vAlign w:val="center"/>
          </w:tcPr>
          <w:p>
            <w:pPr>
              <w:pStyle w:val="TableContents"/>
              <w:spacing w:before="0" w:after="0"/>
              <w:ind w:left="0" w:right="0" w:hanging="0"/>
              <w:jc w:val="left"/>
              <w:rPr/>
            </w:pPr>
            <w:r>
              <w:rPr/>
              <w:t> </w:t>
            </w:r>
          </w:p>
        </w:tc>
      </w:tr>
      <w:tr>
        <w:trPr/>
        <w:tc>
          <w:tcPr>
            <w:tcW w:w="59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79,068</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0" w:type="dxa"/>
            <w:gridSpan w:val="2"/>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0" w:type="dxa"/>
            <w:gridSpan w:val="2"/>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disclosures of noncash financing and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80" w:type="dxa"/>
            <w:gridSpan w:val="2"/>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1096"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9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Mark to market adjustment for available-for-sale investments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Vesting of early exercised options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ALIGOS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8" w:name="notes_to_unaudited_condensed_consolidate"/>
      <w:bookmarkEnd w:id="8"/>
      <w:r>
        <w:rPr>
          <w:rFonts w:ascii="Times New Roman;serif" w:hAnsi="Times New Roman;serif"/>
          <w:b/>
          <w:sz w:val="20"/>
        </w:rPr>
        <w:t>NOTES TO UNAUDITED CONDENSED CONSOLIDATED FINANCIAL STATEMENTS</w:t>
      </w:r>
      <w:r>
        <w:rPr>
          <w:rFonts w:ascii="Times New Roman" w:hAnsi="Times New Roman"/>
          <w:sz w:val="20"/>
        </w:rPr>
        <w:t xml:space="preserve"> </w:t>
      </w:r>
    </w:p>
    <w:p>
      <w:pPr>
        <w:pStyle w:val="TextBody"/>
        <w:pBdr>
          <w:bottom w:val="single" w:sz="8" w:space="1" w:color="000000"/>
        </w:pBdr>
        <w:spacing w:before="120" w:after="0"/>
        <w:jc w:val="center"/>
        <w:rPr/>
      </w:pPr>
      <w:r>
        <w:rPr/>
        <w:t> </w:t>
      </w:r>
    </w:p>
    <w:p>
      <w:pPr>
        <w:pStyle w:val="TextBody"/>
        <w:spacing w:before="0" w:after="0"/>
        <w:jc w:val="left"/>
        <w:rPr/>
      </w:pPr>
      <w:r>
        <w:rPr/>
        <w:t> </w:t>
      </w:r>
    </w:p>
    <w:p>
      <w:pPr>
        <w:pStyle w:val="TextBody"/>
        <w:spacing w:before="120" w:after="0"/>
        <w:jc w:val="left"/>
        <w:rPr>
          <w:rFonts w:ascii="Times New Roman" w:hAnsi="Times New Roman"/>
          <w:b/>
          <w:sz w:val="20"/>
        </w:rPr>
      </w:pPr>
      <w:r>
        <w:rPr>
          <w:rFonts w:ascii="Times New Roman" w:hAnsi="Times New Roman"/>
          <w:b/>
          <w:sz w:val="20"/>
        </w:rPr>
        <w:t>1.</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Organization </w:t>
      </w:r>
    </w:p>
    <w:p>
      <w:pPr>
        <w:pStyle w:val="TextBody"/>
        <w:spacing w:before="120" w:after="0"/>
        <w:jc w:val="left"/>
        <w:rPr>
          <w:rFonts w:ascii="Times New Roman" w:hAnsi="Times New Roman"/>
          <w:sz w:val="20"/>
        </w:rPr>
      </w:pPr>
      <w:r>
        <w:rPr>
          <w:rFonts w:ascii="Times New Roman;serif" w:hAnsi="Times New Roman;serif"/>
          <w:b/>
          <w:i/>
          <w:sz w:val="20"/>
        </w:rPr>
        <w:t>Description of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Aligos is a clinical-stage biopharmaceutical company developing novel therapeutics to address unmet medical needs in viral and liver diseases, including for non-alcoholic steatohepatitis (NASH), coronaviruses and chronic hepatitis 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Liquidity</w:t>
      </w:r>
    </w:p>
    <w:p>
      <w:pPr>
        <w:pStyle w:val="TextBody"/>
        <w:spacing w:before="120" w:after="0"/>
        <w:jc w:val="left"/>
        <w:rPr>
          <w:rFonts w:ascii="Times New Roman" w:hAnsi="Times New Roman"/>
          <w:sz w:val="20"/>
        </w:rPr>
      </w:pPr>
      <w:r>
        <w:rPr>
          <w:rFonts w:ascii="Times New Roman;serif" w:hAnsi="Times New Roman;serif"/>
          <w:b w:val="false"/>
          <w:sz w:val="20"/>
        </w:rPr>
        <w:t>The Company has incurred losses and negative cash flows from operations since its inception. As of March 31, 2023 and December 31, 2022, the Company had an accumulated deficit of $422.1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$399.1</w:t>
      </w:r>
      <w:r>
        <w:rPr>
          <w:rFonts w:ascii="Times New Roman" w:hAnsi="Times New Roman"/>
          <w:sz w:val="20"/>
        </w:rPr>
        <w:t xml:space="preserve"> </w:t>
      </w:r>
      <w:r>
        <w:rPr>
          <w:rFonts w:ascii="Times New Roman;serif" w:hAnsi="Times New Roman;serif"/>
          <w:b w:val="false"/>
          <w:sz w:val="20"/>
        </w:rPr>
        <w:t>million, respectively. Management expects to continue to incur additional substantial losses in the foreseeable future as a result of expanded research and development activities.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Company has unrestricted cash, cash equivalents and investments of approximately $103.5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w:t>
        <w:noBreakHyphen/>
        <w:t>19 pandemic and the macro-economic environment generally.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ability to raise additional funds will depend on financial, economic and other factors, many of which are beyond its control. For example, the COVID-19 pandemic, the current inflationary economic environment and rising interest rates have resulted in a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pStyle w:val="TextBody"/>
        <w:spacing w:before="120" w:after="0"/>
        <w:jc w:val="left"/>
        <w:rPr>
          <w:rFonts w:ascii="Times New Roman" w:hAnsi="Times New Roman"/>
          <w:sz w:val="20"/>
        </w:rPr>
      </w:pPr>
      <w:r>
        <w:rPr>
          <w:rFonts w:ascii="Times New Roman;serif" w:hAnsi="Times New Roman;serif"/>
          <w:b w:val="false"/>
          <w:sz w:val="20"/>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has always maintained a dual banking system to limit its credit and liquidity risk.</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2.</w:t>
      </w:r>
    </w:p>
    <w:p>
      <w:pPr>
        <w:pStyle w:val="TextBody"/>
        <w:spacing w:before="36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spacing w:before="36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condensed consolidated balance sheet as of December 31, 2022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2022, included in the Company’s Annual Report on Form 10-K filed with the SEC on March 9,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Unaudited interim financial information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consolidated balance sheet as of March 31, 2023, the consolidated statements of operations and comprehensive loss for the three months ended March 31, 2023 and 2022, the consolidated statements of stockholders’ equity for the three months ended March 31, 2023 and 2022, and the consolidated statements of cash flows for the three months ended March 31, 2023 and 2022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March 31, 2023 and the consolidated results of its operations and cash flows for the three months ended March 31, 2023 and 2022. The consolidated financial data and other information disclosed in these notes related to the three months ended March 31, 2023 and 2022 are unaudited. The consolidated results for the three months ended March 31, 2023 are not necessarily indicative of results to be expected for the year ending December 31, 2023, any other interim periods, or any future year or period.</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18"/>
        </w:rPr>
      </w:pPr>
      <w:r>
        <w:rPr>
          <w:rFonts w:ascii="Times New Roman;serif" w:hAnsi="Times New Roman;serif"/>
          <w:b/>
          <w:i/>
          <w:sz w:val="18"/>
        </w:rPr>
        <w:t>Significant accounting policies and estimates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No material changes have been made to the Company’s significant accounting policies disclosed in Note 2, </w:t>
      </w:r>
      <w:r>
        <w:rPr>
          <w:rFonts w:ascii="Times New Roman;serif" w:hAnsi="Times New Roman;serif"/>
          <w:b w:val="false"/>
          <w:i/>
          <w:sz w:val="20"/>
        </w:rPr>
        <w:t>Summary of</w:t>
      </w:r>
      <w:r>
        <w:rPr>
          <w:rFonts w:ascii="Times New Roman" w:hAnsi="Times New Roman"/>
          <w:sz w:val="20"/>
        </w:rPr>
        <w:t xml:space="preserve"> </w:t>
      </w:r>
      <w:r>
        <w:rPr>
          <w:rFonts w:ascii="Times New Roman;serif" w:hAnsi="Times New Roman;serif"/>
          <w:b w:val="false"/>
          <w:sz w:val="20"/>
        </w:rPr>
        <w:t>s</w:t>
      </w:r>
      <w:r>
        <w:rPr>
          <w:rFonts w:ascii="Times New Roman;serif" w:hAnsi="Times New Roman;serif"/>
          <w:b w:val="false"/>
          <w:i/>
          <w:sz w:val="20"/>
        </w:rPr>
        <w:t>ignificant accounting policies</w:t>
      </w:r>
      <w:r>
        <w:rPr>
          <w:rFonts w:ascii="Times New Roman;serif" w:hAnsi="Times New Roman;serif"/>
          <w:b w:val="false"/>
          <w:sz w:val="20"/>
        </w:rPr>
        <w:t>, in its Annual Report on Form 10-K, filed on March 9, 2023, for the year ended December 31, 2022.</w:t>
      </w:r>
    </w:p>
    <w:p>
      <w:pPr>
        <w:pStyle w:val="TextBody"/>
        <w:spacing w:before="360" w:after="0"/>
        <w:jc w:val="left"/>
        <w:rPr>
          <w:rFonts w:ascii="Times New Roman" w:hAnsi="Times New Roman"/>
          <w:sz w:val="20"/>
        </w:rPr>
      </w:pPr>
      <w:r>
        <w:rPr>
          <w:rFonts w:ascii="Times New Roman;serif" w:hAnsi="Times New Roman;serif"/>
          <w:b/>
          <w:i/>
          <w:sz w:val="20"/>
        </w:rPr>
        <w:t>Recently issued accounting standards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9, 2023, for the year ended December 31, 2022.</w:t>
      </w:r>
    </w:p>
    <w:p>
      <w:pPr>
        <w:pStyle w:val="TextBody"/>
        <w:spacing w:before="360" w:after="0"/>
        <w:jc w:val="left"/>
        <w:rPr>
          <w:rFonts w:ascii="Times New Roman" w:hAnsi="Times New Roman"/>
          <w:b/>
          <w:sz w:val="20"/>
        </w:rPr>
      </w:pPr>
      <w:r>
        <w:rPr>
          <w:rFonts w:ascii="Times New Roman" w:hAnsi="Times New Roman"/>
          <w:b/>
          <w:sz w:val="20"/>
        </w:rPr>
        <w:t>3.</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Property and equipment </w:t>
      </w:r>
    </w:p>
    <w:p>
      <w:pPr>
        <w:pStyle w:val="TextBody"/>
        <w:spacing w:before="120" w:after="0"/>
        <w:jc w:val="left"/>
        <w:rPr>
          <w:rFonts w:ascii="Times New Roman" w:hAnsi="Times New Roman"/>
          <w:sz w:val="20"/>
        </w:rPr>
      </w:pPr>
      <w:r>
        <w:rPr>
          <w:rFonts w:ascii="Times New Roman;serif" w:hAnsi="Times New Roman;serif"/>
          <w:b w:val="false"/>
          <w:sz w:val="20"/>
        </w:rPr>
        <w:t>The components of property and equipment as of March 31, 2023 and December 31, 2022 were as follows (in thousands):</w:t>
      </w:r>
      <w:r>
        <w:rPr>
          <w:rFonts w:ascii="Times New Roman" w:hAnsi="Times New Roman"/>
          <w:sz w:val="20"/>
        </w:rPr>
        <w:t xml:space="preserve"> </w:t>
      </w:r>
    </w:p>
    <w:p>
      <w:pPr>
        <w:pStyle w:val="TextBody"/>
        <w:spacing w:before="0" w:after="0"/>
        <w:jc w:val="left"/>
        <w:rPr/>
      </w:pPr>
      <w:r>
        <w:rPr/>
        <w:t> </w:t>
      </w:r>
    </w:p>
    <w:tbl>
      <w:tblPr>
        <w:tblW w:w="5552" w:type="dxa"/>
        <w:jc w:val="left"/>
        <w:tblInd w:w="0" w:type="dxa"/>
        <w:tblCellMar>
          <w:top w:w="28" w:type="dxa"/>
          <w:left w:w="28" w:type="dxa"/>
          <w:bottom w:w="28" w:type="dxa"/>
          <w:right w:w="28" w:type="dxa"/>
        </w:tblCellMar>
      </w:tblPr>
      <w:tblGrid>
        <w:gridCol w:w="2641"/>
        <w:gridCol w:w="146"/>
        <w:gridCol w:w="211"/>
        <w:gridCol w:w="736"/>
        <w:gridCol w:w="166"/>
        <w:gridCol w:w="146"/>
        <w:gridCol w:w="260"/>
        <w:gridCol w:w="835"/>
        <w:gridCol w:w="41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6,087</w:t>
            </w:r>
          </w:p>
        </w:tc>
        <w:tc>
          <w:tcPr>
            <w:tcW w:w="41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6,179</w:t>
            </w:r>
          </w:p>
        </w:tc>
        <w:tc>
          <w:tcPr>
            <w:tcW w:w="41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41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office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41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Vehicles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41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 under construction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at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14,384</w:t>
            </w:r>
          </w:p>
        </w:tc>
        <w:tc>
          <w:tcPr>
            <w:tcW w:w="41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Depreciation expense was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2022, respectively. Finance leases are also included in property and equipment as vehicles and lab equipment on the condensed consolidated balance sheets.</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4.</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Investments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amortized cost, gross unrealized gains and losses, and estimated fair values of total fixed-maturity securities were as follows (in thousands):</w:t>
      </w:r>
      <w:r>
        <w:rPr>
          <w:rFonts w:ascii="Times New Roman" w:hAnsi="Times New Roman"/>
          <w:sz w:val="20"/>
        </w:rPr>
        <w:t xml:space="preserve"> </w:t>
      </w:r>
    </w:p>
    <w:p>
      <w:pPr>
        <w:pStyle w:val="TextBody"/>
        <w:spacing w:before="0" w:after="0"/>
        <w:jc w:val="left"/>
        <w:rPr/>
      </w:pPr>
      <w:r>
        <w:rPr/>
        <w:t> </w:t>
      </w:r>
    </w:p>
    <w:tbl>
      <w:tblPr>
        <w:tblW w:w="7305" w:type="dxa"/>
        <w:jc w:val="left"/>
        <w:tblInd w:w="0" w:type="dxa"/>
        <w:tblCellMar>
          <w:top w:w="28" w:type="dxa"/>
          <w:left w:w="28" w:type="dxa"/>
          <w:bottom w:w="28" w:type="dxa"/>
          <w:right w:w="28" w:type="dxa"/>
        </w:tblCellMar>
      </w:tblPr>
      <w:tblGrid>
        <w:gridCol w:w="2446"/>
        <w:gridCol w:w="146"/>
        <w:gridCol w:w="211"/>
        <w:gridCol w:w="676"/>
        <w:gridCol w:w="146"/>
        <w:gridCol w:w="146"/>
        <w:gridCol w:w="443"/>
        <w:gridCol w:w="443"/>
        <w:gridCol w:w="146"/>
        <w:gridCol w:w="146"/>
        <w:gridCol w:w="495"/>
        <w:gridCol w:w="391"/>
        <w:gridCol w:w="146"/>
        <w:gridCol w:w="146"/>
        <w:gridCol w:w="211"/>
        <w:gridCol w:w="676"/>
        <w:gridCol w:w="2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2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291"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right"/>
              <w:rPr/>
            </w:pPr>
            <w:r>
              <w:rPr/>
              <w:t> </w:t>
            </w:r>
          </w:p>
        </w:tc>
      </w:tr>
      <w:tr>
        <w:trPr/>
        <w:tc>
          <w:tcPr>
            <w:tcW w:w="24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446"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tbl>
      <w:tblPr>
        <w:tblW w:w="7325" w:type="dxa"/>
        <w:jc w:val="left"/>
        <w:tblInd w:w="0" w:type="dxa"/>
        <w:tblCellMar>
          <w:top w:w="28" w:type="dxa"/>
          <w:left w:w="28" w:type="dxa"/>
          <w:bottom w:w="28" w:type="dxa"/>
          <w:right w:w="28" w:type="dxa"/>
        </w:tblCellMar>
      </w:tblPr>
      <w:tblGrid>
        <w:gridCol w:w="2446"/>
        <w:gridCol w:w="146"/>
        <w:gridCol w:w="211"/>
        <w:gridCol w:w="676"/>
        <w:gridCol w:w="146"/>
        <w:gridCol w:w="146"/>
        <w:gridCol w:w="495"/>
        <w:gridCol w:w="391"/>
        <w:gridCol w:w="146"/>
        <w:gridCol w:w="146"/>
        <w:gridCol w:w="318"/>
        <w:gridCol w:w="568"/>
        <w:gridCol w:w="166"/>
        <w:gridCol w:w="146"/>
        <w:gridCol w:w="211"/>
        <w:gridCol w:w="676"/>
        <w:gridCol w:w="2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4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291"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right"/>
              <w:rPr/>
            </w:pPr>
            <w:r>
              <w:rPr/>
              <w:t> </w:t>
            </w:r>
          </w:p>
        </w:tc>
      </w:tr>
      <w:tr>
        <w:trPr/>
        <w:tc>
          <w:tcPr>
            <w:tcW w:w="24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44,480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Changes in fair value are related to changes in market interest rates. The Company expects to collect all contractual principal and interest payments.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is a summary of maturities of securities available-for-sale as of March 31, 2023 (in thousands):</w:t>
      </w:r>
      <w:r>
        <w:rPr>
          <w:rFonts w:ascii="Times New Roman" w:hAnsi="Times New Roman"/>
          <w:sz w:val="20"/>
        </w:rPr>
        <w:t xml:space="preserve"> </w:t>
      </w:r>
    </w:p>
    <w:p>
      <w:pPr>
        <w:pStyle w:val="TextBody"/>
        <w:spacing w:before="0" w:after="0"/>
        <w:jc w:val="left"/>
        <w:rPr/>
      </w:pPr>
      <w:r>
        <w:rPr/>
        <w:t> </w:t>
      </w:r>
    </w:p>
    <w:tbl>
      <w:tblPr>
        <w:tblW w:w="5067" w:type="dxa"/>
        <w:jc w:val="left"/>
        <w:tblInd w:w="0" w:type="dxa"/>
        <w:tblCellMar>
          <w:top w:w="28" w:type="dxa"/>
          <w:left w:w="28" w:type="dxa"/>
          <w:bottom w:w="28" w:type="dxa"/>
          <w:right w:w="28" w:type="dxa"/>
        </w:tblCellMar>
      </w:tblPr>
      <w:tblGrid>
        <w:gridCol w:w="1906"/>
        <w:gridCol w:w="146"/>
        <w:gridCol w:w="296"/>
        <w:gridCol w:w="949"/>
        <w:gridCol w:w="146"/>
        <w:gridCol w:w="146"/>
        <w:gridCol w:w="211"/>
        <w:gridCol w:w="676"/>
        <w:gridCol w:w="591"/>
      </w:tblGrid>
      <w:tr>
        <w:trPr/>
        <w:tc>
          <w:tcPr>
            <w:tcW w:w="1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Available-for-sale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maturing in: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45"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87" w:type="dxa"/>
            <w:gridSpan w:val="2"/>
            <w:tcBorders/>
            <w:shd w:fill="auto" w:val="clear"/>
            <w:vAlign w:val="center"/>
          </w:tcPr>
          <w:p>
            <w:pPr>
              <w:pStyle w:val="TableContents"/>
              <w:spacing w:before="0" w:after="283"/>
              <w:ind w:left="0" w:right="0" w:hanging="0"/>
              <w:rPr>
                <w:sz w:val="4"/>
                <w:szCs w:val="4"/>
              </w:rPr>
            </w:pPr>
            <w:r>
              <w:rPr>
                <w:sz w:val="4"/>
                <w:szCs w:val="4"/>
              </w:rPr>
            </w:r>
          </w:p>
        </w:tc>
        <w:tc>
          <w:tcPr>
            <w:tcW w:w="591" w:type="dxa"/>
            <w:tcBorders/>
            <w:shd w:fill="auto" w:val="clear"/>
            <w:vAlign w:val="center"/>
          </w:tcPr>
          <w:p>
            <w:pPr>
              <w:pStyle w:val="TableContents"/>
              <w:spacing w:before="0" w:after="0"/>
              <w:ind w:left="0" w:right="0" w:firstLine="100"/>
              <w:jc w:val="center"/>
              <w:rPr/>
            </w:pPr>
            <w:r>
              <w:rPr/>
              <w:t> </w:t>
            </w:r>
          </w:p>
        </w:tc>
      </w:tr>
      <w:tr>
        <w:trPr/>
        <w:tc>
          <w:tcPr>
            <w:tcW w:w="19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One year or less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24,845</w:t>
            </w:r>
          </w:p>
        </w:tc>
        <w:tc>
          <w:tcPr>
            <w:tcW w:w="591" w:type="dxa"/>
            <w:tcBorders/>
            <w:shd w:fill="auto" w:val="clear"/>
            <w:vAlign w:val="center"/>
          </w:tcPr>
          <w:p>
            <w:pPr>
              <w:pStyle w:val="TableContents"/>
              <w:spacing w:before="0" w:after="0"/>
              <w:ind w:left="0" w:right="0" w:firstLine="400"/>
              <w:jc w:val="left"/>
              <w:rPr/>
            </w:pPr>
            <w:r>
              <w:rPr/>
              <w:t> </w:t>
            </w:r>
          </w:p>
        </w:tc>
      </w:tr>
      <w:tr>
        <w:trPr/>
        <w:tc>
          <w:tcPr>
            <w:tcW w:w="19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24,843</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24,845</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Company recorded interest income of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$86,000</w:t>
      </w:r>
      <w:r>
        <w:rPr>
          <w:rFonts w:ascii="Times New Roman" w:hAnsi="Times New Roman"/>
          <w:sz w:val="20"/>
        </w:rPr>
        <w:t xml:space="preserve"> </w:t>
      </w:r>
      <w:r>
        <w:rPr>
          <w:rFonts w:ascii="Times New Roman;serif" w:hAnsi="Times New Roman;serif"/>
          <w:b w:val="false"/>
          <w:sz w:val="20"/>
        </w:rPr>
        <w:t>for the three months ended March 31, 2022, respectively, as a component of interest and other income (expense), net on the Company’s condensed consolidated statement of operations and comprehensive loss.</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5.</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Accrued liabilities </w:t>
      </w:r>
    </w:p>
    <w:p>
      <w:pPr>
        <w:pStyle w:val="TextBody"/>
        <w:spacing w:before="120" w:after="0"/>
        <w:jc w:val="left"/>
        <w:rPr>
          <w:rFonts w:ascii="Times New Roman" w:hAnsi="Times New Roman"/>
          <w:sz w:val="20"/>
        </w:rPr>
      </w:pPr>
      <w:r>
        <w:rPr>
          <w:rFonts w:ascii="Times New Roman;serif" w:hAnsi="Times New Roman;serif"/>
          <w:b w:val="false"/>
          <w:sz w:val="20"/>
        </w:rPr>
        <w:t>Accrued liabilities consisted of the following (in thousands):</w:t>
      </w:r>
      <w:r>
        <w:rPr>
          <w:rFonts w:ascii="Times New Roman" w:hAnsi="Times New Roman"/>
          <w:sz w:val="20"/>
        </w:rPr>
        <w:t xml:space="preserve"> </w:t>
      </w:r>
    </w:p>
    <w:p>
      <w:pPr>
        <w:pStyle w:val="TextBody"/>
        <w:spacing w:before="0" w:after="0"/>
        <w:jc w:val="left"/>
        <w:rPr/>
      </w:pPr>
      <w:r>
        <w:rPr/>
        <w:t> </w:t>
      </w:r>
    </w:p>
    <w:tbl>
      <w:tblPr>
        <w:tblW w:w="6522" w:type="dxa"/>
        <w:jc w:val="left"/>
        <w:tblInd w:w="0" w:type="dxa"/>
        <w:tblCellMar>
          <w:top w:w="28" w:type="dxa"/>
          <w:left w:w="28" w:type="dxa"/>
          <w:bottom w:w="28" w:type="dxa"/>
          <w:right w:w="28" w:type="dxa"/>
        </w:tblCellMar>
      </w:tblPr>
      <w:tblGrid>
        <w:gridCol w:w="3511"/>
        <w:gridCol w:w="146"/>
        <w:gridCol w:w="211"/>
        <w:gridCol w:w="676"/>
        <w:gridCol w:w="146"/>
        <w:gridCol w:w="146"/>
        <w:gridCol w:w="260"/>
        <w:gridCol w:w="835"/>
        <w:gridCol w:w="5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shd w:fill="auto" w:val="cle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6,297</w:t>
            </w:r>
          </w:p>
        </w:tc>
        <w:tc>
          <w:tcPr>
            <w:tcW w:w="5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payables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8,203</w:t>
            </w:r>
          </w:p>
        </w:tc>
        <w:tc>
          <w:tcPr>
            <w:tcW w:w="5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for early exercised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5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5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March 31, 2022, there remains a $0.4</w:t>
      </w:r>
      <w:r>
        <w:rPr>
          <w:rFonts w:ascii="Times New Roman" w:hAnsi="Times New Roman"/>
          <w:sz w:val="20"/>
        </w:rPr>
        <w:t xml:space="preserve"> </w:t>
      </w:r>
      <w:r>
        <w:rPr>
          <w:rFonts w:ascii="Times New Roman;serif" w:hAnsi="Times New Roman;serif"/>
          <w:b w:val="false"/>
          <w:sz w:val="20"/>
        </w:rPr>
        <w:t>million accrual, included within Accrued Compensation noted above, for the workforce reduction announced in February 2023, which is expected to be fully utilized by the end of 2023.</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6.</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Stock-based compensation </w:t>
      </w:r>
    </w:p>
    <w:p>
      <w:pPr>
        <w:pStyle w:val="TextBody"/>
        <w:spacing w:before="120" w:after="0"/>
        <w:jc w:val="left"/>
        <w:rPr>
          <w:rFonts w:ascii="Times New Roman;serif" w:hAnsi="Times New Roman;serif"/>
          <w:b/>
          <w:i/>
          <w:sz w:val="20"/>
        </w:rPr>
      </w:pPr>
      <w:r>
        <w:rPr>
          <w:rFonts w:ascii="Times New Roman;serif" w:hAnsi="Times New Roman;serif"/>
          <w:b/>
          <w:i/>
          <w:sz w:val="20"/>
        </w:rPr>
        <w:t>Stock options</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 Company’s stock option compensation expense was approximately $3.5</w:t>
      </w:r>
      <w:r>
        <w:rPr>
          <w:rFonts w:ascii="Times New Roman" w:hAnsi="Times New Roman"/>
          <w:sz w:val="20"/>
        </w:rPr>
        <w:t xml:space="preserve"> </w:t>
      </w:r>
      <w:r>
        <w:rPr>
          <w:rFonts w:ascii="Times New Roman;serif" w:hAnsi="Times New Roman;serif"/>
          <w:b w:val="false"/>
          <w:sz w:val="20"/>
        </w:rPr>
        <w:t>million, and during the three months ended March 31, 2022, the Company’s stock option compensation expense was approximately $3.4</w:t>
      </w:r>
      <w:r>
        <w:rPr>
          <w:rFonts w:ascii="Times New Roman" w:hAnsi="Times New Roman"/>
          <w:sz w:val="20"/>
        </w:rPr>
        <w:t xml:space="preserve"> </w:t>
      </w:r>
      <w:r>
        <w:rPr>
          <w:rFonts w:ascii="Times New Roman;serif" w:hAnsi="Times New Roman;serif"/>
          <w:b w:val="false"/>
          <w:sz w:val="20"/>
        </w:rPr>
        <w:t>million. There was no</w:t>
      </w:r>
      <w:r>
        <w:rPr>
          <w:rFonts w:ascii="Times New Roman" w:hAnsi="Times New Roman"/>
          <w:sz w:val="20"/>
        </w:rPr>
        <w:t xml:space="preserve"> </w:t>
      </w:r>
      <w:r>
        <w:rPr>
          <w:rFonts w:ascii="Times New Roman;serif" w:hAnsi="Times New Roman;serif"/>
          <w:b w:val="false"/>
          <w:sz w:val="20"/>
        </w:rPr>
        <w:t>recognized tax benefit in either of the periods. As of March 31, 2023, the unamortized expense balance was $24.4</w:t>
      </w:r>
      <w:r>
        <w:rPr>
          <w:rFonts w:ascii="Times New Roman" w:hAnsi="Times New Roman"/>
          <w:sz w:val="20"/>
        </w:rPr>
        <w:t xml:space="preserve"> </w:t>
      </w:r>
      <w:r>
        <w:rPr>
          <w:rFonts w:ascii="Times New Roman;serif" w:hAnsi="Times New Roman;serif"/>
          <w:b w:val="false"/>
          <w:sz w:val="20"/>
        </w:rPr>
        <w:t>million, to be amortized over a weighted average period of 2.37</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Stock option activity during the three months ended March 31, 2023 is as follows:</w:t>
      </w:r>
      <w:r>
        <w:rPr>
          <w:rFonts w:ascii="Times New Roman" w:hAnsi="Times New Roman"/>
          <w:sz w:val="20"/>
        </w:rPr>
        <w:t xml:space="preserve"> </w:t>
      </w:r>
    </w:p>
    <w:p>
      <w:pPr>
        <w:pStyle w:val="TextBody"/>
        <w:spacing w:before="0" w:after="0"/>
        <w:jc w:val="left"/>
        <w:rPr/>
      </w:pPr>
      <w:r>
        <w:rPr/>
        <w:t> </w:t>
      </w:r>
    </w:p>
    <w:tbl>
      <w:tblPr>
        <w:tblW w:w="10202" w:type="dxa"/>
        <w:jc w:val="left"/>
        <w:tblInd w:w="0" w:type="dxa"/>
        <w:tblCellMar>
          <w:top w:w="28" w:type="dxa"/>
          <w:left w:w="28" w:type="dxa"/>
          <w:bottom w:w="28" w:type="dxa"/>
          <w:right w:w="28" w:type="dxa"/>
        </w:tblCellMar>
      </w:tblPr>
      <w:tblGrid>
        <w:gridCol w:w="4801"/>
        <w:gridCol w:w="146"/>
        <w:gridCol w:w="146"/>
        <w:gridCol w:w="1036"/>
        <w:gridCol w:w="166"/>
        <w:gridCol w:w="146"/>
        <w:gridCol w:w="266"/>
        <w:gridCol w:w="590"/>
        <w:gridCol w:w="146"/>
        <w:gridCol w:w="146"/>
        <w:gridCol w:w="239"/>
        <w:gridCol w:w="766"/>
        <w:gridCol w:w="146"/>
        <w:gridCol w:w="146"/>
        <w:gridCol w:w="425"/>
        <w:gridCol w:w="700"/>
        <w:gridCol w:w="191"/>
      </w:tblGrid>
      <w:tr>
        <w:trPr/>
        <w:tc>
          <w:tcPr>
            <w:tcW w:w="4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br/>
              <w:t>subject</w:t>
              <w:br/>
              <w:t>to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 xml:space="preserve">Value </w:t>
              <w:b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9,840,127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1,516,130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(544,686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10,794,462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expected to vest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10,791,733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4,456,678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weighted-average grant date fair value of options granted during the three months ended March 31, 2023 was $0.93, and during the three months ended March 31, 2022 was $2.12</w:t>
      </w:r>
      <w:r>
        <w:rPr>
          <w:rFonts w:ascii="Times New Roman" w:hAnsi="Times New Roman"/>
          <w:sz w:val="20"/>
        </w:rPr>
        <w:t xml:space="preserve"> </w:t>
      </w:r>
      <w:r>
        <w:rPr>
          <w:rFonts w:ascii="Times New Roman;serif" w:hAnsi="Times New Roman;serif"/>
          <w:b w:val="false"/>
          <w:sz w:val="20"/>
        </w:rPr>
        <w:t>per share, respectively.</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Restricted stock awards</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recorded no</w:t>
      </w:r>
      <w:r>
        <w:rPr>
          <w:rFonts w:ascii="Times New Roman" w:hAnsi="Times New Roman"/>
          <w:sz w:val="20"/>
        </w:rPr>
        <w:t xml:space="preserve"> </w:t>
      </w:r>
      <w:r>
        <w:rPr>
          <w:rFonts w:ascii="Times New Roman;serif" w:hAnsi="Times New Roman;serif"/>
          <w:b w:val="false"/>
          <w:sz w:val="20"/>
        </w:rPr>
        <w:t>stock-based compensation expense related to restricted stock awards as all awards are vested.</w:t>
      </w:r>
      <w:r>
        <w:rPr>
          <w:rFonts w:ascii="Times New Roman" w:hAnsi="Times New Roman"/>
          <w:sz w:val="20"/>
        </w:rPr>
        <w:t xml:space="preserve"> </w:t>
      </w:r>
      <w:r>
        <w:rPr>
          <w:rFonts w:ascii="Times New Roman;serif" w:hAnsi="Times New Roman;serif"/>
          <w:b w:val="false"/>
          <w:sz w:val="20"/>
        </w:rPr>
        <w:t>During the three months ended March 31, 2022, the Company recorded total stock-based compensation expense related to restricted stock awards of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there was no</w:t>
      </w:r>
      <w:r>
        <w:rPr>
          <w:rFonts w:ascii="Times New Roman" w:hAnsi="Times New Roman"/>
          <w:sz w:val="20"/>
        </w:rPr>
        <w:t xml:space="preserve"> </w:t>
      </w:r>
      <w:r>
        <w:rPr>
          <w:rFonts w:ascii="Times New Roman;serif" w:hAnsi="Times New Roman;serif"/>
          <w:b w:val="false"/>
          <w:sz w:val="20"/>
        </w:rPr>
        <w:t>unrecognized stock-based compensation expense related to outstanding unvested shares of restricted stock awards remaining.</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20"/>
        </w:rPr>
        <w:t>During the three months ended March 31, 2023 and 2022, the Company did not issue shares of common stock, upon exercise of unvested stock options or purchases for unvested restricted stock awards. As of March 31, 2023 and December 31, 2022, there were 19,166</w:t>
      </w:r>
      <w:r>
        <w:rPr>
          <w:rFonts w:ascii="Times New Roman" w:hAnsi="Times New Roman"/>
          <w:sz w:val="20"/>
        </w:rPr>
        <w:t xml:space="preserve"> </w:t>
      </w:r>
      <w:r>
        <w:rPr>
          <w:rFonts w:ascii="Times New Roman;serif" w:hAnsi="Times New Roman;serif"/>
          <w:b w:val="false"/>
          <w:sz w:val="20"/>
        </w:rPr>
        <w:t>and 28,711</w:t>
      </w:r>
      <w:r>
        <w:rPr>
          <w:rFonts w:ascii="Times New Roman" w:hAnsi="Times New Roman"/>
          <w:sz w:val="20"/>
        </w:rPr>
        <w:t xml:space="preserve"> </w:t>
      </w:r>
      <w:r>
        <w:rPr>
          <w:rFonts w:ascii="Times New Roman;serif" w:hAnsi="Times New Roman;serif"/>
          <w:b w:val="false"/>
          <w:sz w:val="20"/>
        </w:rPr>
        <w:t>shares of Common Stock held by employees subject to repurchase at an aggregate price of approximately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A corresponding liability was recorded and included in accrued expenses on the condensed consolidated balance sheet as of March 31, 2023 and December 31, 2022, respectively.</w:t>
      </w:r>
    </w:p>
    <w:p>
      <w:pPr>
        <w:pStyle w:val="TextBody"/>
        <w:spacing w:before="40" w:after="0"/>
        <w:jc w:val="left"/>
        <w:rPr/>
      </w:pPr>
      <w:r>
        <w:rPr/>
        <w:t> </w:t>
      </w:r>
    </w:p>
    <w:p>
      <w:pPr>
        <w:pStyle w:val="TextBody"/>
        <w:spacing w:before="40" w:after="0"/>
        <w:jc w:val="left"/>
        <w:rPr>
          <w:rFonts w:ascii="Times New Roman;serif" w:hAnsi="Times New Roman;serif"/>
          <w:b/>
          <w:i/>
          <w:sz w:val="20"/>
        </w:rPr>
      </w:pPr>
      <w:r>
        <w:rPr>
          <w:rFonts w:ascii="Times New Roman;serif" w:hAnsi="Times New Roman;serif"/>
          <w:b/>
          <w:i/>
          <w:sz w:val="20"/>
        </w:rPr>
        <w:t>Employee stock purchase plan</w:t>
      </w:r>
    </w:p>
    <w:p>
      <w:pPr>
        <w:pStyle w:val="TextBody"/>
        <w:spacing w:before="40" w:after="0"/>
        <w:jc w:val="left"/>
        <w:rPr>
          <w:rFonts w:ascii="Times New Roman" w:hAnsi="Times New Roman"/>
          <w:sz w:val="20"/>
        </w:rPr>
      </w:pPr>
      <w:r>
        <w:rPr>
          <w:rFonts w:ascii="Times New Roman;serif" w:hAnsi="Times New Roman;serif"/>
          <w:b w:val="false"/>
          <w:sz w:val="20"/>
        </w:rPr>
        <w:t>During the three months ended March 31, 2023, the Company recorded total stock-based compensation expense related to the employee stock purchase plan of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the three months ended March 31, 2022. During the three months ended March 31, 2023</w:t>
      </w:r>
      <w:r>
        <w:rPr>
          <w:rFonts w:ascii="Times New Roman" w:hAnsi="Times New Roman"/>
          <w:sz w:val="20"/>
        </w:rPr>
        <w:t xml:space="preserve"> </w:t>
      </w:r>
      <w:r>
        <w:rPr>
          <w:rFonts w:ascii="Times New Roman;serif" w:hAnsi="Times New Roman;serif"/>
          <w:b w:val="false"/>
          <w:sz w:val="20"/>
        </w:rPr>
        <w:t>and 2022, no</w:t>
      </w:r>
      <w:r>
        <w:rPr>
          <w:rFonts w:ascii="Times New Roman" w:hAnsi="Times New Roman"/>
          <w:sz w:val="20"/>
        </w:rPr>
        <w:t xml:space="preserve"> </w:t>
      </w:r>
      <w:r>
        <w:rPr>
          <w:rFonts w:ascii="Times New Roman;serif" w:hAnsi="Times New Roman;serif"/>
          <w:b w:val="false"/>
          <w:sz w:val="20"/>
        </w:rPr>
        <w:t>purchases of awards under this plan have been made.</w:t>
      </w:r>
      <w:r>
        <w:rPr>
          <w:rFonts w:ascii="Times New Roman" w:hAnsi="Times New Roman"/>
          <w:sz w:val="20"/>
        </w:rPr>
        <w:t xml:space="preserve"> </w:t>
      </w:r>
    </w:p>
    <w:p>
      <w:pPr>
        <w:pStyle w:val="TextBody"/>
        <w:spacing w:before="4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Stock-based compensation expense was allocated as follows for the three months ended March 31, 2023 and 2022 (in thousands):</w:t>
      </w:r>
      <w:r>
        <w:rPr>
          <w:rFonts w:ascii="Times New Roman" w:hAnsi="Times New Roman"/>
          <w:sz w:val="20"/>
        </w:rPr>
        <w:t xml:space="preserve"> </w:t>
      </w:r>
    </w:p>
    <w:p>
      <w:pPr>
        <w:pStyle w:val="TextBody"/>
        <w:spacing w:before="0" w:after="0"/>
        <w:jc w:val="left"/>
        <w:rPr/>
      </w:pPr>
      <w:r>
        <w:rPr/>
        <w:t> </w:t>
      </w:r>
    </w:p>
    <w:tbl>
      <w:tblPr>
        <w:tblW w:w="5050" w:type="dxa"/>
        <w:jc w:val="left"/>
        <w:tblInd w:w="0" w:type="dxa"/>
        <w:tblCellMar>
          <w:top w:w="28" w:type="dxa"/>
          <w:left w:w="28" w:type="dxa"/>
          <w:bottom w:w="28" w:type="dxa"/>
          <w:right w:w="28" w:type="dxa"/>
        </w:tblCellMar>
      </w:tblPr>
      <w:tblGrid>
        <w:gridCol w:w="2311"/>
        <w:gridCol w:w="146"/>
        <w:gridCol w:w="211"/>
        <w:gridCol w:w="571"/>
        <w:gridCol w:w="146"/>
        <w:gridCol w:w="146"/>
        <w:gridCol w:w="211"/>
        <w:gridCol w:w="571"/>
        <w:gridCol w:w="146"/>
        <w:gridCol w:w="5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w:t>
            </w:r>
          </w:p>
        </w:tc>
        <w:tc>
          <w:tcPr>
            <w:tcW w:w="14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23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360" w:after="0"/>
        <w:jc w:val="left"/>
        <w:rPr>
          <w:rFonts w:ascii="Times New Roman" w:hAnsi="Times New Roman"/>
          <w:b/>
          <w:sz w:val="20"/>
        </w:rPr>
      </w:pPr>
      <w:r>
        <w:rPr>
          <w:rFonts w:ascii="Times New Roman" w:hAnsi="Times New Roman"/>
          <w:b/>
          <w:sz w:val="20"/>
        </w:rPr>
        <w:t>7.</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Fair value </w:t>
      </w:r>
    </w:p>
    <w:p>
      <w:pPr>
        <w:pStyle w:val="TextBody"/>
        <w:spacing w:before="120" w:after="0"/>
        <w:jc w:val="left"/>
        <w:rPr>
          <w:rFonts w:ascii="Times New Roman" w:hAnsi="Times New Roman"/>
          <w:sz w:val="20"/>
        </w:rPr>
      </w:pPr>
      <w:r>
        <w:rPr>
          <w:rFonts w:ascii="Times New Roman;serif" w:hAnsi="Times New Roman;serif"/>
          <w:b w:val="false"/>
          <w:sz w:val="20"/>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Quoted prices in active markets for identical assets or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Unobservable inputs that are supported by little or no market activity that are significant to determining the fair value of the assets or liabilities, including pricing models, discounted cash flow methodologies and similar techniques.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present the fair value of the Company’s financial instruments that are measured or disclosed at fair value on a recurring basis (in thousands):</w:t>
      </w:r>
      <w:r>
        <w:rPr>
          <w:rFonts w:ascii="Times New Roman" w:hAnsi="Times New Roman"/>
          <w:sz w:val="20"/>
        </w:rPr>
        <w:t xml:space="preserve"> </w:t>
      </w:r>
    </w:p>
    <w:p>
      <w:pPr>
        <w:pStyle w:val="TextBody"/>
        <w:spacing w:before="0" w:after="0"/>
        <w:jc w:val="left"/>
        <w:rPr/>
      </w:pPr>
      <w:r>
        <w:rPr/>
        <w:t> </w:t>
      </w:r>
    </w:p>
    <w:tbl>
      <w:tblPr>
        <w:tblW w:w="5014" w:type="dxa"/>
        <w:jc w:val="left"/>
        <w:tblInd w:w="0" w:type="dxa"/>
        <w:tblCellMar>
          <w:top w:w="28" w:type="dxa"/>
          <w:left w:w="28" w:type="dxa"/>
          <w:bottom w:w="28" w:type="dxa"/>
          <w:right w:w="28" w:type="dxa"/>
        </w:tblCellMar>
      </w:tblPr>
      <w:tblGrid>
        <w:gridCol w:w="1741"/>
        <w:gridCol w:w="146"/>
        <w:gridCol w:w="211"/>
        <w:gridCol w:w="781"/>
        <w:gridCol w:w="146"/>
        <w:gridCol w:w="146"/>
        <w:gridCol w:w="352"/>
        <w:gridCol w:w="278"/>
        <w:gridCol w:w="146"/>
        <w:gridCol w:w="146"/>
        <w:gridCol w:w="352"/>
        <w:gridCol w:w="278"/>
        <w:gridCol w:w="29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3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Measurements </w:t>
              <w:br/>
              <w:t>as of 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3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Measurements </w:t>
              <w:br/>
              <w:t>as of 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125,827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b/>
          <w:sz w:val="20"/>
        </w:rPr>
      </w:pPr>
      <w:r>
        <w:rPr>
          <w:rFonts w:ascii="Times New Roman" w:hAnsi="Times New Roman"/>
          <w:b/>
          <w:sz w:val="20"/>
        </w:rPr>
        <w:t>8.</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License and collaboration agreements </w:t>
      </w:r>
    </w:p>
    <w:p>
      <w:pPr>
        <w:pStyle w:val="TextBody"/>
        <w:spacing w:before="120" w:after="0"/>
        <w:jc w:val="left"/>
        <w:rPr>
          <w:rFonts w:ascii="Times New Roman" w:hAnsi="Times New Roman"/>
          <w:sz w:val="20"/>
        </w:rPr>
      </w:pPr>
      <w:r>
        <w:rPr>
          <w:rFonts w:ascii="Times New Roman;serif" w:hAnsi="Times New Roman;serif"/>
          <w:b/>
          <w:i/>
          <w:sz w:val="20"/>
        </w:rPr>
        <w:t>Agreement with Emory University (Emory)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spacing w:before="240" w:after="0"/>
        <w:jc w:val="left"/>
        <w:rPr>
          <w:rFonts w:ascii="Times New Roman" w:hAnsi="Times New Roman"/>
          <w:sz w:val="20"/>
        </w:rPr>
      </w:pPr>
      <w:r>
        <w:rPr>
          <w:rFonts w:ascii="Times New Roman;serif" w:hAnsi="Times New Roman;serif"/>
          <w:b w:val="false"/>
          <w:sz w:val="20"/>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w:t>
      </w:r>
      <w:r>
        <w:rPr>
          <w:rFonts w:ascii="Times New Roman" w:hAnsi="Times New Roman"/>
          <w:sz w:val="20"/>
        </w:rPr>
        <w:t xml:space="preserve"> </w:t>
      </w:r>
      <w:r>
        <w:rPr>
          <w:rFonts w:ascii="Times New Roman;serif" w:hAnsi="Times New Roman;serif"/>
          <w:b w:val="false"/>
          <w:sz w:val="20"/>
        </w:rPr>
        <w:t>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w:t>
      </w:r>
      <w:r>
        <w:rPr>
          <w:rFonts w:ascii="Times New Roman" w:hAnsi="Times New Roman"/>
          <w:sz w:val="20"/>
        </w:rPr>
        <w:t xml:space="preserve"> </w:t>
      </w:r>
      <w:r>
        <w:rPr>
          <w:rFonts w:ascii="Times New Roman;serif" w:hAnsi="Times New Roman;serif"/>
          <w:b w:val="false"/>
          <w:sz w:val="20"/>
        </w:rPr>
        <w:t>In connection with the research plan, the Company will provide Emory funding up to $0.3</w:t>
      </w:r>
      <w:r>
        <w:rPr>
          <w:rFonts w:ascii="Times New Roman" w:hAnsi="Times New Roman"/>
          <w:sz w:val="20"/>
        </w:rPr>
        <w:t xml:space="preserve"> </w:t>
      </w:r>
      <w:r>
        <w:rPr>
          <w:rFonts w:ascii="Times New Roman;serif" w:hAnsi="Times New Roman;serif"/>
          <w:b w:val="false"/>
          <w:sz w:val="20"/>
        </w:rPr>
        <w:t>million per year.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agreed to pay Emory up to an aggregate of $125.0</w:t>
      </w:r>
      <w:r>
        <w:rPr>
          <w:rFonts w:ascii="Times New Roman" w:hAnsi="Times New Roman"/>
          <w:sz w:val="20"/>
        </w:rPr>
        <w:t xml:space="preserve"> </w:t>
      </w:r>
      <w:r>
        <w:rPr>
          <w:rFonts w:ascii="Times New Roman;serif" w:hAnsi="Times New Roman;serif"/>
          <w:b w:val="false"/>
          <w:sz w:val="20"/>
        </w:rPr>
        <w:t>million upon the achievement of specified development, regulatory, and commercial milestones, and all ongoing patent costs. During the three months ended March 31, 2023 and 2022, the Company had no</w:t>
      </w:r>
      <w:r>
        <w:rPr>
          <w:rFonts w:ascii="Times New Roman" w:hAnsi="Times New Roman"/>
          <w:sz w:val="20"/>
        </w:rPr>
        <w:t xml:space="preserve"> </w:t>
      </w:r>
      <w:r>
        <w:rPr>
          <w:rFonts w:ascii="Times New Roman;serif" w:hAnsi="Times New Roman;serif"/>
          <w:b w:val="false"/>
          <w:sz w:val="20"/>
        </w:rPr>
        <w:t>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months ended March 31, 2023 and 2022, the Company made no</w:t>
      </w:r>
      <w:r>
        <w:rPr>
          <w:rFonts w:ascii="Times New Roman" w:hAnsi="Times New Roman"/>
          <w:sz w:val="20"/>
        </w:rPr>
        <w:t xml:space="preserve"> </w:t>
      </w:r>
      <w:r>
        <w:rPr>
          <w:rFonts w:ascii="Times New Roman;serif" w:hAnsi="Times New Roman;serif"/>
          <w:b w:val="false"/>
          <w:sz w:val="20"/>
        </w:rPr>
        <w:t>payments associated with royalties and recognized no</w:t>
      </w:r>
      <w:r>
        <w:rPr>
          <w:rFonts w:ascii="Times New Roman" w:hAnsi="Times New Roman"/>
          <w:sz w:val="20"/>
        </w:rPr>
        <w:t xml:space="preserve"> </w:t>
      </w:r>
      <w:r>
        <w:rPr>
          <w:rFonts w:ascii="Times New Roman;serif" w:hAnsi="Times New Roman;serif"/>
          <w:b w:val="false"/>
          <w:sz w:val="20"/>
        </w:rPr>
        <w:t>expense or accruals.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Agreement with Luxna Biotech Co., Ltd. (Luxna)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w:t>
      </w:r>
      <w:r>
        <w:rPr>
          <w:rFonts w:ascii="Times New Roman" w:hAnsi="Times New Roman"/>
          <w:sz w:val="20"/>
        </w:rPr>
        <w:t xml:space="preserve"> </w:t>
      </w:r>
      <w:r>
        <w:rPr>
          <w:rFonts w:ascii="Times New Roman;serif" w:hAnsi="Times New Roman;serif"/>
          <w:b w:val="false"/>
          <w:sz w:val="20"/>
        </w:rPr>
        <w:t>million in April 2020.</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is obligated to make payments to Luxna, in aggregate, totaling up to but no more than $55.5</w:t>
      </w:r>
      <w:r>
        <w:rPr>
          <w:rFonts w:ascii="Times New Roman" w:hAnsi="Times New Roman"/>
          <w:sz w:val="20"/>
        </w:rPr>
        <w:t xml:space="preserve"> </w:t>
      </w:r>
      <w:r>
        <w:rPr>
          <w:rFonts w:ascii="Times New Roman;serif" w:hAnsi="Times New Roman;serif"/>
          <w:b w:val="false"/>
          <w:sz w:val="20"/>
        </w:rPr>
        <w:t>million upon the achievement of specified development, regulatory, and commercial milestones. During the three months ended March 31, 2023 and 2022, the Company recognized no</w:t>
      </w:r>
      <w:r>
        <w:rPr>
          <w:rFonts w:ascii="Times New Roman" w:hAnsi="Times New Roman"/>
          <w:sz w:val="20"/>
        </w:rPr>
        <w:t xml:space="preserve"> </w:t>
      </w:r>
      <w:r>
        <w:rPr>
          <w:rFonts w:ascii="Times New Roman;serif" w:hAnsi="Times New Roman;serif"/>
          <w:b w:val="false"/>
          <w:sz w:val="20"/>
        </w:rPr>
        <w:t>expenses related to milestone payments. The Company is also required to pay Luxna a low-single digit royalty percentage on net sale of applicable products, if any. During the three months ended March 31, 2023 and 2022, the Company made no</w:t>
      </w:r>
      <w:r>
        <w:rPr>
          <w:rFonts w:ascii="Times New Roman" w:hAnsi="Times New Roman"/>
          <w:sz w:val="20"/>
        </w:rPr>
        <w:t xml:space="preserve"> </w:t>
      </w:r>
      <w:r>
        <w:rPr>
          <w:rFonts w:ascii="Times New Roman;serif" w:hAnsi="Times New Roman;serif"/>
          <w:b w:val="false"/>
          <w:sz w:val="20"/>
        </w:rPr>
        <w:t>payments associated with royalties.</w:t>
      </w:r>
    </w:p>
    <w:p>
      <w:pPr>
        <w:pStyle w:val="TextBody"/>
        <w:spacing w:before="360" w:after="0"/>
        <w:jc w:val="left"/>
        <w:rPr>
          <w:rFonts w:ascii="Times New Roman" w:hAnsi="Times New Roman"/>
          <w:sz w:val="20"/>
        </w:rPr>
      </w:pPr>
      <w:r>
        <w:rPr>
          <w:rFonts w:ascii="Times New Roman;serif" w:hAnsi="Times New Roman;serif"/>
          <w:b/>
          <w:i/>
          <w:sz w:val="20"/>
        </w:rPr>
        <w:t>Agreement with Katholieke Universiteit Leuven (KU Leuven)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w:t>
      </w:r>
      <w:r>
        <w:rPr>
          <w:rFonts w:ascii="Times New Roman" w:hAnsi="Times New Roman"/>
          <w:sz w:val="20"/>
        </w:rPr>
        <w:t xml:space="preserve"> </w:t>
      </w:r>
      <w:r>
        <w:rPr>
          <w:rFonts w:ascii="Times New Roman;serif" w:hAnsi="Times New Roman;serif"/>
          <w:b w:val="false"/>
          <w:sz w:val="20"/>
        </w:rPr>
        <w:t>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collaboration period has expired.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w:t>
      </w:r>
      <w:r>
        <w:rPr>
          <w:rFonts w:ascii="Times New Roman" w:hAnsi="Times New Roman"/>
          <w:sz w:val="20"/>
        </w:rPr>
        <w:t xml:space="preserve"> </w:t>
      </w:r>
      <w:r>
        <w:rPr>
          <w:rFonts w:ascii="Times New Roman;serif" w:hAnsi="Times New Roman;serif"/>
          <w:b w:val="false"/>
          <w:sz w:val="20"/>
        </w:rPr>
        <w:t>million upon the achievement of certain commercial sales milestones. For each licensed product developed through KU Leuven and the Company’s collaborative effort, the Company is obligated to make payments to KU Leuven, in aggregate, totaling up to $32.0</w:t>
      </w:r>
      <w:r>
        <w:rPr>
          <w:rFonts w:ascii="Times New Roman" w:hAnsi="Times New Roman"/>
          <w:sz w:val="20"/>
        </w:rPr>
        <w:t xml:space="preserve"> </w:t>
      </w:r>
      <w:r>
        <w:rPr>
          <w:rFonts w:ascii="Times New Roman;serif" w:hAnsi="Times New Roman;serif"/>
          <w:b w:val="false"/>
          <w:sz w:val="20"/>
        </w:rPr>
        <w:t>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w:t>
      </w:r>
      <w:r>
        <w:rPr>
          <w:rFonts w:ascii="Times New Roman;serif" w:hAnsi="Times New Roman;serif"/>
          <w:sz w:val="20"/>
        </w:rPr>
        <w:t xml:space="preserve"> </w:t>
      </w:r>
      <w:r>
        <w:rPr>
          <w:rFonts w:ascii="Times New Roman;serif" w:hAnsi="Times New Roman;serif"/>
          <w:b w:val="false"/>
          <w:sz w:val="20"/>
        </w:rPr>
        <w:t>years after the first commercial sale of a licensed product.</w:t>
      </w:r>
      <w:r>
        <w:rPr>
          <w:rFonts w:ascii="Times New Roman" w:hAnsi="Times New Roman"/>
          <w:sz w:val="20"/>
        </w:rPr>
        <w:t xml:space="preserve"> </w:t>
      </w:r>
      <w:r>
        <w:rPr>
          <w:rFonts w:ascii="Times New Roman;serif" w:hAnsi="Times New Roman;serif"/>
          <w:b w:val="false"/>
          <w:sz w:val="20"/>
        </w:rPr>
        <w:t>During the three months ended March 31, 2023 and 2022, the Company recognized no</w:t>
      </w:r>
      <w:r>
        <w:rPr>
          <w:rFonts w:ascii="Times New Roman" w:hAnsi="Times New Roman"/>
          <w:sz w:val="20"/>
        </w:rPr>
        <w:t xml:space="preserve"> </w:t>
      </w:r>
      <w:r>
        <w:rPr>
          <w:rFonts w:ascii="Times New Roman;serif" w:hAnsi="Times New Roman;serif"/>
          <w:b w:val="false"/>
          <w:sz w:val="20"/>
        </w:rPr>
        <w:t>expenses related to milestone payments.</w:t>
      </w:r>
    </w:p>
    <w:p>
      <w:pPr>
        <w:pStyle w:val="TextBody"/>
        <w:spacing w:before="160" w:after="0"/>
        <w:jc w:val="left"/>
        <w:rPr>
          <w:rFonts w:ascii="Times New Roman;serif" w:hAnsi="Times New Roman;serif"/>
          <w:b/>
          <w:i/>
          <w:sz w:val="20"/>
        </w:rPr>
      </w:pPr>
      <w:r>
        <w:rPr>
          <w:rFonts w:ascii="Times New Roman;serif" w:hAnsi="Times New Roman;serif"/>
          <w:b/>
          <w:i/>
          <w:sz w:val="20"/>
        </w:rPr>
        <w:t>Agreements with Merck</w:t>
      </w:r>
    </w:p>
    <w:p>
      <w:pPr>
        <w:pStyle w:val="TextBody"/>
        <w:spacing w:before="120" w:after="0"/>
        <w:jc w:val="left"/>
        <w:rPr>
          <w:rFonts w:ascii="Times New Roman" w:hAnsi="Times New Roman"/>
          <w:sz w:val="20"/>
        </w:rPr>
      </w:pPr>
      <w:bookmarkStart w:id="9" w:name="highlight_result_7"/>
      <w:bookmarkEnd w:id="9"/>
      <w:r>
        <w:rPr>
          <w:rFonts w:ascii="Times New Roman;serif" w:hAnsi="Times New Roman;serif"/>
          <w:b w:val="false"/>
          <w:sz w:val="20"/>
        </w:rPr>
        <w:t>In December 2020, the Company and Merck &amp; Co. entered into an exclusive License and Research Collaboration Agreement</w:t>
      </w:r>
      <w:r>
        <w:rPr>
          <w:rFonts w:ascii="Times New Roman" w:hAnsi="Times New Roman"/>
          <w:sz w:val="20"/>
        </w:rPr>
        <w:t xml:space="preserve"> </w:t>
      </w:r>
      <w:r>
        <w:rPr>
          <w:rFonts w:ascii="Times New Roman;serif" w:hAnsi="Times New Roman;serif"/>
          <w:b w:val="false"/>
          <w:sz w:val="20"/>
        </w:rPr>
        <w:t>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w:t>
      </w:r>
      <w:r>
        <w:rPr>
          <w:rFonts w:ascii="Times New Roman" w:hAnsi="Times New Roman"/>
          <w:sz w:val="20"/>
        </w:rPr>
        <w:t xml:space="preserve"> </w:t>
      </w:r>
      <w:r>
        <w:rPr>
          <w:rFonts w:ascii="Times New Roman;serif" w:hAnsi="Times New Roman;serif"/>
          <w:b w:val="false"/>
          <w:sz w:val="20"/>
        </w:rPr>
        <w:t>of $12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from Merck. With respect to the collaboration target, the Company will be eligible for up to $458.0</w:t>
      </w:r>
      <w:r>
        <w:rPr>
          <w:rFonts w:ascii="Times New Roman" w:hAnsi="Times New Roman"/>
          <w:sz w:val="20"/>
        </w:rPr>
        <w:t xml:space="preserve"> </w:t>
      </w:r>
      <w:r>
        <w:rPr>
          <w:rFonts w:ascii="Times New Roman;serif" w:hAnsi="Times New Roman;serif"/>
          <w:b w:val="false"/>
          <w:sz w:val="20"/>
        </w:rPr>
        <w:t>million in development and commercialization milestones as well as tiered royalties on net sales.</w:t>
      </w:r>
      <w:r>
        <w:rPr>
          <w:rFonts w:ascii="Times New Roman" w:hAnsi="Times New Roman"/>
          <w:sz w:val="20"/>
        </w:rPr>
        <w:t xml:space="preserve"> </w:t>
      </w:r>
      <w:r>
        <w:rPr>
          <w:rFonts w:ascii="Times New Roman;serif" w:hAnsi="Times New Roman;serif"/>
          <w:b w:val="false"/>
          <w:sz w:val="20"/>
        </w:rPr>
        <w:t>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In January 2022, the Company and Merck entered into an amendment to the exclusive License and Research Collaboration Agreement (the First Amendment, together with the Original Agreement, the Expanded Arrangement). As a result of the First Amendment, the collaboration with Merck was expanded to include the Company's grant of rights to Merck of an early-stage program with respect to a second undisclosed NASH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w:t>
      </w:r>
      <w:r>
        <w:rPr>
          <w:rFonts w:ascii="Times New Roman" w:hAnsi="Times New Roman"/>
          <w:sz w:val="20"/>
        </w:rPr>
        <w:t xml:space="preserve"> </w:t>
      </w:r>
      <w:r>
        <w:rPr>
          <w:rFonts w:ascii="Times New Roman;serif" w:hAnsi="Times New Roman;serif"/>
          <w:b w:val="false"/>
          <w:sz w:val="20"/>
        </w:rPr>
        <w:t>million from Merck for the Company's grant of rights to the program directed at a second undisclosed NASH target.</w:t>
      </w:r>
      <w:r>
        <w:rPr>
          <w:rFonts w:ascii="Times New Roman" w:hAnsi="Times New Roman"/>
          <w:sz w:val="20"/>
        </w:rPr>
        <w:t xml:space="preserve"> </w:t>
      </w:r>
      <w:r>
        <w:rPr>
          <w:rFonts w:ascii="Times New Roman;serif" w:hAnsi="Times New Roman;serif"/>
          <w:b w:val="false"/>
          <w:sz w:val="20"/>
        </w:rPr>
        <w:t>With respect to the second target in the collaboration, the Company is eligible to receive up to approximately $460.0</w:t>
      </w:r>
      <w:r>
        <w:rPr>
          <w:rFonts w:ascii="Times New Roman" w:hAnsi="Times New Roman"/>
          <w:sz w:val="20"/>
        </w:rPr>
        <w:t xml:space="preserve"> </w:t>
      </w:r>
      <w:r>
        <w:rPr>
          <w:rFonts w:ascii="Times New Roman;serif" w:hAnsi="Times New Roman;serif"/>
          <w:b w:val="false"/>
          <w:sz w:val="20"/>
        </w:rPr>
        <w:t>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2023, Merck provided to the Company written notice of termination for one of the targets in the collaboration.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and 2022, the Company recognized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revenue from collaborative arrangements related to upfront payments. During the three months ended March 31, 2023</w:t>
      </w:r>
      <w:r>
        <w:rPr>
          <w:rFonts w:ascii="Times New Roman" w:hAnsi="Times New Roman"/>
          <w:sz w:val="20"/>
        </w:rPr>
        <w:t xml:space="preserve"> </w:t>
      </w:r>
      <w:r>
        <w:rPr>
          <w:rFonts w:ascii="Times New Roman;serif" w:hAnsi="Times New Roman;serif"/>
          <w:b w:val="false"/>
          <w:sz w:val="20"/>
        </w:rPr>
        <w:t>and 2022, the Company recognized no</w:t>
      </w:r>
      <w:r>
        <w:rPr>
          <w:rFonts w:ascii="Times New Roman" w:hAnsi="Times New Roman"/>
          <w:sz w:val="20"/>
        </w:rPr>
        <w:t xml:space="preserve"> </w:t>
      </w:r>
      <w:r>
        <w:rPr>
          <w:rFonts w:ascii="Times New Roman;serif" w:hAnsi="Times New Roman;serif"/>
          <w:b w:val="false"/>
          <w:sz w:val="20"/>
        </w:rPr>
        <w:t>revenue from collaborative arrangements related to milestone payments. The unrecognized portion of the upfront payments received during the three months ended March 31, 2023 and 2022 is recorded on the consolidated balance sheets as “Deferred revenue from collaborations”.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deferred revenue balances arose as a result of the Company recognizing the following revenue from collaborative arrangements during the periods below (in thousands):</w:t>
      </w:r>
    </w:p>
    <w:tbl>
      <w:tblPr>
        <w:tblW w:w="7690" w:type="dxa"/>
        <w:jc w:val="left"/>
        <w:tblInd w:w="0" w:type="dxa"/>
        <w:tblCellMar>
          <w:top w:w="28" w:type="dxa"/>
          <w:left w:w="28" w:type="dxa"/>
          <w:bottom w:w="28" w:type="dxa"/>
          <w:right w:w="28" w:type="dxa"/>
        </w:tblCellMar>
      </w:tblPr>
      <w:tblGrid>
        <w:gridCol w:w="4501"/>
        <w:gridCol w:w="146"/>
        <w:gridCol w:w="315"/>
        <w:gridCol w:w="945"/>
        <w:gridCol w:w="166"/>
        <w:gridCol w:w="146"/>
        <w:gridCol w:w="299"/>
        <w:gridCol w:w="961"/>
        <w:gridCol w:w="211"/>
      </w:tblGrid>
      <w:tr>
        <w:trPr/>
        <w:tc>
          <w:tcPr>
            <w:tcW w:w="4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collaborations as of January 1</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7,641</w:t>
            </w:r>
          </w:p>
        </w:tc>
        <w:tc>
          <w:tcPr>
            <w:tcW w:w="21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 received in the period</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211" w:type="dxa"/>
            <w:tcBorders/>
            <w:shd w:fill="auto" w:val="clear"/>
            <w:vAlign w:val="center"/>
          </w:tcPr>
          <w:p>
            <w:pPr>
              <w:pStyle w:val="TableContents"/>
              <w:spacing w:before="0" w:after="0"/>
              <w:ind w:left="0" w:right="0" w:hanging="0"/>
              <w:jc w:val="left"/>
              <w:rPr/>
            </w:pPr>
            <w:r>
              <w:rPr/>
              <w:t> </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collaborations recognized in the period</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collaborations as of March 31</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20,079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9.</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Revenue from contracts with customers </w:t>
      </w:r>
    </w:p>
    <w:p>
      <w:pPr>
        <w:pStyle w:val="TextBody"/>
        <w:spacing w:before="120" w:after="0"/>
        <w:jc w:val="left"/>
        <w:rPr>
          <w:rFonts w:ascii="Times New Roman" w:hAnsi="Times New Roman"/>
          <w:sz w:val="20"/>
        </w:rPr>
      </w:pPr>
      <w:r>
        <w:rPr>
          <w:rFonts w:ascii="Times New Roman;serif" w:hAnsi="Times New Roman;serif"/>
          <w:b w:val="false"/>
          <w:sz w:val="20"/>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recognized $0.1</w:t>
      </w:r>
      <w:r>
        <w:rPr>
          <w:rFonts w:ascii="Times New Roman" w:hAnsi="Times New Roman"/>
          <w:sz w:val="20"/>
        </w:rPr>
        <w:t xml:space="preserve"> </w:t>
      </w:r>
      <w:r>
        <w:rPr>
          <w:rFonts w:ascii="Times New Roman;serif" w:hAnsi="Times New Roman;serif"/>
          <w:b w:val="false"/>
          <w:sz w:val="20"/>
        </w:rPr>
        <w:t>million in revenue from customers related to upfront payments. There was no</w:t>
      </w:r>
      <w:r>
        <w:rPr>
          <w:rFonts w:ascii="Times New Roman" w:hAnsi="Times New Roman"/>
          <w:sz w:val="20"/>
        </w:rPr>
        <w:t xml:space="preserve"> </w:t>
      </w:r>
      <w:r>
        <w:rPr>
          <w:rFonts w:ascii="Times New Roman;serif" w:hAnsi="Times New Roman;serif"/>
          <w:b w:val="false"/>
          <w:sz w:val="20"/>
        </w:rPr>
        <w:t>revenue recognized from customers in the three months ended March 31, 2022. During the three months ended March 31, 2023</w:t>
      </w:r>
      <w:r>
        <w:rPr>
          <w:rFonts w:ascii="Times New Roman" w:hAnsi="Times New Roman"/>
          <w:sz w:val="20"/>
        </w:rPr>
        <w:t xml:space="preserve"> </w:t>
      </w:r>
      <w:r>
        <w:rPr>
          <w:rFonts w:ascii="Times New Roman;serif" w:hAnsi="Times New Roman;serif"/>
          <w:b w:val="false"/>
          <w:sz w:val="20"/>
        </w:rPr>
        <w:t>and 2022, the Company recognized no</w:t>
      </w:r>
      <w:r>
        <w:rPr>
          <w:rFonts w:ascii="Times New Roman" w:hAnsi="Times New Roman"/>
          <w:sz w:val="20"/>
        </w:rPr>
        <w:t xml:space="preserve"> </w:t>
      </w:r>
      <w:r>
        <w:rPr>
          <w:rFonts w:ascii="Times New Roman;serif" w:hAnsi="Times New Roman;serif"/>
          <w:b w:val="false"/>
          <w:sz w:val="20"/>
        </w:rPr>
        <w:t>revenue from customers related to milestone payments. The unrecognized portion of the upfront payments received during the three months ended March 31, 2023 and 2022 is recorded on the consolidated balance sheets as “Deferred revenue from customers”.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deferred revenue balances arose as a result of the Company recognizing the following revenue from customers during the periods below (in thousands):</w:t>
      </w:r>
    </w:p>
    <w:p>
      <w:pPr>
        <w:pStyle w:val="TextBody"/>
        <w:spacing w:before="120" w:after="0"/>
        <w:jc w:val="left"/>
        <w:rPr/>
      </w:pPr>
      <w:r>
        <w:rPr/>
        <w:t> </w:t>
      </w:r>
    </w:p>
    <w:tbl>
      <w:tblPr>
        <w:tblW w:w="7310" w:type="dxa"/>
        <w:jc w:val="left"/>
        <w:tblInd w:w="0" w:type="dxa"/>
        <w:tblCellMar>
          <w:top w:w="28" w:type="dxa"/>
          <w:left w:w="28" w:type="dxa"/>
          <w:bottom w:w="28" w:type="dxa"/>
          <w:right w:w="28" w:type="dxa"/>
        </w:tblCellMar>
      </w:tblPr>
      <w:tblGrid>
        <w:gridCol w:w="4141"/>
        <w:gridCol w:w="146"/>
        <w:gridCol w:w="384"/>
        <w:gridCol w:w="876"/>
        <w:gridCol w:w="166"/>
        <w:gridCol w:w="146"/>
        <w:gridCol w:w="475"/>
        <w:gridCol w:w="785"/>
        <w:gridCol w:w="191"/>
      </w:tblGrid>
      <w:tr>
        <w:trPr/>
        <w:tc>
          <w:tcPr>
            <w:tcW w:w="4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customers as of January 1</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 received in the period</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customers recognized in the period</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customers as of March 31</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10.</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spacing w:before="120" w:after="0"/>
        <w:jc w:val="left"/>
        <w:rPr>
          <w:rFonts w:ascii="Times New Roman" w:hAnsi="Times New Roman"/>
          <w:sz w:val="20"/>
        </w:rPr>
      </w:pPr>
      <w:r>
        <w:rPr>
          <w:rFonts w:ascii="Times New Roman;serif" w:hAnsi="Times New Roman;serif"/>
          <w:b w:val="false"/>
          <w:sz w:val="20"/>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w:t>
      </w:r>
      <w:r>
        <w:rPr>
          <w:rFonts w:ascii="Times New Roman" w:hAnsi="Times New Roman"/>
          <w:sz w:val="20"/>
        </w:rPr>
        <w:t xml:space="preserve"> </w:t>
      </w:r>
      <w:r>
        <w:rPr>
          <w:rFonts w:ascii="Times New Roman;serif" w:hAnsi="Times New Roman;serif"/>
          <w:b w:val="false"/>
          <w:sz w:val="20"/>
        </w:rPr>
        <w:t>contingent liabilities requiring accrual as of March 31, 2023 and December 31, 2022. The Company enters into contracts in the normal course of business that includes arrangements with clinical research organizations, vendors for preclinical research and vendors for manufacturing. These agreements generally allow for cancellation with notice. As of March 31, 2023, the Company had no material non-cancellable purchase commitments.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continue to defend itself vigorously.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4, 2022, the Company filed counterclaims against Janssen alleging Janssen has engaged in unfair competition and promissory fraud, and on August 22, 2022, the Company filed its response to the Complaint. During the course of the legal proceedings described above, the parties have each filed various demurrers which have been heard by the Court resulting in various outcomes. The case is currently in discovery.</w:t>
      </w:r>
    </w:p>
    <w:p>
      <w:pPr>
        <w:pStyle w:val="TextBody"/>
        <w:spacing w:before="360" w:after="0"/>
        <w:jc w:val="left"/>
        <w:rPr>
          <w:rFonts w:ascii="Times New Roman" w:hAnsi="Times New Roman"/>
          <w:b/>
          <w:sz w:val="20"/>
        </w:rPr>
      </w:pPr>
      <w:r>
        <w:rPr>
          <w:rFonts w:ascii="Times New Roman" w:hAnsi="Times New Roman"/>
          <w:b/>
          <w:sz w:val="20"/>
        </w:rPr>
        <w:t>11.</w:t>
      </w:r>
    </w:p>
    <w:p>
      <w:pPr>
        <w:pStyle w:val="TextBody"/>
        <w:spacing w:before="360" w:after="283"/>
        <w:jc w:val="left"/>
        <w:rPr>
          <w:rFonts w:ascii="Times New Roman;serif" w:hAnsi="Times New Roman;serif"/>
          <w:b/>
          <w:sz w:val="20"/>
        </w:rPr>
      </w:pPr>
      <w:r>
        <w:rPr>
          <w:rFonts w:ascii="Times New Roman;serif" w:hAnsi="Times New Roman;serif"/>
          <w:b/>
          <w:sz w:val="20"/>
        </w:rPr>
        <w:t>Income taxes</w:t>
      </w:r>
    </w:p>
    <w:p>
      <w:pPr>
        <w:pStyle w:val="TextBody"/>
        <w:spacing w:before="120" w:after="0"/>
        <w:jc w:val="left"/>
        <w:rPr>
          <w:rFonts w:ascii="Times New Roman" w:hAnsi="Times New Roman"/>
          <w:sz w:val="20"/>
        </w:rPr>
      </w:pPr>
      <w:r>
        <w:rPr>
          <w:rFonts w:ascii="Times New Roman;serif" w:hAnsi="Times New Roman;serif"/>
          <w:b w:val="false"/>
          <w:sz w:val="20"/>
        </w:rPr>
        <w:t>The Company has a history of losses and projects losses for the full year 2023. The Company continues to maintain a full valuation allowance on its net deferred tax assets.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12.</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the computation of basic and diluted net loss per share of the Company (in thousands, except share and per share data):</w:t>
      </w:r>
      <w:r>
        <w:rPr>
          <w:rFonts w:ascii="Times New Roman" w:hAnsi="Times New Roman"/>
          <w:sz w:val="20"/>
        </w:rPr>
        <w:t xml:space="preserve"> </w:t>
      </w:r>
    </w:p>
    <w:p>
      <w:pPr>
        <w:pStyle w:val="TextBody"/>
        <w:spacing w:before="0" w:after="0"/>
        <w:jc w:val="left"/>
        <w:rPr/>
      </w:pPr>
      <w:r>
        <w:rPr/>
        <w:t> </w:t>
      </w:r>
    </w:p>
    <w:tbl>
      <w:tblPr>
        <w:tblW w:w="6606" w:type="dxa"/>
        <w:jc w:val="left"/>
        <w:tblInd w:w="0" w:type="dxa"/>
        <w:tblCellMar>
          <w:top w:w="28" w:type="dxa"/>
          <w:left w:w="28" w:type="dxa"/>
          <w:bottom w:w="28" w:type="dxa"/>
          <w:right w:w="28" w:type="dxa"/>
        </w:tblCellMar>
      </w:tblPr>
      <w:tblGrid>
        <w:gridCol w:w="3421"/>
        <w:gridCol w:w="146"/>
        <w:gridCol w:w="196"/>
        <w:gridCol w:w="916"/>
        <w:gridCol w:w="166"/>
        <w:gridCol w:w="146"/>
        <w:gridCol w:w="196"/>
        <w:gridCol w:w="916"/>
        <w:gridCol w:w="166"/>
        <w:gridCol w:w="146"/>
        <w:gridCol w:w="1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(22,955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Weighted average common stock outstanding, </w:t>
              <w:br/>
              <w:t>    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42,910,065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42,511,559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(0.84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xml:space="preserve">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spacing w:before="0" w:after="0"/>
        <w:jc w:val="left"/>
        <w:rPr/>
      </w:pPr>
      <w:r>
        <w:rPr/>
        <w:t> </w:t>
      </w:r>
    </w:p>
    <w:tbl>
      <w:tblPr>
        <w:tblW w:w="5921" w:type="dxa"/>
        <w:jc w:val="left"/>
        <w:tblInd w:w="0" w:type="dxa"/>
        <w:tblCellMar>
          <w:top w:w="28" w:type="dxa"/>
          <w:left w:w="28" w:type="dxa"/>
          <w:bottom w:w="28" w:type="dxa"/>
          <w:right w:w="28" w:type="dxa"/>
        </w:tblCellMar>
      </w:tblPr>
      <w:tblGrid>
        <w:gridCol w:w="2626"/>
        <w:gridCol w:w="146"/>
        <w:gridCol w:w="146"/>
        <w:gridCol w:w="916"/>
        <w:gridCol w:w="146"/>
        <w:gridCol w:w="146"/>
        <w:gridCol w:w="146"/>
        <w:gridCol w:w="826"/>
        <w:gridCol w:w="146"/>
        <w:gridCol w:w="146"/>
        <w:gridCol w:w="531"/>
      </w:tblGrid>
      <w:tr>
        <w:trPr/>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ind w:left="0" w:right="0" w:firstLine="400"/>
              <w:rPr>
                <w:sz w:val="4"/>
                <w:szCs w:val="4"/>
              </w:rPr>
            </w:pPr>
            <w:r>
              <w:rPr>
                <w:sz w:val="4"/>
                <w:szCs w:val="4"/>
              </w:rPr>
            </w:r>
          </w:p>
        </w:tc>
      </w:tr>
      <w:tr>
        <w:trPr/>
        <w:tc>
          <w:tcPr>
            <w:tcW w:w="2626"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1" w:type="dxa"/>
            <w:tcBorders/>
            <w:shd w:fill="auto" w:val="cle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10,794,462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9,240,074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Unvested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21,238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10,794,462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9,261,312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40" w:after="0"/>
        <w:jc w:val="left"/>
        <w:rPr/>
      </w:pPr>
      <w:r>
        <w:rPr/>
        <w:t> </w:t>
      </w:r>
    </w:p>
    <w:p>
      <w:pPr>
        <w:pStyle w:val="TextBody"/>
        <w:spacing w:before="40" w:after="0"/>
        <w:jc w:val="left"/>
        <w:rPr>
          <w:rFonts w:ascii="Times New Roman" w:hAnsi="Times New Roman"/>
          <w:b/>
          <w:sz w:val="20"/>
        </w:rPr>
      </w:pPr>
      <w:r>
        <w:rPr>
          <w:rFonts w:ascii="Times New Roman" w:hAnsi="Times New Roman"/>
          <w:b/>
          <w:sz w:val="20"/>
        </w:rPr>
        <w:t>13.</w:t>
      </w:r>
    </w:p>
    <w:p>
      <w:pPr>
        <w:pStyle w:val="TextBody"/>
        <w:spacing w:before="40" w:after="283"/>
        <w:jc w:val="left"/>
        <w:rPr>
          <w:rFonts w:ascii="Times New Roman;serif" w:hAnsi="Times New Roman;serif"/>
          <w:b/>
          <w:sz w:val="20"/>
        </w:rPr>
      </w:pPr>
      <w:r>
        <w:rPr>
          <w:rFonts w:ascii="Times New Roman;serif" w:hAnsi="Times New Roman;serif"/>
          <w:b/>
          <w:sz w:val="20"/>
        </w:rPr>
        <w:t xml:space="preserve">Subsequent events </w:t>
      </w:r>
    </w:p>
    <w:p>
      <w:pPr>
        <w:pStyle w:val="TextBody"/>
        <w:spacing w:before="120" w:after="0"/>
        <w:jc w:val="left"/>
        <w:rPr>
          <w:rFonts w:ascii="Times New Roman" w:hAnsi="Times New Roman"/>
          <w:sz w:val="20"/>
        </w:rPr>
      </w:pPr>
      <w:r>
        <w:rPr>
          <w:rFonts w:ascii="Times New Roman;serif" w:hAnsi="Times New Roman;serif"/>
          <w:b w:val="false"/>
          <w:sz w:val="20"/>
        </w:rPr>
        <w:t>In preparing the interim financial statements for the three months ended March 31, 2023, the Company evaluated subsequent events for recognition and measurement purposes during which time nothing has occurred outside of the normal course of business operations that requires disclosure.</w:t>
      </w:r>
      <w:r>
        <w:rPr>
          <w:rFonts w:ascii="Times New Roman" w:hAnsi="Times New Roman"/>
          <w:sz w:val="20"/>
        </w:rPr>
        <w:t xml:space="preserve"> </w:t>
      </w:r>
    </w:p>
    <w:p>
      <w:pPr>
        <w:pStyle w:val="TextBody"/>
        <w:spacing w:before="120" w:after="0"/>
        <w:jc w:val="left"/>
        <w:rPr/>
      </w:pPr>
      <w:r>
        <w:rPr/>
        <w:t> </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0" w:name="itm2"/>
      <w:bookmarkEnd w:id="10"/>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sz w:val="20"/>
        </w:rPr>
        <w:t>Management’s Discussion and Analysis of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 clinical-stage biopharmaceutical company focused on developing novel therapeutics to address unmet medical needs in liver diseases and viral infections, including in the areas of non-alcoholic steatohepatitis (NASH), coronavirus (e.g., SARS-CoV-2 and related infections) and chronic hepatitis B (CHB). We utilize our proprietary small molecule and oligonucleotide platforms to develop pharmacologically optimized drug candidates for use in combination regimens designed to achieve improved treatment outcomes.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primary area of focus is NASH, a complex, chronic liver disease where combination regimens may prove beneficial. Our most advanced drug candidate for NASH is ALG</w:t>
        <w:noBreakHyphen/>
        <w:t>055009, a small molecule thyroid hormone receptor (THR</w:t>
        <w:noBreakHyphen/>
        <w:t>ß) agonist. This drug candidate is being evaluated in a Phase 1 study in healthy volunteers (HVs) (oral single ascending doses (SAD)) and subjects with hyperlipidemia (14 oral daily doses). Preliminary data after single doses up to 4 mg and multiple doses up to 1 mg have previously been reported at the European Association for the Study of the Liver conference (EASL 2022) and the 2022 American Association for the Study of Liver Diseases meeting (AASLD 2022), respectively. At these conferences, data were presented that showed ALG</w:t>
        <w:noBreakHyphen/>
        <w:t>055009 was well tolerated, had dose proportional pharmacokinetics (PK) and low variability, and demonstrated expected thyromimetic effects (i.e., generally dose proportional increases in sex hormone binding globulin and decreases in various atherogenic lipids and thyroid hormones). We have subsequently conducted a relative bioavailability study in HVs where we have shown the Phase 2 gel cap formulation delivers similar exposures to the Phase 1 liquid formulation with low variability and no evidence of a meaningful food effect. We are currently taking the necessary steps to advance ALG</w:t>
        <w:noBreakHyphen/>
        <w:t>055009 into a Phase 2 proof of concept study. These steps include: 1) defining the safety, PK, and PD profile at the planned Phase 2 top dose (equivalent to a 0.75 mg dose using the liquid formulation) by conducting a final MAD cohort in Study ALG-055009-301; 2) completing 13-week Good Laboratory Practice (GLP) toxicology studies; and 3) manufacturing Phase 2 drug supply. We anticipate submitting the Phase 2 protocol to the FDA in the fourth quarter of 2023. We believe ALG</w:t>
        <w:noBreakHyphen/>
        <w:t>055009 has the potential to become a best</w:t>
        <w:noBreakHyphen/>
        <w:t>in</w:t>
        <w:noBreakHyphen/>
        <w:t>class THR</w:t>
        <w:noBreakHyphen/>
        <w:t>ß agonist and could play an integral role in future NASH combination regimens based on its favorable pharmacokinetic profile, which could result in uniform exposures and lead to consistent efficacy and safety in a NASH population.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our small molecule THR</w:t>
        <w:noBreakHyphen/>
        <w:t>ß program, we are also progressing oligonucleotide projects for NASH, including in collaboration with Merck. The programs are currently progressing through preclinical activities.</w:t>
      </w:r>
    </w:p>
    <w:p>
      <w:pPr>
        <w:pStyle w:val="TextBody"/>
        <w:spacing w:before="120" w:after="0"/>
        <w:jc w:val="left"/>
        <w:rPr>
          <w:rFonts w:ascii="Times New Roman" w:hAnsi="Times New Roman"/>
          <w:sz w:val="20"/>
        </w:rPr>
      </w:pPr>
      <w:r>
        <w:rPr>
          <w:rFonts w:ascii="Times New Roman;serif" w:hAnsi="Times New Roman;serif"/>
          <w:b w:val="false"/>
          <w:sz w:val="20"/>
        </w:rPr>
        <w:t>Our second area of focus is to develop drug candidates with pan-coronavirus activity, including against Severe Acute Respiratory Syndrome coronavirus 2 (SARS-CoV-2), the virus responsible for COVID-19. In this area of focus, we are using a small molecule approach, where we are exploring coronavirus 3CL protease inhibitors (PIs) in collaboration with Katholieke Universiteit Leuven (KU Leuven), the Center for Innovation and Stimulation of Drug Discovery (CISTIM) and the Centre for Drug Design and Discovery (CD3). In addition, the preclinical activities of our COVID-19 program are funded through a grant from the National Institutes of Health (NIH) and the National Institute of Allergy and Infectious Disease (NIAID)'s Antiviral Drug Discovery (AViDD) Centers for Pathogens of Pandemic Concern program through the Metropolitan AntiViral Drug Accelerator (MAVDA) consortium. Our lead candidate, ALG</w:t>
        <w:noBreakHyphen/>
        <w:t>097558, is at least 6-fold more potent than nirmatrelvir and other PIs in clinical development in cell-based assays against a panel of SARS-CoV-2 variants (including Omicron), demonstrates broad pan-coronavirus activity, and based on preclinical studies, is not projected to require ritonavir boosting. Evaluation of ALG</w:t>
        <w:noBreakHyphen/>
        <w:t>097558 in the hamster SARS-CoV-2 infection model has shown that, when dosed prior to infection or up to 24 hours post-infection, the compound caused a significant reduction in the levels of infectious virus in the lungs. ALG</w:t>
        <w:noBreakHyphen/>
        <w:t>097558 also appeared to better maintain its antiviral activity against certain resistant mutants compared to other 3CL PIs in development based on publicly available data. We have completed first-in-human enabling nonclinical studies and a Phase 1 CTA filing for ALG-097558 and we anticipate initiation of dosing in HVs in the second quarter of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third area of focus seeks to enhance the rate of functional cure for CHB, which often results in life-threatening conditions such as cirrhosis, and the most common form of liver cancer, hepatocellular carcinoma (HCC). The most widely used treatment for CHB, nucleos(t)ide analogs (NAs), suppress viral replication, but only achieve low rates of functional cure and often require long-term administration. To address this, we have developed a portfolio of differentiated drug candidates for CHB, including a small molecule Capsid Assembly Modulator that results in the production of empty viral capsids (CAM-E), and a small interfering ribonucleic acid (siRNA), which is designed to suppress production of hepatitis B virus (HBV) surface antigen (HBsAg). Each of these drugs is designed against clinically validated targets in the HBV life cycle and is currently being evaluated in clinical trials.</w:t>
      </w:r>
    </w:p>
    <w:p>
      <w:pPr>
        <w:pStyle w:val="TextBody"/>
        <w:spacing w:before="120" w:after="0"/>
        <w:jc w:val="left"/>
        <w:rPr>
          <w:rFonts w:ascii="Times New Roman" w:hAnsi="Times New Roman"/>
          <w:sz w:val="20"/>
        </w:rPr>
      </w:pPr>
      <w:r>
        <w:rPr>
          <w:rFonts w:ascii="Times New Roman;serif" w:hAnsi="Times New Roman;serif"/>
          <w:b w:val="false"/>
          <w:sz w:val="20"/>
        </w:rPr>
        <w:t>The initial Phase 1a study in HVs for our CAM-E, ALG</w:t>
        <w:noBreakHyphen/>
        <w:t>000184, has been completed as has a Phase 1b dose ranging study evaluating the safety, pharmacokinetics and antiviral activity of 10-300 mg doses of ALG</w:t>
        <w:noBreakHyphen/>
        <w:t>000184 for 28 days among untreated HBV</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E-antigen (HBeAg) positive/negative CHB subjects. ALG</w:t>
        <w:noBreakHyphen/>
        <w:t>000184 was found in these portions of the study to be well tolerated with a favorable PK profile and demonstrated potentially best-in-class HBV DNA and RNA reductions as well as HBsAg reductions in a subset of HBeAg positive subjects receiving 300 mg ALG</w:t>
        <w:noBreakHyphen/>
        <w:t>000184 (Hou et. al, AASLD 2022). Based on the favorable profile after dosing ≤300 mg ALG</w:t>
        <w:noBreakHyphen/>
        <w:t>000184 x 28 days, additional Phase 1b cohorts are currently being evaluated for the risk-benefit profile of 100-300 mg doses of ALG</w:t>
        <w:noBreakHyphen/>
        <w:t>000184 with or without background entecavir (ETV) therapy for ≤48 weeks in HBeAg positive or negative CHB patients. Preliminary data presented for these cohorts (McClure et. al, Global Hepatitis Summit, April 2023) indicate that ALG</w:t>
        <w:noBreakHyphen/>
        <w:t>000184 dosed for up to 28 weeks is well tolerated with a favorable PK profile and potentially best-in-class antiviral activity. Specifically, antiviral activity data in subjects dosed &gt; 12 weeks were summarized in cohorts of HBeAg positive subjects with normal baseline ALT (100 mg (Part 4 Cohort 1) and HBeAg positive subjects with normal/elevated baseline ALT (300 mg (Part 4 Cohort 2)). In Part 4 Cohorts 1 and 2, we observed mean DNA reduction of ~6 log10 IU/mL among subjects dosed with 100-300 mg ALG</w:t>
        <w:noBreakHyphen/>
        <w:t>000184 + ETV x 24 weeks. Notably, subjects in these cohorts who initially received ETV x 12 weeks had more modest reductions in HBV DNA vs. subjects receiving ALG</w:t>
        <w:noBreakHyphen/>
        <w:t>000184 + ETV over the same time period, but these subjects then experienced further reductions in HBV DNA levels once they started taking the combination and their HBV DNA levels also reached ~6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by Week 24. Similarly, among subjects who dosed with ALG</w:t>
        <w:noBreakHyphen/>
        <w:t>000184 + ETV for approximately 24 weeks, HBsAg levels declined in cohorts 1 and 2 to a maximum of 0.7 log10 IU/mL (week 23) and 1.65 log10 IU/mL (week 28 respectively), compared to no meaningful change in subjects dosed with ETV alone. Dosing in Cohort 2 and at least one higher dose cohort will continue throughout 2023 and interim safety, PK, and antiviral activity data will be presented at scientific conferences throughout the year.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 respect to our siRNA drug candidate, ALG</w:t>
        <w:noBreakHyphen/>
        <w:t>125755, a Phase 1 study is ongoing in New Zealand and in several countries in Eastern Europe. Part 1 of this study evaluated single doses in doses ranging from 20 mg to 200 mg in HVs and found that these doses were well tolerated with a favorable PK profile (Gane et al., APASL 2023). Part 2 of the study, which is an SAD in virologically suppressed HBeAg negative CHB subjects, is ongoing. To date, 50-320 mg doses of ALG</w:t>
        <w:noBreakHyphen/>
        <w:t>125755 have been evaluated. We plan to share preliminary data from CHB cohorts in this study at scientific conferences throughout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also exploring ways to boost immune responses via small molecule inhibitors of the programmed death 1 (ligand) PD</w:t>
        <w:noBreakHyphen/>
        <w:t>1/PD-L1 interaction. We have rationally designed these T cell activating drugs to localize in the liver and thereby potentially mitigate systemic toxicity in an effort to develop better tolerated PD-1/PD-L1 inhibitors for CHB patients. Lead molecules developed to date show similar in vivo efficacy to approved PD-1/PD-L1 antibodies and greater target occupancy at a lower dose in a liver metastatic tumor model compared to a subcutaneous tumor model. We believe that combination regimens utilizing our broad portfolio of CHB drug candidates, with or without other mechanisms of action, may lead to higher rates of functional cure.</w:t>
      </w:r>
    </w:p>
    <w:p>
      <w:pPr>
        <w:pStyle w:val="TextBody"/>
        <w:spacing w:before="120" w:after="0"/>
        <w:jc w:val="left"/>
        <w:rPr>
          <w:rFonts w:ascii="Times New Roman" w:hAnsi="Times New Roman"/>
          <w:sz w:val="20"/>
        </w:rPr>
      </w:pPr>
      <w:r>
        <w:rPr>
          <w:rFonts w:ascii="Times New Roman;serif" w:hAnsi="Times New Roman;serif"/>
          <w:b w:val="false"/>
          <w:sz w:val="20"/>
        </w:rPr>
        <w:t>We have incurred net losses and negative cash flows from operations in each year since our formation in February 2018. Our net losses were $23.0 million and $35.6 million for the three months ended March 31, 2023 and 2022, respectively. We have had no revenue from product sales. As of March 31, 2023, we had an accumulated deficit of $422.1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salesforce and outsource a substantial portion of our clinical trial work to third parties.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operating expenses since inception have consisted solely of research and development costs and general and administrative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salaries, benefits and other employee-related costs, including stock-based compensation expense, for personnel engaged in research and development functions;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of outside consultants, including their fees, and related travel expenses;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costs associated with in-process research and development, including license fees and milestones paid to third-party collaborators for technologies with no alternative use;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related to production of clinical materials, including fees paid to contract manufacturers;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expenses incurred under agreements with collaborators that perform nonclinical activities;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facility costs, depreciation, and other expenses, which include direct and allocated expenses for rent and maintenance of facilities, insurance, and other supplies. </w:t>
      </w:r>
    </w:p>
    <w:p>
      <w:pPr>
        <w:pStyle w:val="TextBody"/>
        <w:spacing w:before="240" w:after="0"/>
        <w:jc w:val="left"/>
        <w:rPr>
          <w:rFonts w:ascii="Times New Roman" w:hAnsi="Times New Roman"/>
          <w:sz w:val="20"/>
        </w:rPr>
      </w:pPr>
      <w:r>
        <w:rPr>
          <w:rFonts w:ascii="Times New Roman;serif" w:hAnsi="Times New Roman;serif"/>
          <w:b w:val="false"/>
          <w:sz w:val="20"/>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track direct external research and development expenses on a program-specific basis (steatohepatitis, coronaviruses, chronic hepatitis B and early-stage programs). The following table summarizes these research and development costs, in thousands:</w:t>
      </w:r>
    </w:p>
    <w:p>
      <w:pPr>
        <w:pStyle w:val="TextBody"/>
        <w:spacing w:before="240" w:after="0"/>
        <w:jc w:val="left"/>
        <w:rPr/>
      </w:pPr>
      <w:r>
        <w:rPr/>
        <w:t> </w:t>
      </w:r>
    </w:p>
    <w:tbl>
      <w:tblPr>
        <w:tblW w:w="8791" w:type="dxa"/>
        <w:jc w:val="left"/>
        <w:tblInd w:w="0" w:type="dxa"/>
        <w:tblCellMar>
          <w:top w:w="28" w:type="dxa"/>
          <w:left w:w="28" w:type="dxa"/>
          <w:bottom w:w="28" w:type="dxa"/>
          <w:right w:w="28" w:type="dxa"/>
        </w:tblCellMar>
      </w:tblPr>
      <w:tblGrid>
        <w:gridCol w:w="5701"/>
        <w:gridCol w:w="146"/>
        <w:gridCol w:w="258"/>
        <w:gridCol w:w="829"/>
        <w:gridCol w:w="179"/>
        <w:gridCol w:w="258"/>
        <w:gridCol w:w="829"/>
        <w:gridCol w:w="591"/>
      </w:tblGrid>
      <w:tr>
        <w:trPr/>
        <w:tc>
          <w:tcPr>
            <w:tcW w:w="5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570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Direct research and development expenses by development program:</w:t>
            </w:r>
          </w:p>
        </w:tc>
        <w:tc>
          <w:tcPr>
            <w:tcW w:w="146" w:type="dxa"/>
            <w:tcBorders/>
            <w:shd w:fill="auto" w:val="clear"/>
            <w:vAlign w:val="center"/>
          </w:tcPr>
          <w:p>
            <w:pPr>
              <w:pStyle w:val="TableContents"/>
              <w:spacing w:before="0" w:after="0"/>
              <w:ind w:left="0" w:right="0" w:hanging="0"/>
              <w:jc w:val="left"/>
              <w:rPr/>
            </w:pPr>
            <w:r>
              <w:rPr/>
              <w:t> </w:t>
            </w:r>
          </w:p>
        </w:tc>
        <w:tc>
          <w:tcPr>
            <w:tcW w:w="1087" w:type="dxa"/>
            <w:gridSpan w:val="2"/>
            <w:tcBorders/>
            <w:shd w:fill="auto" w:val="cle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87"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300"/>
              <w:jc w:val="center"/>
              <w:rPr/>
            </w:pPr>
            <w:r>
              <w:rPr/>
              <w:t> </w:t>
            </w:r>
          </w:p>
        </w:tc>
      </w:tr>
      <w:tr>
        <w:trPr/>
        <w:tc>
          <w:tcPr>
            <w:tcW w:w="570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Non-alcoholic Steatohepatitis program</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1,506</w:t>
            </w:r>
          </w:p>
        </w:tc>
        <w:tc>
          <w:tcPr>
            <w:tcW w:w="179"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w:t>
            </w:r>
          </w:p>
        </w:tc>
        <w:tc>
          <w:tcPr>
            <w:tcW w:w="591" w:type="dxa"/>
            <w:tcBorders/>
            <w:shd w:fill="auto" w:val="clear"/>
            <w:vAlign w:val="center"/>
          </w:tcPr>
          <w:p>
            <w:pPr>
              <w:pStyle w:val="TableContents"/>
              <w:spacing w:before="0" w:after="0"/>
              <w:ind w:left="0" w:right="0" w:firstLine="300"/>
              <w:jc w:val="left"/>
              <w:rPr/>
            </w:pPr>
            <w:r>
              <w:rPr/>
              <w:t> </w:t>
            </w:r>
          </w:p>
        </w:tc>
      </w:tr>
      <w:tr>
        <w:trPr/>
        <w:tc>
          <w:tcPr>
            <w:tcW w:w="570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Coronaviruses program</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2,475</w:t>
            </w:r>
          </w:p>
        </w:tc>
        <w:tc>
          <w:tcPr>
            <w:tcW w:w="179"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591" w:type="dxa"/>
            <w:tcBorders/>
            <w:shd w:fill="auto" w:val="clear"/>
            <w:vAlign w:val="center"/>
          </w:tcPr>
          <w:p>
            <w:pPr>
              <w:pStyle w:val="TableContents"/>
              <w:spacing w:before="0" w:after="0"/>
              <w:ind w:left="0" w:right="0" w:firstLine="300"/>
              <w:jc w:val="left"/>
              <w:rPr/>
            </w:pPr>
            <w:r>
              <w:rPr/>
              <w:t> </w:t>
            </w:r>
          </w:p>
        </w:tc>
      </w:tr>
      <w:tr>
        <w:trPr/>
        <w:tc>
          <w:tcPr>
            <w:tcW w:w="570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Chronic Hepatitis B program</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1,991</w:t>
            </w:r>
          </w:p>
        </w:tc>
        <w:tc>
          <w:tcPr>
            <w:tcW w:w="179"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14,347</w:t>
            </w:r>
          </w:p>
        </w:tc>
        <w:tc>
          <w:tcPr>
            <w:tcW w:w="591" w:type="dxa"/>
            <w:tcBorders/>
            <w:shd w:fill="auto" w:val="clear"/>
            <w:vAlign w:val="center"/>
          </w:tcPr>
          <w:p>
            <w:pPr>
              <w:pStyle w:val="TableContents"/>
              <w:spacing w:before="0" w:after="0"/>
              <w:ind w:left="0" w:right="0" w:firstLine="300"/>
              <w:jc w:val="left"/>
              <w:rPr/>
            </w:pPr>
            <w:r>
              <w:rPr/>
              <w:t> </w:t>
            </w:r>
          </w:p>
        </w:tc>
      </w:tr>
      <w:tr>
        <w:trPr/>
        <w:tc>
          <w:tcPr>
            <w:tcW w:w="570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Other early-stage programs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direct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7,781</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19,984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indirect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10,354</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shd w:fill="auto" w:val="clear"/>
            <w:vAlign w:val="center"/>
          </w:tcPr>
          <w:p>
            <w:pPr>
              <w:pStyle w:val="TableContents"/>
              <w:spacing w:before="0" w:after="0"/>
              <w:ind w:left="0" w:right="0" w:hanging="0"/>
              <w:jc w:val="righ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18,135</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31,676</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Interest and other income (expense),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Interest and other income (expense), net comprises interest income, net and other (loss) income, net. Interest income, net primarily consists of interest earned on our cash, cash equivalents, and investments. Other (loss) income, net consists primarily of the change in fair value of our investments and foreign currency gains/losses.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Comparison of the three months ended March 31, 2023 and 2022</w:t>
      </w:r>
    </w:p>
    <w:p>
      <w:pPr>
        <w:pStyle w:val="TextBody"/>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operating expenses for the three months ended March 31, 2023 and 2022 (in thousands):</w:t>
      </w:r>
    </w:p>
    <w:p>
      <w:pPr>
        <w:pStyle w:val="TextBody"/>
        <w:spacing w:before="0" w:after="0"/>
        <w:jc w:val="left"/>
        <w:rPr/>
      </w:pPr>
      <w:r>
        <w:rPr/>
        <w:t> </w:t>
      </w:r>
    </w:p>
    <w:tbl>
      <w:tblPr>
        <w:tblW w:w="6912" w:type="dxa"/>
        <w:jc w:val="left"/>
        <w:tblInd w:w="0" w:type="dxa"/>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736"/>
        <w:gridCol w:w="166"/>
        <w:gridCol w:w="146"/>
        <w:gridCol w:w="146"/>
        <w:gridCol w:w="376"/>
        <w:gridCol w:w="31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Research and development expenses decreased by $13.5 million during the three months ended March 31, 2023, compared to the same period in 2022. The decrease in the three-month period was primarily due to a decrease of $13.8 million in third-party expenses due to our reduced costs related to our discontinuation of our STOPS and ASO programs, and the manufacturing of drug supply in advance of our clinical trial activity for our CAM-E and siRNA programs. Additionally, there was a decrease of $0.2 million in depreciation expense. This was partially offset by an increase in employee-related and facility costs.</w:t>
      </w:r>
    </w:p>
    <w:p>
      <w:pPr>
        <w:pStyle w:val="TextBody"/>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increased by $2.1 million during the three months ended March 31, 2023, compared to the same period in 2022. This was primarily due to a $3.5 million increase in legal and related costs and an increase of $0.1 million in recruiting and travel costs. This was partially offset by a decrease of $1.5 million primarily related to facility and employee-related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Interest and other income (expense), net</w:t>
      </w:r>
      <w:r>
        <w:rPr>
          <w:rFonts w:ascii="Times New Roman" w:hAnsi="Times New Roman"/>
          <w:sz w:val="20"/>
        </w:rPr>
        <w:t xml:space="preserve"> </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The following table summarizes our interest and other income (expense), net for the three months ended March 31, 2023 and 2022 (in thousands):</w:t>
      </w:r>
    </w:p>
    <w:p>
      <w:pPr>
        <w:pStyle w:val="TextBody"/>
        <w:spacing w:before="0" w:after="0"/>
        <w:jc w:val="left"/>
        <w:rPr/>
      </w:pPr>
      <w:r>
        <w:rPr/>
        <w:t> </w:t>
      </w:r>
    </w:p>
    <w:tbl>
      <w:tblPr>
        <w:tblW w:w="8572" w:type="dxa"/>
        <w:jc w:val="left"/>
        <w:tblInd w:w="0" w:type="dxa"/>
        <w:tblCellMar>
          <w:top w:w="28" w:type="dxa"/>
          <w:left w:w="28" w:type="dxa"/>
          <w:bottom w:w="28" w:type="dxa"/>
          <w:right w:w="28" w:type="dxa"/>
        </w:tblCellMar>
      </w:tblPr>
      <w:tblGrid>
        <w:gridCol w:w="3826"/>
        <w:gridCol w:w="146"/>
        <w:gridCol w:w="211"/>
        <w:gridCol w:w="571"/>
        <w:gridCol w:w="146"/>
        <w:gridCol w:w="146"/>
        <w:gridCol w:w="211"/>
        <w:gridCol w:w="376"/>
        <w:gridCol w:w="166"/>
        <w:gridCol w:w="146"/>
        <w:gridCol w:w="211"/>
        <w:gridCol w:w="571"/>
        <w:gridCol w:w="146"/>
        <w:gridCol w:w="146"/>
        <w:gridCol w:w="146"/>
        <w:gridCol w:w="691"/>
        <w:gridCol w:w="716"/>
      </w:tblGrid>
      <w:tr>
        <w:trPr/>
        <w:tc>
          <w:tcPr>
            <w:tcW w:w="3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38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66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left"/>
              <w:rPr/>
            </w:pPr>
            <w:r>
              <w:rPr/>
              <w:t> </w:t>
            </w:r>
          </w:p>
        </w:tc>
      </w:tr>
      <w:tr>
        <w:trPr/>
        <w:tc>
          <w:tcPr>
            <w:tcW w:w="3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left"/>
              <w:rPr/>
            </w:pPr>
            <w:r>
              <w:rPr/>
              <w:t> </w:t>
            </w:r>
          </w:p>
        </w:tc>
      </w:tr>
      <w:tr>
        <w:trPr/>
        <w:tc>
          <w:tcPr>
            <w:tcW w:w="3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(loss)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interest and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-20130</w:t>
            </w:r>
          </w:p>
        </w:tc>
        <w:tc>
          <w:tcPr>
            <w:tcW w:w="7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Interest income, net increased by $0.7 million for the three months ended March 31, 2023 compared to the three months ended March 31, 2022, primarily due to the a general increase in market interest rates.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Other (loss) income, net increased for the three months ended March 31, 2023 compared to the three months ended March 31, 2022, due primarily to foreign currency exchange gains.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Liquidity</w:t>
      </w:r>
    </w:p>
    <w:p>
      <w:pPr>
        <w:pStyle w:val="TextBody"/>
        <w:spacing w:before="120" w:after="0"/>
        <w:jc w:val="left"/>
        <w:rPr>
          <w:rFonts w:ascii="Times New Roman" w:hAnsi="Times New Roman"/>
          <w:sz w:val="20"/>
        </w:rPr>
      </w:pPr>
      <w:r>
        <w:rPr>
          <w:rFonts w:ascii="Times New Roman;serif" w:hAnsi="Times New Roman;serif"/>
          <w:b w:val="false"/>
          <w:sz w:val="20"/>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operations have been financed primarily by net proceeds from the sale and issuance of our convertible preferred stock, net proceeds from our IPO, and the issuance of convertible debt.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cash, cash equivalents and investments of $103.5 million.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NASH drug candidate ALG</w:t>
        <w:noBreakHyphen/>
        <w:t>055009, which we have initiated clinical trials, as well as our research and development of our other drug candidates within our coronavirus and CHB programs.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we incur costs associated with operating as a public company. We expect that our expenses will increase substantially to the extent we: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conduct our current and future clinical trials, and additional nonclinical studies;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initiate and continue research and nonclinical and clinical development of other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seek to identify additional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pursue marketing approvals for any of our drug candidates that successfully complete clinical trials,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 a sales, marketing and distribution infrastructure to commercialize any products for which we may obtain marketing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require the manufacture of larger quantities of our drug candidates for clinical development and potentially commercialization;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maintain, expand, protect and enforce our intellectual property portfolio;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other drug candidates and technologies;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hire and retain additional clinical, quality control and scientific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achieve milestones triggering payments by us under our current and potential future licensing and/or collaboration agreements;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build out or expand existing facilities to support our ongoing development activity;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spacing w:before="240" w:after="0"/>
        <w:jc w:val="left"/>
        <w:rPr>
          <w:rFonts w:ascii="Times New Roman" w:hAnsi="Times New Roman"/>
          <w:sz w:val="20"/>
        </w:rPr>
      </w:pPr>
      <w:r>
        <w:rPr>
          <w:rFonts w:ascii="Times New Roman;serif" w:hAnsi="Times New Roman;serif"/>
          <w:b w:val="false"/>
          <w:sz w:val="20"/>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scope, progress, results and costs of researching and developing our drug candidates and programs, and of conducting nonclinical studies and clinical trials;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of, and the costs involved in, obtaining marketing approvals for drug candidates we develop if clinical trials are successful;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current and future drug candidates for clinical trials in preparation for marketing approval and commercialization;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strategic licenses or other arrangements and the financial terms of such agreements including milestone payments to our licensors;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involved in preparing, filing, prosecuting, maintaining, expanding, defending and enforcing patent claims, including litigation costs and the outcome of such litigation;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lawsuits related to our drug candidates or commenced against us, including the costs associated with our current litigation with Janssen;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of, or profit share or royalties on, our future products,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emergence of competing therapies for hepatological indications and viral diseases and other adverse market developments;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acquisitions or in-licensing of other programs or technologies. </w:t>
      </w:r>
    </w:p>
    <w:p>
      <w:pPr>
        <w:pStyle w:val="TextBody"/>
        <w:spacing w:before="240" w:after="0"/>
        <w:jc w:val="left"/>
        <w:rPr>
          <w:rFonts w:ascii="Times New Roman" w:hAnsi="Times New Roman"/>
          <w:sz w:val="20"/>
        </w:rPr>
      </w:pPr>
      <w:r>
        <w:rPr>
          <w:rFonts w:ascii="Times New Roman;serif" w:hAnsi="Times New Roman;serif"/>
          <w:b w:val="false"/>
          <w:sz w:val="20"/>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our sources and uses of cash for each of the periods presented (in thousands):</w:t>
      </w:r>
      <w:r>
        <w:rPr>
          <w:rFonts w:ascii="Times New Roman" w:hAnsi="Times New Roman"/>
          <w:sz w:val="20"/>
        </w:rPr>
        <w:t xml:space="preserve"> </w:t>
      </w:r>
    </w:p>
    <w:p>
      <w:pPr>
        <w:pStyle w:val="TextBody"/>
        <w:spacing w:before="0" w:after="0"/>
        <w:jc w:val="left"/>
        <w:rPr/>
      </w:pPr>
      <w:r>
        <w:rPr/>
        <w:t> </w:t>
      </w:r>
    </w:p>
    <w:tbl>
      <w:tblPr>
        <w:tblW w:w="7349" w:type="dxa"/>
        <w:jc w:val="left"/>
        <w:tblInd w:w="0" w:type="dxa"/>
        <w:tblCellMar>
          <w:top w:w="28" w:type="dxa"/>
          <w:left w:w="28" w:type="dxa"/>
          <w:bottom w:w="28" w:type="dxa"/>
          <w:right w:w="28" w:type="dxa"/>
        </w:tblCellMar>
      </w:tblPr>
      <w:tblGrid>
        <w:gridCol w:w="4786"/>
        <w:gridCol w:w="146"/>
        <w:gridCol w:w="211"/>
        <w:gridCol w:w="736"/>
        <w:gridCol w:w="166"/>
        <w:gridCol w:w="146"/>
        <w:gridCol w:w="211"/>
        <w:gridCol w:w="736"/>
        <w:gridCol w:w="21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(60,404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(80,859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operating activities utilized $22.4 million of cash, primarily resulting from our net loss of $23.0 million and net changes in operating assets and liabilities of $3.7 million, partially offset by non-cash charges of $4.2 million. Net cash used in operating activities resulted in changes in our operating assets and liabilities of $3.7 million, consisting of a decrease of $1.9 million in accounts payable, a decrease of $0.9 million in accrued liabilities, a decrease of $0.7 million in operating lease liabilities, and a decrease of $2.3 million in deferred revenue from collaborations and customer, partially offset by a decrease in other assets of $2.1 million. The decrease in deferred revenue from collaborations and customers was due to the recognition of revenue from collaborations and customers due to progress towards the completion of the projects. The decrease in accrued liabilities was largely due to charges related to the discontinuation of our ASO and STOPs drug candidates. The decrease in accounts payable is due to the timing of payments to vendors.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2022, operating activities utilized $20.4 million of cash, primarily resulting from our net loss of $35.6 million, partially offset by net changes in operating assets and liabilities of $10.4 million, and by non-cash charges of $4.8 million. Net cash used in operating activities resulted in changes in our operating assets and liabilities of $10.4 million, consisting of an increase of $12.4 million in deferred revenue from collaborations, a decrease in other assets of $3.6 million, an increase of $0.7 million in accounts payable, partially offset by a decrease in accrued liabilities of $6.1 million. The increase in deferred revenue from collaborations was a result of our First Amendment to the Exclusive License and Research Collaboration Agreement (refer to Note 8 License and collaboration agreements</w:t>
      </w:r>
      <w:r>
        <w:rPr>
          <w:rFonts w:ascii="Times New Roman;serif" w:hAnsi="Times New Roman;serif"/>
          <w:b w:val="false"/>
          <w:i/>
          <w:sz w:val="20"/>
        </w:rPr>
        <w:t xml:space="preserve">, </w:t>
      </w:r>
      <w:r>
        <w:rPr>
          <w:rFonts w:ascii="Times New Roman;serif" w:hAnsi="Times New Roman;serif"/>
          <w:b w:val="false"/>
          <w:sz w:val="20"/>
        </w:rPr>
        <w:t>in the “Notes to Unaudited Condensed Consolidated Financial Statements” contained in Part I, Item 1 of this report, for details), partially offset by the recognition of revenue from collaborations due to progress towards the completion of the projects. The decrease in accrued liabilities and other assets was largely due to charges related to the discontinuation of our ASO and STOPs drug candidates and payment of the annual bonus in 2022 that was accrued for in 2021.</w:t>
      </w:r>
    </w:p>
    <w:p>
      <w:pPr>
        <w:pStyle w:val="TextBody"/>
        <w:spacing w:before="360" w:after="0"/>
        <w:jc w:val="left"/>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investing activities provided $20.0 million of cash, primarily due to $20.0 million of investment maturities.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2022, investing activities utilized $60.4 million of cash, primarily for $59.9 million of investment purchases and $0.5 million of property and equipment purchases.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net cash utilized by financing activities was $1 thousand, consisting primarily of payments of our finance leases, partially offset by proceeds from the exercise of stock option.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2022, net cash provided by financing activities was $21 thousand, consisting primarily of $31,000 for payments of our finance leases, partially offset by $10,000 in proceeds from the exercise of stock options.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no material changes to our contractual obligations and commitments as of March 31, 2023 as disclosed in the contractual obligations and commitment section in our Annual Report on Form 10-K filed with the SEC on March 9,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Indemnification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Critical accounting policies and use of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a discussion of our critical accounting estimates, see “Management’s discussion and analysis of financial condition and results of operations” and the notes to our audited financial statements in our annual report on Form 10-K, filed with the SEC on March 9, 2023 for the year ended December 31, 2022, and the notes to the financial statements appearing elsewhere in this Quarterly Report on Form 10-Q. There have been no material changes to these critical accounting policies and estimates through March 31, 2023 from those discussed in our Form 10-K.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Recently issued and adopted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a description of the expected impact of recently adopted accounting pronouncements, see Note 2. Summary of Significant Accounting Policies in the “Notes to Unaudited Condensed Consolidated Financial Statements” contained in Part I, Item 1 of this report.</w:t>
      </w:r>
      <w:r>
        <w:rPr>
          <w:rFonts w:ascii="Times New Roman" w:hAnsi="Times New Roman"/>
          <w:sz w:val="20"/>
        </w:rPr>
        <w:t xml:space="preserve"> </w:t>
      </w:r>
    </w:p>
    <w:p>
      <w:pPr>
        <w:pStyle w:val="TextBody"/>
        <w:spacing w:before="36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exposed to market risk related to changes in interest rates applicable to our investment portfolio of cash equivalents and short-term investments. As of March 31, 2023, our cash equivalents consisted primarily of money market funds, and our investments consisted of certificates of deposit available-for-sale securities.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March 31, 2023, we estimate that a hypothetical 100 basis point adverse movement would not result in a material impact on our financial position or results of operations or cash flows. As of March 31, 2023, we had no debt outstanding, besides short-term payables arising in the normal course of business, and are therefore not exposed to interest rate risk with respect to debt.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foreign currency. A 10% increase or decrease in current exchange rates would not have a material effect on our financial position or results of operations or cash flows.</w:t>
      </w:r>
      <w:r>
        <w:rPr>
          <w:rFonts w:ascii="Times New Roman" w:hAnsi="Times New Roman"/>
          <w:sz w:val="20"/>
        </w:rPr>
        <w:t xml:space="preserve"> </w:t>
      </w:r>
    </w:p>
    <w:p>
      <w:pPr>
        <w:pStyle w:val="TextBody"/>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2023, our disclosure controls and procedures were effective.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has been no change in our internal control over financial reporting (as defined in Rules 13a-15(f) and 15d-15(f) under the Exchange Act) that occurred during the fiscal quarter ended March 31, 2023 that has materially affected, or is reasonably likely to materially affect, our internal control over financial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a result of the COVID-19 pandemic, in March 2020, substantially all of our employees began working remotely. Since the availability of COVID-19 vaccines in 2021, almost all of our employees have been fully vaccinated and as a result, we are allowing such employees to return to work subject to certain COVID-19 related protocols and policies we have in place which may be modified from time to time in response to the evolution of the pandemic.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3" w:name="part_iior_information"/>
      <w:bookmarkEnd w:id="13"/>
      <w:r>
        <w:rPr>
          <w:rFonts w:ascii="Times New Roman;serif" w:hAnsi="Times New Roman;serif"/>
          <w:b/>
          <w:sz w:val="20"/>
        </w:rPr>
        <w:t>PART II—OTHER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except as described below. However, regardless of the outcome, litigation can have an adverse impact on our business, financial condition, results of operations and prospects because of associated costs and diversion of management time.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continue to defend itself vigorously.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4, 2022, the Company filed counterclaims against Janssen alleging Janssen has engaged in unfair competition and promissory fraud, and on August 22, 2022, the Company filed its response to the Complaint. During the course of the legal proceedings described above, the parties have each filed various demurrers which have been heard by the Court resulting in various outcomes. The case is currently in discovery.</w:t>
      </w:r>
    </w:p>
    <w:p>
      <w:pPr>
        <w:pStyle w:val="TextBody"/>
        <w:spacing w:before="12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Risks related to our limited operating history, financial position and need for additional capital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Since inception, we have incurred significant net losses. Our net losses were $18.6 million and $23.0 million for the three months ended March 31, 2023, respectively, and $128.3 million for the year ended December 31, 2022. As of March 31, 2023, we had a total stockholders’ equity of $84.8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have never generated revenue from product sales and may never be profitable.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completing clinical and nonclinical development of drug candidates and programs and identifying and developing new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seeking and obtaining marketing approvals for any drug candidates that we develop;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achieving adequate coverage and reimbursement by third-party payors for drug candidates that we develop;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market acceptance of drug candidates that we develop as viable treatment options;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technological and market developments;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into which we may enter and performing our obligations in such collaborations;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maintaining, protecting, enforcing and expanding our portfolio of intellectual property rights, including patents, trade secrets and know-how;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defending against third-party interference, infringement or other intellectual property-related claims, if any;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spacing w:before="240" w:after="0"/>
        <w:jc w:val="left"/>
        <w:rPr>
          <w:rFonts w:ascii="Times New Roman" w:hAnsi="Times New Roman"/>
          <w:sz w:val="20"/>
        </w:rPr>
      </w:pPr>
      <w:r>
        <w:rPr>
          <w:rFonts w:ascii="Times New Roman;serif" w:hAnsi="Times New Roman;serif"/>
          <w:b w:val="false"/>
          <w:sz w:val="20"/>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March 31, 2023, we had unrestricted cash, cash equivalents and investments of $103.5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future capital requirements depend on many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results and costs of researching and developing our drug candidates and programs, and of conducting nonclinical studies and clinical trials;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timing of, and the costs involved in, obtaining marketing approvals for drug candidates we develop if clinical trials are successful;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current and future drug candidates for clinical trials in preparation for marketing approval and commercialization;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strategic licenses or other arrangements and the financial terms of such agreements including milestone payments to our licensors;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involved in preparing, filing, prosecuting, maintaining, expanding, defending and enforcing patent claims, including litigation costs and the outcome of such litigation;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lawsuits related to our drug candidates or commenced against us, including the costs associated with our current litigation with Janssen;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of, or profit share or royalties on, our future products,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emergence of competing therapies for hepatological indications and viral diseases and other adverse market developments;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acquisitions or in-licensing of other programs or technologies.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date, we have primarily financed our operations through the sale of common stock, preferred stock and convertible notes.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November 2021, we also entered into a sales agreement (November 2021 Sales Agreement), with Jefferies LLC, as sales agent to sell shares of our common stock, from time to time, with aggregate gross sales proceeds of up to $75.0 million pursuant to the November 2021 Shelf Registration Statement as an “at-the-market” offering under the Securities Act (ATM Offering Program).</w:t>
      </w:r>
    </w:p>
    <w:p>
      <w:pPr>
        <w:pStyle w:val="TextBody"/>
        <w:spacing w:before="240" w:after="0"/>
        <w:jc w:val="left"/>
        <w:rPr>
          <w:rFonts w:ascii="Times New Roman" w:hAnsi="Times New Roman"/>
          <w:sz w:val="20"/>
        </w:rPr>
      </w:pPr>
      <w:r>
        <w:rPr>
          <w:rFonts w:ascii="Times New Roman;serif" w:hAnsi="Times New Roman;serif"/>
          <w:b w:val="false"/>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ability to raise additional funds will depend on financial, economic and other factors, many of which are beyond our control. For example, the COVID-19 pandemic,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delay, limit, reduce or terminate nonclinical studies, clinical trials or other research and development activities or eliminate one or more of our development programs altogether;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spacing w:before="240" w:after="0"/>
        <w:jc w:val="left"/>
        <w:rPr>
          <w:rFonts w:ascii="Times New Roman" w:hAnsi="Times New Roman"/>
          <w:sz w:val="20"/>
        </w:rPr>
      </w:pPr>
      <w:r>
        <w:rPr>
          <w:rFonts w:ascii="Times New Roman;serif" w:hAnsi="Times New Roman;serif"/>
          <w:b w:val="false"/>
          <w:sz w:val="20"/>
        </w:rPr>
        <w:t>We currently have a shelf registration statement effective and existing ATM Offering Program, however, our ability to raise capital under this registration statement and through the ATM Offering Program may be limited by, among other things, SEC rules and regulations impacting the eligibility of smaller companies to use Form S-3 for primary offerings of securities. Based on our public float, as of the date of the filing of this Annual Report on Form 10-K, we are only permitted to utilize a shelf registration statement, including the registration statements under which our ATM Offering Programs are operated,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public and private transaction structures may be available, these may require additional time and cost, may impose operational restrictions on us, and may not be available on attractive terms.</w:t>
      </w:r>
    </w:p>
    <w:p>
      <w:pPr>
        <w:pStyle w:val="TextBody"/>
        <w:spacing w:before="360" w:after="0"/>
        <w:jc w:val="left"/>
        <w:rPr>
          <w:rFonts w:ascii="Times New Roman" w:hAnsi="Times New Roman"/>
          <w:sz w:val="20"/>
        </w:rPr>
      </w:pPr>
      <w:r>
        <w:rPr>
          <w:rFonts w:ascii="Times New Roman;serif" w:hAnsi="Times New Roman;serif"/>
          <w:b/>
          <w:i/>
          <w:sz w:val="20"/>
        </w:rPr>
        <w:t>Our operating results may fluctuate significantly, which will make our future results difficult to predict and could cause our results to fall below expectations.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of, and level of investment in, research, development and commercialization activities, which may change from time to time;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status of enrollment for our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of regulatory approvals, if any, in the United States and internationally;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as well as building out our supply chain, which may vary depending on the quantity produced, and the terms of any agreements we enter into with third-party suppliers;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amount of any milestone, royalty or other payments due under any current or future collaboration or license agreement, including our existing license agreements with Emory University (Emory) and KU Leuven;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coverage and reimbursement policies with respect to any future approved products, and potential future drugs that compete with our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to establish a sales, marketing, medical affairs and distribution infrastructure to commercialize any products for which we may obtain marketing approval and intend to commercialize on our own or jointly with current or future collaborators;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expenditures that we may incur to acquire, develop or commercialize additional products and technologies;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expenditures that we may incur in any lawsuits related to our drug candidates or commenced against us, including the costs associated with our current litigation with Janssen;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level of demand for any future approved products, which may vary significantly over time;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future accounting pronouncements or changes in accounting principles or our accounting policies;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spacing w:before="240" w:after="0"/>
        <w:jc w:val="left"/>
        <w:rPr>
          <w:rFonts w:ascii="Times New Roman" w:hAnsi="Times New Roman"/>
          <w:sz w:val="20"/>
        </w:rPr>
      </w:pPr>
      <w:r>
        <w:rPr>
          <w:rFonts w:ascii="Times New Roman;serif" w:hAnsi="Times New Roman;serif"/>
          <w:b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business could be materially adversely affected by the effects of health pandemics or epidemics, including the current outbreak of COVID-19, which the World Health Organization declared a global pandemic and which has prompted severe lifestyle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employees have been fully vaccinated and as a result, we are allowing such employees to return to work, subject to certain COVID-19 related protocols and policies we have put in place and which are modified from time to time as appropriate. However, as the global COVID-19 pandemic and orders and guidance from state and local governments continue to evolve, we may need to reverse course and again implement work-from-home policies as necessary. For example, given the Omicron variant of COVID-19, we again implemented work-from-home policies for our employees in January 2022. While we have allowed our employees to return to work at our U.S. facility as of March 2022, we continue to monitor the COVID-19 situation and may once again reverse course periodically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the COVID-19 outbreak may at any time disrupt our supply chain and delay or limit our ability to obtain sufficient materials for our drug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pStyle w:val="TextBody"/>
        <w:spacing w:before="360" w:after="0"/>
        <w:jc w:val="left"/>
        <w:rPr>
          <w:rFonts w:ascii="Times New Roman" w:hAnsi="Times New Roman"/>
          <w:sz w:val="20"/>
        </w:rPr>
      </w:pPr>
      <w:bookmarkStart w:id="16" w:name="risks_related_to_product_development_reg"/>
      <w:bookmarkEnd w:id="16"/>
      <w:r>
        <w:rPr>
          <w:rFonts w:ascii="Times New Roman;serif" w:hAnsi="Times New Roman;serif"/>
          <w:b/>
          <w:sz w:val="20"/>
        </w:rPr>
        <w:t>Risks related to product development and regulatory process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spacing w:before="240" w:after="0"/>
        <w:jc w:val="left"/>
        <w:rPr>
          <w:rFonts w:ascii="Times New Roman" w:hAnsi="Times New Roman"/>
          <w:sz w:val="20"/>
        </w:rPr>
      </w:pPr>
      <w:r>
        <w:rPr>
          <w:rFonts w:ascii="Times New Roman;serif" w:hAnsi="Times New Roman;serif"/>
          <w:b w:val="false"/>
          <w:sz w:val="20"/>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success of our current and future drug candidates will depend on many factors, which may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sufficiency of our financial and other resources to complete the necessary nonclinical studies and clinical trials, and our ability to raise any additional required capital on acceptable terms, or at all;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and successfully utilize our drug discovery platforms;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acceptance of investigational new drug applications (INDs), clinical trial applications (CTAs) and/or similar applications in other jurisdictions for our planned and future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whether we are required by the FDA or a comparable foreign regulatory agency to conduct additional clinical trials or other studies beyond those planned to support approval of our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 enrollment and completion of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 data from our clinical program that supports an acceptable risk-benefit profile of our drug candidates in the intended populations;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receipt and maintenance of marketing approvals from applicable regulatory authorities;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establishing agreements with third-party manufacturers for clinical supply for our clinical trials and commercial manufacturing, if our drug candidates are approved;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entry into collaborations to further the development of our drug candidates in select indications or geographies;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maintaining and expanding our portfolio of intellectual property rights, including patents, trade secrets and know-how;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and maintaining regulatory exclusivity for our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successfully launching commercial sales of our drug candidates, if approved;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acceptance of the drug candidate’s benefits and uses, if approved, by patients, the medical community and third-party payors;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prevalence, duration and severity of potential side effects or other safety issues experienced with our drug candidates following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effectively competing with other therapies;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obtaining and maintaining healthcare coverage and adequate reimbursement from third-party payors. </w:t>
      </w:r>
    </w:p>
    <w:p>
      <w:pPr>
        <w:pStyle w:val="TextBody"/>
        <w:spacing w:before="240" w:after="0"/>
        <w:jc w:val="left"/>
        <w:rPr>
          <w:rFonts w:ascii="Times New Roman" w:hAnsi="Times New Roman"/>
          <w:sz w:val="20"/>
        </w:rPr>
      </w:pPr>
      <w:r>
        <w:rPr>
          <w:rFonts w:ascii="Times New Roman;serif" w:hAnsi="Times New Roman;serif"/>
          <w:b w:val="false"/>
          <w:sz w:val="20"/>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spacing w:before="240" w:after="0"/>
        <w:jc w:val="left"/>
        <w:rPr>
          <w:rFonts w:ascii="Times New Roman" w:hAnsi="Times New Roman"/>
          <w:sz w:val="20"/>
        </w:rPr>
      </w:pPr>
      <w:r>
        <w:rPr>
          <w:rFonts w:ascii="Times New Roman;serif" w:hAnsi="Times New Roman;serif"/>
          <w:b w:val="false"/>
          <w:sz w:val="20"/>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potential future partners, if any, over which we have no control. The commencement and rate of completion of nonclinical studies and clinical trials for a drug candidate may be delayed by many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inability or failure by us or third parties to comply with regulatory requirements, including the requirements of good laboratory practice (GLP);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inability to generate sufficient nonclinical or other in vivo or in vitro data to support the initiation of clinical studies;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 consensus with regulatory agencies on study design and obtaining regulatory authorization to commence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sufficient quantities of our drug candidates for use in nonclinical studies and clinical trials from third-party suppliers on a timely basis;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delays due to other global-scale potentially catastrophic events, including other pandemics, terrorism, war, and climate changes. </w:t>
      </w:r>
    </w:p>
    <w:p>
      <w:pPr>
        <w:pStyle w:val="TextBody"/>
        <w:spacing w:before="240" w:after="0"/>
        <w:jc w:val="left"/>
        <w:rPr>
          <w:rFonts w:ascii="Times New Roman" w:hAnsi="Times New Roman"/>
          <w:sz w:val="20"/>
        </w:rPr>
      </w:pPr>
      <w:r>
        <w:rPr>
          <w:rFonts w:ascii="Times New Roman;serif" w:hAnsi="Times New Roman;serif"/>
          <w:b w:val="false"/>
          <w:sz w:val="20"/>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current and future drug candidates could fail to receive regulatory approval for many reasons, including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the EMA or comparable foreign regulatory authorities may disagree with the design or implementation of our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satisfaction of the FDA, the EMA or comparable foreign regulatory authorities that a drug candidate is safe or effective for its proposed indication;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results of clinical trials may not meet the level of statistical significance required by the FDA, the EMA or comparable foreign regulatory authorities for approval;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that a drug candidate’s clinical and other benefits outweigh its safety risks;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the EMA or comparable foreign regulatory authorities may disagree with our interpretation of data from clinical trials or nonclinical studies;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of our drug candidates may not be sufficient to support the submission of an NDA to the FDA or other submission or to obtain regulatory approval in the United States, the European Union or elsewhere;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the EMA or comparable foreign regulatory authorities may significantly change in a manner rendering our clinical data insufficient for approval.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w:t>
      </w:r>
      <w:r>
        <w:rPr>
          <w:rFonts w:ascii="Times New Roman;serif" w:hAnsi="Times New Roman;serif"/>
          <w:b w:val="false"/>
          <w:sz w:val="13"/>
        </w:rPr>
        <w:t>90</w:t>
      </w:r>
      <w:r>
        <w:rPr>
          <w:rFonts w:ascii="Times New Roman" w:hAnsi="Times New Roman"/>
          <w:sz w:val="20"/>
        </w:rPr>
        <w:t xml:space="preserve"> </w:t>
      </w:r>
      <w:r>
        <w:rPr>
          <w:rFonts w:ascii="Times New Roman;serif" w:hAnsi="Times New Roman;serif"/>
          <w:b w:val="false"/>
          <w:sz w:val="20"/>
        </w:rPr>
        <w:t>for HBsAg inhibition) there was no meaningful HBsAg reduction. Furthermore, higher doses levels (maximum feasible dose is 600 mg) that were planned to be evaluated in a subsequent cohort were very unlikely to reach the 1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HBsAg reduction level that we had previously defined as necessary to advance the program. As another example, in March 2022, we discontinued further development of our ASO drug candidate for CHB, ALG</w:t>
        <w:noBreakHyphen/>
        <w:t>020572, due to an unanticipated serious adverse event involving significant increase in ALT in one CHB subject and several other subjects experiencing ALT flares in the same study.</w:t>
      </w:r>
    </w:p>
    <w:p>
      <w:pPr>
        <w:pStyle w:val="TextBody"/>
        <w:spacing w:before="240" w:after="0"/>
        <w:jc w:val="left"/>
        <w:rPr>
          <w:rFonts w:ascii="Times New Roman" w:hAnsi="Times New Roman"/>
          <w:sz w:val="20"/>
        </w:rPr>
      </w:pPr>
      <w:r>
        <w:rPr>
          <w:rFonts w:ascii="Times New Roman;serif" w:hAnsi="Times New Roman;serif"/>
          <w:b w:val="false"/>
          <w:sz w:val="20"/>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regulators, Institutional Review Boards (IRBs) or ethics committees may not authorize us or our investigators to commence a clinical trial or conduct a clinical trial at a prospective trial site;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delays in reaching, or fail to reach, agreement on acceptable terms with prospective trial sites and prospective contract research organizations (CROs);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of patients required for clinical trials may be larger than we anticipate;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supply or quality of materials for drug candidates we develop or other materials necessary to conduct clinical trials may be insufficient or inadequate;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may experience disruptions by man-made or natural disasters or public health pandemics or epidemics or other business interruptions, including the current COVID-19 pandemic and future outbreaks of the disease. </w:t>
      </w:r>
    </w:p>
    <w:p>
      <w:pPr>
        <w:pStyle w:val="TextBody"/>
        <w:spacing w:before="240" w:after="0"/>
        <w:jc w:val="left"/>
        <w:rPr>
          <w:rFonts w:ascii="Times New Roman" w:hAnsi="Times New Roman"/>
          <w:sz w:val="20"/>
        </w:rPr>
      </w:pPr>
      <w:r>
        <w:rPr>
          <w:rFonts w:ascii="Times New Roman;serif" w:hAnsi="Times New Roman;serif"/>
          <w:b w:val="false"/>
          <w:sz w:val="20"/>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spacing w:before="240" w:after="0"/>
        <w:jc w:val="left"/>
        <w:rPr>
          <w:rFonts w:ascii="Times New Roman" w:hAnsi="Times New Roman"/>
          <w:sz w:val="20"/>
        </w:rPr>
      </w:pPr>
      <w:r>
        <w:rPr>
          <w:rFonts w:ascii="Times New Roman;serif" w:hAnsi="Times New Roman;serif"/>
          <w:b w:val="false"/>
          <w:sz w:val="20"/>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Specifically, the clinical trial sites for our current drug trials, including for ALG</w:t>
        <w:noBreakHyphen/>
        <w:t>055009, ALG-000184, and ALG</w:t>
        <w:noBreakHyphen/>
        <w:t>125755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pStyle w:val="TextBody"/>
        <w:spacing w:before="240" w:after="0"/>
        <w:jc w:val="left"/>
        <w:rPr>
          <w:rFonts w:ascii="Times New Roman" w:hAnsi="Times New Roman"/>
          <w:sz w:val="20"/>
        </w:rPr>
      </w:pPr>
      <w:r>
        <w:rPr>
          <w:rFonts w:ascii="Times New Roman;serif" w:hAnsi="Times New Roman;serif"/>
          <w:b w:val="false"/>
          <w:sz w:val="20"/>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pursuit of potential treatments for NASH is at an early stage and we may be unable to produce a therapy that successfully treats NASH. Even if successful, we may be unable to obtain regulatory approval for and successfully commercialize our drug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invested, and will continue to invest, a significant portion of our time and financial resources in the pursuit of a treatment for NASH, including ALG-055009, our THR-</w:t>
      </w:r>
      <w:r>
        <w:rPr>
          <w:rFonts w:ascii="Symbol;serif" w:hAnsi="Symbol;serif"/>
          <w:b w:val="false"/>
          <w:sz w:val="20"/>
        </w:rPr>
        <w:t>b</w:t>
      </w:r>
      <w:r>
        <w:rPr>
          <w:rFonts w:ascii="Times New Roman" w:hAnsi="Times New Roman"/>
          <w:sz w:val="20"/>
        </w:rPr>
        <w:t xml:space="preserve"> </w:t>
      </w:r>
      <w:r>
        <w:rPr>
          <w:rFonts w:ascii="Times New Roman;serif" w:hAnsi="Times New Roman;serif"/>
          <w:b w:val="false"/>
          <w:sz w:val="20"/>
        </w:rPr>
        <w:t>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w:t>
      </w:r>
      <w:r>
        <w:rPr>
          <w:rFonts w:ascii="Times New Roman" w:hAnsi="Times New Roman"/>
          <w:sz w:val="20"/>
        </w:rPr>
        <w:t xml:space="preserve"> </w:t>
      </w:r>
      <w:r>
        <w:rPr>
          <w:rFonts w:ascii="Times New Roman;serif" w:hAnsi="Times New Roman;serif"/>
          <w:b w:val="false"/>
          <w:sz w:val="20"/>
        </w:rPr>
        <w:t>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pursuit of potential therapies for COVID-19 is at an early stage.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example, in June 2020, we entered into a Research, Licensing and Commercialization Agreement (the KU Leuven Agreement) with Katholieke Universiteit Leuven (KU Leuven) under which we were collaborating with KU Leuven’s Rega Institute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for Medical Research, as well as its Centre for Drug Design and Discovery, to research, develop, manufacture and commercialize potential protease inhibitors for the treatment of coronaviruses, including SARS-CoV-2.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globally to develop both therapeutic and prophylactic drug candidates. In November 2022, Enanta Pharmaceuticals announced the initiation of a Phase 2 clinical trial for EDP-235 which is its oral protease inhibitor specifically designed for the treatment of COVID-19. Additionally, in September 2022 Pardes Biosciences announced commencement of its Phase 2 trial evaluating PBI-0451, its oral protease inhibitor, for the treatment of SARS-CoV-2 infections, which PBI-0451 has since failed to meet the trial's primary endpoint resulting in Pardes suspending further clinic development therefor. In addition, Novartis is working on a once a day, pan-coronavirus, main protease inhibitor pill and had planned to start human testing in 2022. Furthermore, Shionogi announced in September 2022 that its oral therapeutic drug for COVID-19, S-217622, a 3CL protease inhibitor, has achieved its primary endpoint in its Phase 3 part of the Phase 2/3 clinical trial in Asia and is currently engaged in a comprehensive clinical development program which includes several Phase 3 clinical studies evaluating ensitrelvir’s safety and effectiveness across a wide range of COVID-19 patient populations. Several companies are 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The regulatory pathways for our drug candidates targeting SARS-CoV-2, the virus that causes COVID-19, are continually evolving, and may result in unexpected or unforeseen challenges.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 - 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The results of nonclinical studies and early-stage clinical trials may not be predictive of future results.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Interim, “topline” and preliminary data from our clinical trials may differ materially from the final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disclose interim data from our clinical trials, including the preliminary data with respect to our CAM candidate, ALG</w:t>
        <w:noBreakHyphen/>
        <w:t>055009, ALG-000184, and ALG</w:t>
        <w:noBreakHyphen/>
        <w:t>125755.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encounter difficulties enrolling patients in our clinical trials, our clinical development activities could be delayed or otherwise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patient eligibility criteria defined in the protocol;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size of the patient population required for analysis of the trial’s primary endpoints;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proximity of patients to study sites;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design of the trial;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recruit clinical trial investigators with the appropriate competencies and experience;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patient consents for participation in our clinical trials and, where appropriate, biopsies for future patient enrichment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risk that patients enrolled in clinical trials will not remain in the trial through the completion of evaluation;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disruption by man-made or natural disasters, or public health pandemics or epidemics or other business interruptions, including the current COVID-19 pandemic and future outbreaks of the virus. </w:t>
      </w:r>
    </w:p>
    <w:p>
      <w:pPr>
        <w:pStyle w:val="TextBody"/>
        <w:spacing w:before="240" w:after="0"/>
        <w:jc w:val="left"/>
        <w:rPr>
          <w:rFonts w:ascii="Times New Roman" w:hAnsi="Times New Roman"/>
          <w:sz w:val="20"/>
        </w:rPr>
      </w:pPr>
      <w:r>
        <w:rPr>
          <w:rFonts w:ascii="Times New Roman;serif" w:hAnsi="Times New Roman;serif"/>
          <w:b w:val="false"/>
          <w:sz w:val="20"/>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Delays in patient enrollment may result in increased costs or may affect the timing or outcome of clinical trials, which could prevent completion of these trials and adversely affect our ability to advance the development of our drug candidates.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Changes in methods of drug candidate manufacturing or formulation may result in additional costs or delay.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any of our drug candidates receives marketing approval and we or others later identify undesirable side effects caused by such products, a number of potentially significant negative consequences could occur,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withdraw their approval of the product;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recall a product or change the way such product is administered to patients;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additional restrictions may be imposed on the marketing of the particular product or the manufacturing processes for the product or any component thereof;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such as a “black box” warning or a contraindication;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implement a Risk Evaluation and Mitigation Strategy (REMS) or create a Medication Guide outlining the risks of such side effects for distribution to patients;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could be sued and held liable for harm caused to patients;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product may become less competitive;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spacing w:before="240" w:after="0"/>
        <w:jc w:val="left"/>
        <w:rPr>
          <w:rFonts w:ascii="Times New Roman" w:hAnsi="Times New Roman"/>
          <w:sz w:val="20"/>
        </w:rPr>
      </w:pPr>
      <w:r>
        <w:rPr>
          <w:rFonts w:ascii="Times New Roman;serif" w:hAnsi="Times New Roman;serif"/>
          <w:b w:val="false"/>
          <w:sz w:val="20"/>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efficacy and potential advantages compared to alternative treatments;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to offer our products, if approved, for sale at competitive prices;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convenience and ease of administration compared to alternative treatments;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new therapies and of physicians to prescribe these therapies;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strength of marketing and distribution support;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to obtain sufficient third-party coverage and adequate reimbursement, including with respect to the use of the approved product as a combination therapy;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adoption of a companion diagnostic and/or complementary diagnostic (if any);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prevalence and severity of any side effects.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marketing or manufacturing of the product, withdrawal of the product from the market, or product recalls;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fines, untitled and warning letters, or holds on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refusal by the FDA or other regulatory authorities to approve pending applications or supplements to approved applications we filed or suspension or revocation of license approvals;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product seizure or detention, or refusal to permit the import or export of the product; and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spacing w:before="240" w:after="0"/>
        <w:jc w:val="left"/>
        <w:rPr>
          <w:rFonts w:ascii="Times New Roman" w:hAnsi="Times New Roman"/>
          <w:sz w:val="20"/>
        </w:rPr>
      </w:pPr>
      <w:r>
        <w:rPr>
          <w:rFonts w:ascii="Times New Roman;serif" w:hAnsi="Times New Roman;serif"/>
          <w:b w:val="false"/>
          <w:sz w:val="20"/>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Even if we obtain and maintain approval for our drug candidates from the FDA, we may never obtain approval outside the United States, which would limit our market opportunities.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Further, clinical trials conducted in one country may not be accepted by regulatory authorities in other countries. For example, we are conducting our initial clinical trials for ALG-055009, ALG-000184 and ALG-125755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spacing w:before="360" w:after="0"/>
        <w:jc w:val="left"/>
        <w:rPr>
          <w:rFonts w:ascii="Times New Roman" w:hAnsi="Times New Roman"/>
          <w:sz w:val="20"/>
        </w:rPr>
      </w:pPr>
      <w:r>
        <w:rPr>
          <w:rFonts w:ascii="Times New Roman;serif" w:hAnsi="Times New Roman;serif"/>
          <w:b/>
          <w:i/>
          <w:sz w:val="20"/>
        </w:rPr>
        <w:t>Risks associated with our international operations, including seeking and obtaining approval to commercialize our drug candidates in foreign jurisdictions, could harm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different regulatory requirements for approval of drug candidates in foreign countries, including challenging processes for marketing biopharmaceutical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reduced protection for and enforcement of intellectual property rights;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heightened or different data privacy and information security laws, regulations and policies;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unexpected changes in tariffs, trade barriers and regulatory requirements;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economic weakness, including inflation or political instability in particular foreign economies and markets;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compliance with tax, employment, immigration and labor laws for employees living or traveling abroad;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foreign currency fluctuations, which could result in increased operating expenses and reduced revenue, and other obligations incident to doing business in another country;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foreign reimbursement, pricing and insurance regimes;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workforce uncertainty in countries where labor unrest is more common than in the United States;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production shortages resulting from any events affecting raw material supply or manufacturing capabilities;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and terrorism, or natural disasters including earthquakes, typhoons, floods and fires;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disruptions resulting from the impact of public health pandemics or epidemics (including, for example, the ongoing COVID-19 pandemic). </w:t>
      </w:r>
    </w:p>
    <w:p>
      <w:pPr>
        <w:pStyle w:val="TextBody"/>
        <w:spacing w:before="240" w:after="0"/>
        <w:jc w:val="left"/>
        <w:rPr>
          <w:rFonts w:ascii="Times New Roman" w:hAnsi="Times New Roman"/>
          <w:sz w:val="20"/>
        </w:rPr>
      </w:pPr>
      <w:r>
        <w:rPr>
          <w:rFonts w:ascii="Times New Roman;serif" w:hAnsi="Times New Roman;serif"/>
          <w:b w:val="false"/>
          <w:sz w:val="20"/>
        </w:rPr>
        <w:t>In addition, there are complex regulatory, tax, labor and other legal requirements imposed by many of the individual countries in which we may operate, with which we will need to comply.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Relatedly,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the market opportunities for our drug candidates are smaller than we believe or any approval we obtain is based on a narrower definition of the patient population, our business may suffer.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intend to develop our current drug candidates, and expect to develop other future drug candidates, in combination with other therapies, which exposes us to additional risks.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pStyle w:val="TextBody"/>
        <w:spacing w:before="240" w:after="0"/>
        <w:jc w:val="left"/>
        <w:rPr>
          <w:rFonts w:ascii="Times New Roman" w:hAnsi="Times New Roman"/>
          <w:sz w:val="20"/>
        </w:rPr>
      </w:pPr>
      <w:r>
        <w:rPr>
          <w:rFonts w:ascii="Times New Roman;serif" w:hAnsi="Times New Roman;serif"/>
          <w:b w:val="false"/>
          <w:sz w:val="20"/>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Smaller and other early stage companies may also prove to be significant competitors. In addition, academic research departments and public and private research institutions may be conducting research on compounds that could prove to be competitive.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noBreakHyphen/>
        <w:t>055009, ALG-000184, and ALG</w:t>
        <w:noBreakHyphen/>
        <w:t>125755.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priority review does not guarantee approval of the NDA and may not result in a shorter overall review timeline if the FDA has significant questions or additional requests as part of the NDA review.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seek Orphan Drug Designation for drug candidates we develop,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may be required to make significant payments under our license agreements with Emory University, KU Leuven, and Luxna Biotech Co., Ltd.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entered into a License Agreement with Emory in June 2018 (the Emory License Agreement), a Research, Licensing and Commercialization Agreement (KU Leuven Agreement) with KU Leuven in June 2020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2022, previously filed with the Securities and Exchange Commission.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product liability lawsuits are brought against us, we may incur substantial liabilities and may be required to limit commercialization of any approved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decreased demand for any approved product;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injury to our reputation;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withdrawal of clinical trial participants;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initiation of investigations by regulators;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to defend the related litigation;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diversion of management’s time and our resources;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payments to trial participants or patients;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product recalls, withdrawals or labeling, marketing or promotional restrictions;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loss of revenue;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exhaustion of any available insurance and our capital resources;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adverse effects to our results of operations and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inability to commercialize any drug candidate;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 decline in our share price. </w:t>
      </w:r>
    </w:p>
    <w:p>
      <w:pPr>
        <w:pStyle w:val="TextBody"/>
        <w:spacing w:before="240" w:after="0"/>
        <w:jc w:val="left"/>
        <w:rPr>
          <w:rFonts w:ascii="Times New Roman" w:hAnsi="Times New Roman"/>
          <w:sz w:val="20"/>
        </w:rPr>
      </w:pPr>
      <w:r>
        <w:rPr>
          <w:rFonts w:ascii="Times New Roman;serif" w:hAnsi="Times New Roman;serif"/>
          <w:b w:val="false"/>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Healthcare legislative reform measures may have a material adverse effect on our business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currently set at 100% of a drug's average manufacturer price, beginning January 1, 2024.</w:t>
      </w:r>
    </w:p>
    <w:p>
      <w:pPr>
        <w:pStyle w:val="TextBody"/>
        <w:spacing w:before="120" w:after="0"/>
        <w:jc w:val="left"/>
        <w:rPr>
          <w:rFonts w:ascii="Times New Roman" w:hAnsi="Times New Roman"/>
          <w:sz w:val="20"/>
        </w:rPr>
      </w:pPr>
      <w:r>
        <w:rPr>
          <w:rFonts w:ascii="Times New Roman;serif" w:hAnsi="Times New Roman;serif"/>
          <w:b w:val="false"/>
          <w:sz w:val="20"/>
        </w:rPr>
        <w:t>Moreover, payment methodologies may be subject to changes in healthcare legislation and regulatory initiatives.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pStyle w:val="TextBody"/>
        <w:spacing w:before="120" w:after="0"/>
        <w:jc w:val="left"/>
        <w:rPr>
          <w:rFonts w:ascii="Times New Roman" w:hAnsi="Times New Roman"/>
          <w:sz w:val="20"/>
        </w:rPr>
      </w:pPr>
      <w:r>
        <w:rPr>
          <w:rFonts w:ascii="Times New Roman;serif" w:hAnsi="Times New Roman;serif"/>
          <w:b w:val="false"/>
          <w:sz w:val="20"/>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which significantly amends the CCPA,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spacing w:before="120" w:after="0"/>
        <w:jc w:val="left"/>
        <w:rPr>
          <w:rFonts w:ascii="Times New Roman" w:hAnsi="Times New Roman"/>
          <w:sz w:val="20"/>
        </w:rPr>
      </w:pPr>
      <w:r>
        <w:rPr>
          <w:rFonts w:ascii="Times New Roman;serif" w:hAnsi="Times New Roman;serif"/>
          <w:b w:val="false"/>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Our business and operations may suffer in the event that our information technology systems, or those used by our CROs or other contractors or consultants, fail or suffer security breaches.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Despite the implementation of security measures, our information technology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 Further, our insurance coverage may not be sufficient to cover the financial, legal, business or reputational losses that may result from an interruption or breach of our systems.</w:t>
      </w:r>
    </w:p>
    <w:p>
      <w:pPr>
        <w:pStyle w:val="TextBody"/>
        <w:spacing w:before="360" w:after="0"/>
        <w:jc w:val="left"/>
        <w:rPr>
          <w:rFonts w:ascii="Times New Roman" w:hAnsi="Times New Roman"/>
          <w:sz w:val="20"/>
        </w:rPr>
      </w:pPr>
      <w:bookmarkStart w:id="17" w:name="risks_related_to_reliance_on_third_parti"/>
      <w:bookmarkEnd w:id="17"/>
      <w:r>
        <w:rPr>
          <w:rFonts w:ascii="Times New Roman;serif" w:hAnsi="Times New Roman;serif"/>
          <w:b/>
          <w:sz w:val="20"/>
        </w:rPr>
        <w:t>Risks related to reliance on third parties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currently collaborating with third parties to develop certain of our potential drug candidates. For example, we are collaborating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Collaborations involving our current and future drug candidates may pose the following risks to us: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have significant discretion in determining the efforts and resources that they will apply to these collaborations;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that compete directly or indirectly with our products (if any) or drug candidates;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with respect to ownership of any intellectual property developed pursuant to our collaborations;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spacing w:before="240" w:after="0"/>
        <w:jc w:val="left"/>
        <w:rPr>
          <w:rFonts w:ascii="Times New Roman" w:hAnsi="Times New Roman"/>
          <w:sz w:val="20"/>
        </w:rPr>
      </w:pPr>
      <w:r>
        <w:rPr>
          <w:rFonts w:ascii="Times New Roman;serif" w:hAnsi="Times New Roman;serif"/>
          <w:b w:val="false"/>
          <w:sz w:val="20"/>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seek to establish additional collaborations, and, if we are not able to establish them on commercially reasonable terms, we may have to alter our development and commercialization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also be restricted under future collaboration agreements from entering into additional agreements on certain terms with potential collaborators.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conflicts arise between us and our collaborators or strategic partners, these parties may act in a manner adverse to us and could limit our ability to implement our strategies.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noBreakHyphen/>
        <w:t>055009, ALG</w:t>
        <w:noBreakHyphen/>
        <w:t>000184, and ALG</w:t>
        <w:noBreakHyphen/>
        <w:t>125755,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have staffing difficulties;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fail to comply with contractual obligations;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experience regulatory compliance issues;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undergo changes in priorities;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become financially distressed;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form relationships with other entities, some of which may be our competitors. </w:t>
      </w:r>
    </w:p>
    <w:p>
      <w:pPr>
        <w:pStyle w:val="TextBody"/>
        <w:spacing w:before="240" w:after="0"/>
        <w:jc w:val="left"/>
        <w:rPr>
          <w:rFonts w:ascii="Times New Roman" w:hAnsi="Times New Roman"/>
          <w:sz w:val="20"/>
        </w:rPr>
      </w:pPr>
      <w:r>
        <w:rPr>
          <w:rFonts w:ascii="Times New Roman;serif" w:hAnsi="Times New Roman;serif"/>
          <w:b w:val="false"/>
          <w:sz w:val="20"/>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spacing w:before="240" w:after="0"/>
        <w:jc w:val="left"/>
        <w:rPr>
          <w:rFonts w:ascii="Times New Roman" w:hAnsi="Times New Roman"/>
          <w:sz w:val="20"/>
        </w:rPr>
      </w:pPr>
      <w:r>
        <w:rPr>
          <w:rFonts w:ascii="Times New Roman;serif" w:hAnsi="Times New Roman;serif"/>
          <w:b w:val="false"/>
          <w:sz w:val="20"/>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reliance on the third party for regulatory compliance and quality assurance;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of the manufacturing agreement by the third party;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possible misappropriation of our proprietary information, including our trade secrets and know-how;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possible termination or non-renewal of the agreement by the third party at a time that is costly or inconvenient for us. </w:t>
      </w:r>
    </w:p>
    <w:p>
      <w:pPr>
        <w:pStyle w:val="TextBody"/>
        <w:spacing w:before="240" w:after="0"/>
        <w:jc w:val="left"/>
        <w:rPr>
          <w:rFonts w:ascii="Times New Roman" w:hAnsi="Times New Roman"/>
          <w:sz w:val="20"/>
        </w:rPr>
      </w:pPr>
      <w:r>
        <w:rPr>
          <w:rFonts w:ascii="Times New Roman;serif" w:hAnsi="Times New Roman;serif"/>
          <w:b w:val="false"/>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federal consumer protection and unfair competition laws, which broadly regulate marketplace activities and activities that potentially harm consumers;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spacing w:before="240" w:after="0"/>
        <w:jc w:val="left"/>
        <w:rPr>
          <w:rFonts w:ascii="Times New Roman" w:hAnsi="Times New Roman"/>
          <w:sz w:val="20"/>
        </w:rPr>
      </w:pPr>
      <w:r>
        <w:rPr>
          <w:rFonts w:ascii="Times New Roman;serif" w:hAnsi="Times New Roman;serif"/>
          <w:b w:val="false"/>
          <w:sz w:val="20"/>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r>
        <w:rPr>
          <w:rFonts w:ascii="Times New Roman" w:hAnsi="Times New Roman"/>
          <w:sz w:val="20"/>
        </w:rPr>
        <w:t xml:space="preserve"> </w:t>
      </w:r>
    </w:p>
    <w:p>
      <w:pPr>
        <w:pStyle w:val="TextBody"/>
        <w:spacing w:before="360" w:after="0"/>
        <w:jc w:val="left"/>
        <w:rPr>
          <w:rFonts w:ascii="Times New Roman" w:hAnsi="Times New Roman"/>
          <w:sz w:val="20"/>
        </w:rPr>
      </w:pPr>
      <w:bookmarkStart w:id="18" w:name="risks_related_to_intellectual_property"/>
      <w:bookmarkEnd w:id="18"/>
      <w:r>
        <w:rPr>
          <w:rFonts w:ascii="Times New Roman;serif" w:hAnsi="Times New Roman;serif"/>
          <w:b/>
          <w:sz w:val="20"/>
        </w:rPr>
        <w:t>Risks related to 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noBreakHyphen/>
        <w:t>125755 or ALG-097558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interpretation-related issues;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whether and the extent to which technology and processes of one party infringe intellectual property of the other party that are not subject to the licensing agreement;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rights to sublicense patent and other rights to third parties;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ownership of inventions and know-how resulting from the joint creation or use of intellectual property;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rights to transfer or assign the license;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effects of termination. </w:t>
      </w:r>
    </w:p>
    <w:p>
      <w:pPr>
        <w:pStyle w:val="TextBody"/>
        <w:spacing w:before="240" w:after="0"/>
        <w:jc w:val="left"/>
        <w:rPr>
          <w:rFonts w:ascii="Times New Roman" w:hAnsi="Times New Roman"/>
          <w:sz w:val="20"/>
        </w:rPr>
      </w:pPr>
      <w:r>
        <w:rPr>
          <w:rFonts w:ascii="Times New Roman;serif" w:hAnsi="Times New Roman;serif"/>
          <w:b w:val="false"/>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2022, previously filed with the SEC.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If we are unable to obtain licenses from third parties on commercially reasonable terms or at all, our business could be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2022, previously filed with the SEC. Any of the foregoing could harm our competitive position,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aware of certain third-party issued patents and pending patent applications, including those of our competitors, that, if issued with their current claim scope, may be construed to cover our drug candidates, including ALG</w:t>
        <w:noBreakHyphen/>
        <w:t>055009 and ALG</w:t>
        <w:noBreakHyphen/>
        <w:t>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Patent terms may be inadequate to establish our competitive position on our drug candidates for an adequate amount of time.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will likely occur in the first half of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spacing w:before="360" w:after="0"/>
        <w:jc w:val="left"/>
        <w:rPr>
          <w:rFonts w:ascii="Times New Roman" w:hAnsi="Times New Roman"/>
          <w:sz w:val="20"/>
        </w:rPr>
      </w:pPr>
      <w:r>
        <w:rPr>
          <w:rFonts w:ascii="Times New Roman;serif" w:hAnsi="Times New Roman;serif"/>
          <w:b/>
          <w:i/>
          <w:sz w:val="20"/>
        </w:rPr>
        <w:t>Changes in patent law could diminish the value of patents in general, thereby impairing our ability to protect our drug candidates.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be subject to claims challenging the inventorship of our patents and other 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Intellectual property rights do not necessarily address all potential threats.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degree of future protection, if any,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file patent applications covering certain of our or their inventions;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or duplicate any of our technologies without infringing our owned or licensed intellectual property rights;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it is possible that our pending owned or licensed patent applications or those that we may own or license in the future will not lead to issued patents;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hold rights to may be held invalid or unenforceable, including as a result of legal challenges by our competitors;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not develop additional proprietary technologies that are patentable;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intellectual property rights of others may harm our business;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may choose not to file a patent in order to maintain certain trade secrets or know-how, and a third party may subsequently file a patent directed to such intellectual property. </w:t>
      </w:r>
    </w:p>
    <w:p>
      <w:pPr>
        <w:pStyle w:val="TextBody"/>
        <w:spacing w:before="240" w:after="0"/>
        <w:jc w:val="left"/>
        <w:rPr>
          <w:rFonts w:ascii="Times New Roman" w:hAnsi="Times New Roman"/>
          <w:sz w:val="20"/>
        </w:rPr>
      </w:pPr>
      <w:r>
        <w:rPr>
          <w:rFonts w:ascii="Times New Roman;serif" w:hAnsi="Times New Roman;serif"/>
          <w:b w:val="false"/>
          <w:sz w:val="20"/>
        </w:rPr>
        <w:t>Should any of these events occur, they could harm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Risks related to employee matters, managing our growth and other risks related to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will need to grow the size of our organization, and we may experience difficulties in managing this growth.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69 full-time employees, including 53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identifying, recruiting, integrating, maintaining and motivating additional employees;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expanding and enhancing our operational, financial and management controls, reporting systems and procedures. </w:t>
      </w:r>
    </w:p>
    <w:p>
      <w:pPr>
        <w:pStyle w:val="TextBody"/>
        <w:spacing w:before="240" w:after="0"/>
        <w:jc w:val="left"/>
        <w:rPr>
          <w:rFonts w:ascii="Times New Roman" w:hAnsi="Times New Roman"/>
          <w:sz w:val="20"/>
        </w:rPr>
      </w:pPr>
      <w:r>
        <w:rPr>
          <w:rFonts w:ascii="Times New Roman;serif" w:hAnsi="Times New Roman;serif"/>
          <w:b w:val="false"/>
          <w:sz w:val="20"/>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Risks related to our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The price of our common stock may be volatile and fluctuate substantially, which could result in substantial losses for investors.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success of our and competitive products or technologies;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results of clinical trials and nonclinical studies or those of our competitors;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regulatory or legal developments in the United States and other countries;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patent applications, issued patents or other proprietary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recruitment or departure of key personnel;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level of expenses related to our drug candidates or clinical development programs;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results of our efforts to discover, develop, acquire or in-license drug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estimates as to financial results, development timelines or recommendations by securities analysts;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variations in our financial results or those of companies that are perceived to be similar to us;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healthcare payment systems;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market conditions in the pharmaceutical and biotechnology sectors;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general economic, political, and market conditions and overall fluctuations in the financial markets in the United States and abroad;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COVID-19 pandemic;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investors’ general perception of us and our business.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An active trading market for our common stock may not be sustained.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 inactive market may also impair our ability to raise capital by selling shares and may impair our ability to acquire other drug candidates, businesses, or technologies using our shares as consideration.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do not intend to pay dividends on our common stock so any returns will be limited to the value of our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our executive officers, directors and their affiliates beneficially own, in the aggregate, approximately 52.2%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delaying, deferring or preventing a change of control of us;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impeding a merger, consolidation, takeover or other business combination involving us;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discouraging a potential acquirer from making a tender offer or otherwise attempting to obtain control of us. </w:t>
      </w:r>
    </w:p>
    <w:p>
      <w:pPr>
        <w:pStyle w:val="TextBody"/>
        <w:spacing w:before="360" w:after="0"/>
        <w:jc w:val="left"/>
        <w:rPr>
          <w:rFonts w:ascii="Times New Roman" w:hAnsi="Times New Roman"/>
          <w:sz w:val="20"/>
        </w:rPr>
      </w:pPr>
      <w:r>
        <w:rPr>
          <w:rFonts w:ascii="Times New Roman;serif" w:hAnsi="Times New Roman;serif"/>
          <w:b/>
          <w:i/>
          <w:sz w:val="20"/>
        </w:rPr>
        <w:t>The dual class structure of our common stock may limit the ability to influence corporate matters and may limit the visibility with respect to certain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March 31, 2023,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Sales of a substantial number of shares of our common stock in the public market could cause our stock price to fall.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If our existing stockholders sell, or indicate an intention to sell, substantial amounts of our common stock in the public market, the market price of our common stock could decline.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approximately 12.5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the holders of approximately 42.9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ability to utilize our net operating loss carryforwards and certain other tax attributes may be limited.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2021 and determined there was an ownership change that resulted in Section 382 limitations. The ownership change limited our ability to utilize NOLs against future taxable income but will not result in the expiration of any NOLs. We may have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securities 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Pursuant to Section 404 of Sarbanes-Oxley, our management is required to report upon the effectiveness of our internal control over financial reporting for our fiscal year ended December 31, 2022.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Provisions in our charter documents and under Delaware law could discourage a takeover that stockholders may consider favorable and may lead to entrenchment of management.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classified board of directors with three-year staggered terms, which may delay the ability of stockholders to change the membership of a majority of our board of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no cumulative voting in the election of directors, which limits the ability of minority stockholders to elect director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ability of our board of directors to alter our amended and restated bylaws without obtaining stockholder approval;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prohibition on stockholder action by written consent, which forces stockholder action to be taken at an annual or special meeting of our stockholders;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spacing w:before="240" w:after="0"/>
        <w:jc w:val="left"/>
        <w:rPr>
          <w:rFonts w:ascii="Times New Roman" w:hAnsi="Times New Roman"/>
          <w:sz w:val="20"/>
        </w:rPr>
      </w:pPr>
      <w:r>
        <w:rPr>
          <w:rFonts w:ascii="Times New Roman;serif" w:hAnsi="Times New Roman;serif"/>
          <w:b w:val="false"/>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Claims for indemnification by our directors 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in our discretion, indemnify employees and agents in those circumstances where indemnification is permitted by applicable law;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may not retroactively amend our amended and restated bylaw provisions to reduce our indemnification obligations to directors, officers, employees and agents. </w:t>
      </w:r>
    </w:p>
    <w:p>
      <w:pPr>
        <w:pStyle w:val="TextBody"/>
        <w:spacing w:before="360" w:after="0"/>
        <w:jc w:val="left"/>
        <w:rPr>
          <w:rFonts w:ascii="Times New Roman" w:hAnsi="Times New Roman"/>
          <w:sz w:val="20"/>
        </w:rPr>
      </w:pPr>
      <w:r>
        <w:rPr>
          <w:rFonts w:ascii="Times New Roman;serif" w:hAnsi="Times New Roman;serif"/>
          <w:b/>
          <w:i/>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General risk factors</w:t>
      </w:r>
    </w:p>
    <w:p>
      <w:pPr>
        <w:pStyle w:val="TextBody"/>
        <w:spacing w:before="12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technologies.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Unfavorable global economic conditions could adversely affect our business, financial condition, stock price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results of operations could be adversely affected by general conditions in the global economy and in the global financial markets, including due to the current inflationary economic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spacing w:before="120" w:after="0"/>
        <w:jc w:val="left"/>
        <w:rPr>
          <w:rFonts w:ascii="Times New Roman" w:hAnsi="Times New Roman"/>
          <w:sz w:val="20"/>
        </w:rPr>
      </w:pPr>
      <w:r>
        <w:rPr>
          <w:rFonts w:ascii="Times New Roman;serif" w:hAnsi="Times New Roman;serif"/>
          <w:b w:val="false"/>
          <w:sz w:val="20"/>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market conditions could adversely impact our business. Furthermore, our stock price may decline due in part to the volatility of the stock market and any general economic downturn.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Our insurance policies are expensive and protect us only from some business risks, which leaves us exposed to significant uninsured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The continuing impact of "Brexit" may have a negative effect on our business.</w:t>
      </w:r>
    </w:p>
    <w:p>
      <w:pPr>
        <w:pStyle w:val="TextBody"/>
        <w:spacing w:before="240" w:after="0"/>
        <w:jc w:val="left"/>
        <w:rPr>
          <w:rFonts w:ascii="Times New Roman" w:hAnsi="Times New Roman"/>
          <w:sz w:val="20"/>
        </w:rPr>
      </w:pPr>
      <w:r>
        <w:rPr>
          <w:rFonts w:ascii="Times New Roman;serif" w:hAnsi="Times New Roman;serif"/>
          <w:b w:val="false"/>
          <w:sz w:val="20"/>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pStyle w:val="TextBody"/>
        <w:spacing w:before="360" w:after="0"/>
        <w:jc w:val="left"/>
        <w:rPr>
          <w:rFonts w:ascii="Times New Roman" w:hAnsi="Times New Roman"/>
          <w:sz w:val="20"/>
        </w:rPr>
      </w:pPr>
      <w:r>
        <w:rPr>
          <w:rFonts w:ascii="Times New Roman;serif" w:hAnsi="Times New Roman;serif"/>
          <w:b/>
          <w:i/>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candidates, our competitors might be able to enter the market with similar or identical products or technology, which would harm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Intellectual property litigation could cause us to spend substantial resources and distract our personnel from their normal responsibilities.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consider strategic transactions, such as acquisitions of companies, asset purchases and out-licensing or in-licensing of intellectual property, products or technologies.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Public health pandemics or epidemics, political instability, terrorist attacks, other acts of violence or war, or other unexpected events could materially and adversely impact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Current or future litigation or administrative proceedings could have a material adverse effect on our business, our financial condition and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incur significantly increased costs as a result of operating as a public company, and our management is required to devote substantial time to new compliance initiatives and corporate governance practices.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additional costs we may incur to respond to these requirements. The impact of these requirements could also make it more difficult for us to attract and retain qualified persons to serve on our board of directors, our board committees or as executive officers.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may experience fluctuations in our tax obligations and effective tax rate, which could materially and adversely affect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we sell shares of our common stock in future financings, stockholders may experience immediate dilution and, as a result, our stock price may decline.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left"/>
        <w:rPr>
          <w:rFonts w:ascii="Times New Roman" w:hAnsi="Times New Roman"/>
          <w:sz w:val="20"/>
        </w:rPr>
      </w:pPr>
      <w:bookmarkStart w:id="19" w:name="item_2_unregistered_sales_equity_securit"/>
      <w:bookmarkEnd w:id="19"/>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Unregistered sales of equity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Use of proceeds from our IPO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us at the IPO price, resulting in an additional $16.0 million in net proceeds after deducting the underwriting discounts and commissions. J.P. Morgan Securities LLC, Jefferies LLC, Piper Sandler &amp; Co. acted as joint book-running managers for the offering.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There has been no material change in the planned use of proceeds from the IPO from that described in the prospectus filed with the SEC pursuant to Rule 424(b)(4) under the Securities Act on October 19, 2020.</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Issuer purchasers of equity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240" w:after="0"/>
        <w:jc w:val="left"/>
        <w:rPr>
          <w:rFonts w:ascii="Times New Roman" w:hAnsi="Times New Roman"/>
          <w:sz w:val="20"/>
        </w:rPr>
      </w:pPr>
      <w:bookmarkStart w:id="20" w:name="item_3_defaults_upon_senior_securities"/>
      <w:bookmarkEnd w:id="20"/>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left"/>
        <w:rPr>
          <w:rFonts w:ascii="Times New Roman" w:hAnsi="Times New Roman"/>
          <w:sz w:val="20"/>
        </w:rPr>
      </w:pPr>
      <w:bookmarkStart w:id="21" w:name="item_4_mine_safety_disclosures"/>
      <w:bookmarkEnd w:id="21"/>
      <w:r>
        <w:rPr>
          <w:rFonts w:ascii="Times New Roman;serif" w:hAnsi="Times New Roman;serif"/>
          <w:b/>
          <w:sz w:val="20"/>
        </w:rPr>
        <w:t>Item 4. 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 w:hAnsi="Times New Roman"/>
          <w:sz w:val="20"/>
        </w:rPr>
      </w:pPr>
      <w:bookmarkStart w:id="22" w:name="item_5_or_information"/>
      <w:bookmarkEnd w:id="22"/>
      <w:r>
        <w:rPr>
          <w:rFonts w:ascii="Times New Roman;serif" w:hAnsi="Times New Roman;serif"/>
          <w:b/>
          <w:sz w:val="20"/>
        </w:rPr>
        <w:t>Item 5. Other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information set forth below is included herein for the purpose of providing the disclosure required under “Item 5.02 - Departure of Directors or Certain Officers; Election of Directors; Appointment of Certain Officers; Compensatory Arrangements of Certain Officers” of Form 8-K.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April 28, 2023, Thomas Woiwode, Ph.D., resigned from our board of directors and all committees of our board of directors, effective as of July 20,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23" w:name="exhibits"/>
      <w:bookmarkEnd w:id="23"/>
      <w:r>
        <w:rPr>
          <w:rFonts w:ascii="Times New Roman;serif" w:hAnsi="Times New Roman;serif"/>
          <w:b/>
          <w:sz w:val="20"/>
        </w:rPr>
        <w:t>Item 6. Exhibits.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50"/>
        <w:gridCol w:w="146"/>
        <w:gridCol w:w="5430"/>
        <w:gridCol w:w="146"/>
        <w:gridCol w:w="351"/>
        <w:gridCol w:w="146"/>
        <w:gridCol w:w="670"/>
        <w:gridCol w:w="146"/>
        <w:gridCol w:w="451"/>
        <w:gridCol w:w="146"/>
        <w:gridCol w:w="793"/>
        <w:gridCol w:w="691"/>
        <w:gridCol w:w="146"/>
        <w:gridCol w:w="193"/>
      </w:tblGrid>
      <w:tr>
        <w:trPr/>
        <w:tc>
          <w:tcPr>
            <w:tcW w:w="7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3" w:type="dxa"/>
            <w:tcBorders/>
            <w:shd w:fill="auto" w:val="clear"/>
          </w:tcPr>
          <w:p>
            <w:pPr>
              <w:pStyle w:val="TableContents"/>
              <w:spacing w:before="0" w:after="283"/>
              <w:rPr>
                <w:sz w:val="4"/>
                <w:szCs w:val="4"/>
              </w:rPr>
            </w:pPr>
            <w:r>
              <w:rPr>
                <w:sz w:val="4"/>
                <w:szCs w:val="4"/>
              </w:rPr>
            </w:r>
          </w:p>
        </w:tc>
      </w:tr>
      <w:tr>
        <w:trPr/>
        <w:tc>
          <w:tcPr>
            <w:tcW w:w="750" w:type="dxa"/>
            <w:vMerge w:val="restart"/>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30" w:type="dxa"/>
            <w:vMerge w:val="restart"/>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 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3" w:type="dxa"/>
            <w:vMerge w:val="restart"/>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2"/>
              <w:jc w:val="center"/>
              <w:rPr>
                <w:rFonts w:ascii="Times New Roman;serif" w:hAnsi="Times New Roman;serif"/>
                <w:b/>
                <w:sz w:val="16"/>
              </w:rPr>
            </w:pPr>
            <w:r>
              <w:rPr>
                <w:rFonts w:ascii="Times New Roman;serif" w:hAnsi="Times New Roman;serif"/>
                <w:b/>
                <w:sz w:val="16"/>
              </w:rPr>
              <w:t>Provided</w:t>
            </w:r>
          </w:p>
          <w:p>
            <w:pPr>
              <w:pStyle w:val="TableContents"/>
              <w:spacing w:before="0" w:after="0"/>
              <w:ind w:left="0" w:right="0" w:firstLine="12"/>
              <w:jc w:val="center"/>
              <w:rPr>
                <w:rFonts w:ascii="Times New Roman;serif" w:hAnsi="Times New Roman;serif"/>
                <w:b/>
                <w:sz w:val="16"/>
              </w:rPr>
            </w:pPr>
            <w:r>
              <w:rPr>
                <w:rFonts w:ascii="Times New Roman;serif" w:hAnsi="Times New Roman;serif"/>
                <w:b/>
                <w:sz w:val="16"/>
              </w:rPr>
              <w:t>Herewith</w:t>
            </w:r>
          </w:p>
        </w:tc>
        <w:tc>
          <w:tcPr>
            <w:tcW w:w="69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3" w:type="dxa"/>
            <w:tcBorders/>
            <w:shd w:fill="auto" w:val="clear"/>
          </w:tcPr>
          <w:p>
            <w:pPr>
              <w:pStyle w:val="TableContents"/>
              <w:spacing w:before="0" w:after="283"/>
              <w:rPr>
                <w:sz w:val="4"/>
                <w:szCs w:val="4"/>
              </w:rPr>
            </w:pPr>
            <w:r>
              <w:rPr>
                <w:sz w:val="4"/>
                <w:szCs w:val="4"/>
              </w:rPr>
            </w:r>
          </w:p>
        </w:tc>
      </w:tr>
      <w:tr>
        <w:trPr/>
        <w:tc>
          <w:tcPr>
            <w:tcW w:w="750" w:type="dxa"/>
            <w:vMerge w:val="continue"/>
            <w:tcBorders>
              <w:bottom w:val="single" w:sz="4" w:space="0" w:color="000000"/>
            </w:tcBorders>
            <w:shd w:fill="auto" w:val="clear"/>
            <w:tcMar>
              <w:top w:w="0" w:type="dxa"/>
              <w:left w:w="0" w:type="dxa"/>
              <w:right w:w="0" w:type="dxa"/>
            </w:tcMar>
            <w:vAlign w:val="center"/>
          </w:tcPr>
          <w:p>
            <w:pPr>
              <w:pStyle w:val="Normal"/>
              <w:rPr/>
            </w:pPr>
            <w:r>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0" w:type="dxa"/>
            <w:vMerge w:val="continue"/>
            <w:tcBorders>
              <w:bottom w:val="single" w:sz="4" w:space="0" w:color="000000"/>
            </w:tcBorders>
            <w:shd w:fill="auto" w:val="clear"/>
            <w:tcMar>
              <w:top w:w="0" w:type="dxa"/>
              <w:left w:w="0" w:type="dxa"/>
              <w:right w:w="0" w:type="dxa"/>
            </w:tcMar>
            <w:vAlign w:val="center"/>
          </w:tcPr>
          <w:p>
            <w:pPr>
              <w:pStyle w:val="Normal"/>
              <w:rPr/>
            </w:pPr>
            <w:r>
              <w:rPr/>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3" w:type="dxa"/>
            <w:vMerge w:val="continue"/>
            <w:tcBorders>
              <w:bottom w:val="single" w:sz="4" w:space="0" w:color="000000"/>
            </w:tcBorders>
            <w:shd w:fill="auto" w:val="clear"/>
            <w:tcMar>
              <w:top w:w="0" w:type="dxa"/>
              <w:left w:w="0" w:type="dxa"/>
              <w:right w:w="0" w:type="dxa"/>
            </w:tcMar>
            <w:vAlign w:val="center"/>
          </w:tcPr>
          <w:p>
            <w:pPr>
              <w:pStyle w:val="Normal"/>
              <w:rPr/>
            </w:pPr>
            <w:r>
              <w:rPr/>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firstLine="12"/>
              <w:jc w:val="left"/>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w:t>
              </w:r>
            </w:hyperlink>
            <w:hyperlink r:id="rId3">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10/20/2020</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Amended and Restated Bylaws.</w:t>
              </w:r>
            </w:hyperlink>
            <w:hyperlink r:id="rId5">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10/20/2020</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rFonts w:ascii="Times New Roman;serif" w:hAnsi="Times New Roman;serif"/>
                <w:b w:val="false"/>
                <w:sz w:val="20"/>
              </w:rPr>
              <w:t xml:space="preserve">Reference is made to Exhibits </w:t>
            </w:r>
            <w:hyperlink r:id="rId6">
              <w:r>
                <w:rPr>
                  <w:rStyle w:val="InternetLink"/>
                  <w:rFonts w:ascii="Times New Roman;serif" w:hAnsi="Times New Roman;serif"/>
                  <w:b w:val="false"/>
                  <w:sz w:val="20"/>
                  <w:u w:val="single"/>
                </w:rPr>
                <w:t>3.1</w:t>
              </w:r>
            </w:hyperlink>
            <w:r>
              <w:rPr>
                <w:rFonts w:ascii="Times New Roman" w:hAnsi="Times New Roman"/>
                <w:sz w:val="20"/>
              </w:rPr>
              <w:t> </w:t>
            </w:r>
            <w:r>
              <w:rPr>
                <w:rFonts w:ascii="Times New Roman;serif" w:hAnsi="Times New Roman;serif"/>
                <w:b w:val="false"/>
                <w:sz w:val="20"/>
              </w:rPr>
              <w:t xml:space="preserve">and </w:t>
            </w:r>
            <w:hyperlink r:id="rId7">
              <w:r>
                <w:rPr>
                  <w:rStyle w:val="InternetLink"/>
                  <w:rFonts w:ascii="Times New Roman;serif" w:hAnsi="Times New Roman;serif"/>
                  <w:b w:val="false"/>
                  <w:sz w:val="20"/>
                  <w:u w:val="single"/>
                </w:rPr>
                <w:t>3.2</w:t>
              </w:r>
            </w:hyperlink>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Form of Common Stock Certificate.</w:t>
              </w:r>
            </w:hyperlink>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10/9/2020</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w:anchor="algs-ex4_3.htm">
              <w:r>
                <w:rPr>
                  <w:rStyle w:val="InternetLink"/>
                  <w:rFonts w:ascii="Times New Roman;serif" w:hAnsi="Times New Roman;serif"/>
                  <w:b w:val="false"/>
                  <w:sz w:val="20"/>
                  <w:u w:val="single"/>
                </w:rPr>
                <w:t>Non-Employee Director Compensation Policy</w:t>
              </w:r>
            </w:hyperlink>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w:anchor="algs-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w:anchor="algs-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w:anchor="algs-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hyperlink w:anchor="algs-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54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Company’s Quarterly Report on Form 10-Q for the quarter ended March 31, 2023 has been formatted in Inline XBRL.</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30" w:type="dxa"/>
            <w:gridSpan w:val="3"/>
            <w:tcBorders/>
            <w:shd w:fill="auto" w:val="clear"/>
          </w:tcPr>
          <w:p>
            <w:pPr>
              <w:pStyle w:val="TableContents"/>
              <w:spacing w:before="0" w:after="283"/>
              <w:rPr>
                <w:sz w:val="4"/>
                <w:szCs w:val="4"/>
              </w:rPr>
            </w:pPr>
            <w:r>
              <w:rPr>
                <w:sz w:val="4"/>
                <w:szCs w:val="4"/>
              </w:rPr>
            </w:r>
          </w:p>
        </w:tc>
      </w:tr>
      <w:tr>
        <w:trPr/>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0" w:type="dxa"/>
            <w:gridSpan w:val="3"/>
            <w:tcBorders/>
            <w:shd w:fill="auto" w:val="clear"/>
          </w:tcPr>
          <w:p>
            <w:pPr>
              <w:pStyle w:val="TableContents"/>
              <w:spacing w:before="0" w:after="283"/>
              <w:rPr>
                <w:sz w:val="4"/>
                <w:szCs w:val="4"/>
              </w:rPr>
            </w:pPr>
            <w:r>
              <w:rPr>
                <w:sz w:val="4"/>
                <w:szCs w:val="4"/>
              </w:rPr>
            </w:r>
          </w:p>
        </w:tc>
      </w:tr>
    </w:tbl>
    <w:p>
      <w:pPr>
        <w:pStyle w:val="TextBody"/>
        <w:pBdr>
          <w:bottom w:val="single" w:sz="6" w:space="1" w:color="000000"/>
        </w:pBdr>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4" w:name="signatures"/>
      <w:bookmarkEnd w:id="24"/>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spacing w:before="0" w:after="0"/>
        <w:jc w:val="left"/>
        <w:rPr/>
      </w:pPr>
      <w:r>
        <w:rPr/>
        <w:t> </w:t>
      </w:r>
    </w:p>
    <w:tbl>
      <w:tblPr>
        <w:tblW w:w="5557" w:type="dxa"/>
        <w:jc w:val="left"/>
        <w:tblInd w:w="0" w:type="dxa"/>
        <w:tblCellMar>
          <w:top w:w="28" w:type="dxa"/>
          <w:left w:w="28" w:type="dxa"/>
          <w:bottom w:w="28" w:type="dxa"/>
          <w:right w:w="28" w:type="dxa"/>
        </w:tblCellMar>
      </w:tblPr>
      <w:tblGrid>
        <w:gridCol w:w="1636"/>
        <w:gridCol w:w="109"/>
        <w:gridCol w:w="406"/>
        <w:gridCol w:w="340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40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12"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ALIGOS THERAPEUTICS, INC.</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40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0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Lawrence Blatt</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4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Lawrence Blatt</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Chairman and Chief Executive Officer</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40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0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Lesley Ann Calhoun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Lesley Ann Calhoun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r>
        <w:br w:type="page"/>
      </w:r>
    </w:p>
    <w:p>
      <w:pPr>
        <w:pStyle w:val="TextBody"/>
        <w:spacing w:before="0" w:after="0"/>
        <w:jc w:val="right"/>
        <w:rPr>
          <w:rFonts w:ascii="Times New Roman;serif" w:hAnsi="Times New Roman;serif"/>
          <w:b/>
          <w:sz w:val="20"/>
        </w:rPr>
      </w:pPr>
      <w:bookmarkStart w:id="25" w:name="algs-ex4_3.htm"/>
      <w:bookmarkStart w:id="26" w:name="ksalgsex4_3"/>
      <w:bookmarkEnd w:id="25"/>
      <w:bookmarkEnd w:id="26"/>
      <w:r>
        <w:rPr>
          <w:rFonts w:ascii="Times New Roman;serif" w:hAnsi="Times New Roman;serif"/>
          <w:b/>
          <w:sz w:val="20"/>
        </w:rPr>
        <w:t>Exhibit 4.3</w:t>
      </w:r>
    </w:p>
    <w:p>
      <w:pPr>
        <w:pStyle w:val="TextBody"/>
        <w:spacing w:before="0" w:after="240"/>
        <w:jc w:val="center"/>
        <w:rPr>
          <w:rFonts w:ascii="Times New Roman;serif" w:hAnsi="Times New Roman;serif"/>
          <w:b/>
          <w:sz w:val="24"/>
        </w:rPr>
      </w:pPr>
      <w:r>
        <w:rPr>
          <w:rFonts w:ascii="Times New Roman;serif" w:hAnsi="Times New Roman;serif"/>
          <w:b/>
          <w:sz w:val="24"/>
        </w:rPr>
        <w:t>ALIGOS THERAPEUTICS, INC.</w:t>
        <w:br/>
        <w:t>NON-EMPLOYEE DIRECTOR COMPENSATION PROGRAM</w:t>
      </w:r>
    </w:p>
    <w:p>
      <w:pPr>
        <w:pStyle w:val="TextBody"/>
        <w:spacing w:before="0" w:after="240"/>
        <w:jc w:val="center"/>
        <w:rPr>
          <w:rFonts w:ascii="Times New Roman;serif" w:hAnsi="Times New Roman;serif"/>
          <w:b/>
          <w:sz w:val="24"/>
        </w:rPr>
      </w:pPr>
      <w:r>
        <w:rPr>
          <w:rFonts w:ascii="Times New Roman;serif" w:hAnsi="Times New Roman;serif"/>
          <w:b/>
          <w:sz w:val="24"/>
        </w:rPr>
        <w:t>(As Amended Effective: April 5, 2023)</w:t>
      </w:r>
    </w:p>
    <w:p>
      <w:pPr>
        <w:pStyle w:val="TextBody"/>
        <w:spacing w:before="0" w:after="240"/>
        <w:jc w:val="both"/>
        <w:rPr>
          <w:rFonts w:ascii="Times New Roman" w:hAnsi="Times New Roman"/>
          <w:sz w:val="20"/>
        </w:rPr>
      </w:pPr>
      <w:r>
        <w:rPr>
          <w:rFonts w:ascii="Times New Roman;serif" w:hAnsi="Times New Roman;serif"/>
          <w:b w:val="false"/>
          <w:sz w:val="24"/>
        </w:rPr>
        <w:t>This Aligos Therapeutics, Inc. (the “</w:t>
      </w:r>
      <w:r>
        <w:rPr>
          <w:rFonts w:ascii="Times New Roman;serif" w:hAnsi="Times New Roman;serif"/>
          <w:b/>
          <w:i/>
          <w:sz w:val="24"/>
        </w:rPr>
        <w:t>Company</w:t>
      </w:r>
      <w:r>
        <w:rPr>
          <w:rFonts w:ascii="Times New Roman" w:hAnsi="Times New Roman"/>
          <w:sz w:val="20"/>
        </w:rPr>
        <w:t>”</w:t>
      </w:r>
      <w:r>
        <w:rPr>
          <w:rFonts w:ascii="Times New Roman;serif" w:hAnsi="Times New Roman;serif"/>
          <w:b w:val="false"/>
          <w:sz w:val="24"/>
        </w:rPr>
        <w:t>) Non-Employee Director Compensation Program (this “</w:t>
      </w:r>
      <w:r>
        <w:rPr>
          <w:rFonts w:ascii="Times New Roman;serif" w:hAnsi="Times New Roman;serif"/>
          <w:b/>
          <w:i/>
          <w:sz w:val="24"/>
        </w:rPr>
        <w:t>Program</w:t>
      </w:r>
      <w:r>
        <w:rPr>
          <w:rFonts w:ascii="Times New Roman" w:hAnsi="Times New Roman"/>
          <w:sz w:val="20"/>
        </w:rPr>
        <w:t>”</w:t>
      </w:r>
      <w:r>
        <w:rPr>
          <w:rFonts w:ascii="Times New Roman;serif" w:hAnsi="Times New Roman;serif"/>
          <w:b w:val="false"/>
          <w:sz w:val="24"/>
        </w:rPr>
        <w:t>) has been adopted under the Company’s 2020 Incentive Award Plan (the “</w:t>
      </w:r>
      <w:r>
        <w:rPr>
          <w:rFonts w:ascii="Times New Roman;serif" w:hAnsi="Times New Roman;serif"/>
          <w:b/>
          <w:i/>
          <w:sz w:val="24"/>
        </w:rPr>
        <w:t>Plan</w:t>
      </w:r>
      <w:r>
        <w:rPr>
          <w:rFonts w:ascii="Times New Roman" w:hAnsi="Times New Roman"/>
          <w:sz w:val="20"/>
        </w:rPr>
        <w:t>”</w:t>
      </w:r>
      <w:r>
        <w:rPr>
          <w:rFonts w:ascii="Times New Roman;serif" w:hAnsi="Times New Roman;serif"/>
          <w:b w:val="false"/>
          <w:sz w:val="24"/>
        </w:rPr>
        <w:t>) and has been amended as of April 5, 2023 (the “</w:t>
      </w:r>
      <w:r>
        <w:rPr>
          <w:rFonts w:ascii="Times New Roman;serif" w:hAnsi="Times New Roman;serif"/>
          <w:b/>
          <w:i/>
          <w:sz w:val="24"/>
        </w:rPr>
        <w:t>Effective Date</w:t>
      </w:r>
      <w:r>
        <w:rPr>
          <w:rFonts w:ascii="Times New Roman" w:hAnsi="Times New Roman"/>
          <w:sz w:val="20"/>
        </w:rPr>
        <w:t>”</w:t>
      </w:r>
      <w:r>
        <w:rPr>
          <w:rFonts w:ascii="Times New Roman;serif" w:hAnsi="Times New Roman;serif"/>
          <w:b w:val="false"/>
          <w:sz w:val="24"/>
        </w:rPr>
        <w:t>). Capitalized terms not otherwise defined herein shall have the meaning ascribed in the Plan.</w:t>
      </w:r>
    </w:p>
    <w:p>
      <w:pPr>
        <w:pStyle w:val="TextBody"/>
        <w:spacing w:before="0" w:after="240"/>
        <w:jc w:val="left"/>
        <w:rPr>
          <w:rFonts w:ascii="Times New Roman;serif" w:hAnsi="Times New Roman;serif"/>
          <w:b/>
          <w:i/>
          <w:sz w:val="24"/>
        </w:rPr>
      </w:pPr>
      <w:r>
        <w:rPr>
          <w:rFonts w:ascii="Times New Roman;serif" w:hAnsi="Times New Roman;serif"/>
          <w:b/>
          <w:i/>
          <w:sz w:val="24"/>
        </w:rPr>
        <w:t>Cash Compensation</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Effective as of the Effective Date, annual retainers will be paid in the following amounts to Non-Employee Directors:</w:t>
      </w:r>
    </w:p>
    <w:tbl>
      <w:tblPr>
        <w:tblW w:w="7982" w:type="dxa"/>
        <w:jc w:val="left"/>
        <w:tblInd w:w="0" w:type="dxa"/>
        <w:tblCellMar>
          <w:top w:w="28" w:type="dxa"/>
          <w:left w:w="28" w:type="dxa"/>
          <w:bottom w:w="28" w:type="dxa"/>
          <w:right w:w="28" w:type="dxa"/>
        </w:tblCellMar>
      </w:tblPr>
      <w:tblGrid>
        <w:gridCol w:w="7051"/>
        <w:gridCol w:w="931"/>
      </w:tblGrid>
      <w:tr>
        <w:trPr/>
        <w:tc>
          <w:tcPr>
            <w:tcW w:w="705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r>
      <w:tr>
        <w:trPr/>
        <w:tc>
          <w:tcPr>
            <w:tcW w:w="7051" w:type="dxa"/>
            <w:tcBorders>
              <w:top w:val="single" w:sz="4" w:space="0" w:color="000000"/>
              <w:left w:val="single" w:sz="4" w:space="0" w:color="000000"/>
              <w:bottom w:val="single" w:sz="4" w:space="0" w:color="000000"/>
              <w:right w:val="single" w:sz="4" w:space="0" w:color="000000"/>
            </w:tcBorders>
            <w:shd w:fill="auto" w:val="clear"/>
            <w:tcMar>
              <w:top w:w="58"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Non-Employee Director:</w:t>
            </w:r>
          </w:p>
        </w:tc>
        <w:tc>
          <w:tcPr>
            <w:tcW w:w="931" w:type="dxa"/>
            <w:tcBorders>
              <w:top w:val="single" w:sz="4" w:space="0" w:color="000000"/>
              <w:bottom w:val="single" w:sz="4" w:space="0" w:color="000000"/>
              <w:right w:val="single" w:sz="4" w:space="0" w:color="000000"/>
            </w:tcBorders>
            <w:shd w:fill="auto" w:val="clear"/>
            <w:tcMar>
              <w:top w:w="58"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$40,000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Non-Executive 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$30,000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Audit Committee 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$20,000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Compensation Committee 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$10,000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Nominating and Corporate Governance Committee 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$8,000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Audit Committee Member (non-Chair):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$7,500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Compensation Committee Member (non-Chair):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$5,000</w:t>
            </w:r>
          </w:p>
        </w:tc>
      </w:tr>
      <w:tr>
        <w:trPr/>
        <w:tc>
          <w:tcPr>
            <w:tcW w:w="7051" w:type="dxa"/>
            <w:tcBorders>
              <w:left w:val="single" w:sz="4" w:space="0" w:color="000000"/>
              <w:bottom w:val="single" w:sz="4" w:space="0" w:color="000000"/>
              <w:right w:val="single" w:sz="4" w:space="0" w:color="000000"/>
            </w:tcBorders>
            <w:shd w:fill="auto" w:val="clear"/>
            <w:tcMar>
              <w:top w:w="0" w:type="dxa"/>
              <w:left w:w="58"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Nominating and Corporate Governance Committee Member (non-Chair):</w:t>
            </w:r>
          </w:p>
        </w:tc>
        <w:tc>
          <w:tcPr>
            <w:tcW w:w="931" w:type="dxa"/>
            <w:tcBorders>
              <w:bottom w:val="single" w:sz="4" w:space="0" w:color="000000"/>
              <w:right w:val="single" w:sz="4" w:space="0" w:color="000000"/>
            </w:tcBorders>
            <w:shd w:fill="auto" w:val="clear"/>
            <w:tcMar>
              <w:top w:w="0" w:type="dxa"/>
              <w:left w:w="0" w:type="dxa"/>
              <w:bottom w:w="58" w:type="dxa"/>
              <w:right w:w="58"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$4,000</w:t>
            </w:r>
          </w:p>
        </w:tc>
      </w:tr>
    </w:tbl>
    <w:p>
      <w:pPr>
        <w:pStyle w:val="TextBody"/>
        <w:spacing w:before="240" w:after="240"/>
        <w:jc w:val="both"/>
        <w:rPr>
          <w:rFonts w:ascii="Times New Roman;serif" w:hAnsi="Times New Roman;serif"/>
          <w:b w:val="false"/>
          <w:sz w:val="24"/>
        </w:rPr>
      </w:pPr>
      <w:r>
        <w:rPr>
          <w:rFonts w:ascii="Times New Roman;serif" w:hAnsi="Times New Roman;serif"/>
          <w:b w:val="false"/>
          <w:sz w:val="24"/>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pStyle w:val="TextBody"/>
        <w:spacing w:before="0" w:after="240"/>
        <w:jc w:val="left"/>
        <w:rPr>
          <w:rFonts w:ascii="Times New Roman;serif" w:hAnsi="Times New Roman;serif"/>
          <w:b/>
          <w:i/>
          <w:sz w:val="24"/>
        </w:rPr>
      </w:pPr>
      <w:r>
        <w:rPr>
          <w:rFonts w:ascii="Times New Roman;serif" w:hAnsi="Times New Roman;serif"/>
          <w:b/>
          <w:i/>
          <w:sz w:val="24"/>
        </w:rPr>
        <w:t>Equity Compensation</w:t>
      </w:r>
    </w:p>
    <w:tbl>
      <w:tblPr>
        <w:tblW w:w="10205" w:type="dxa"/>
        <w:jc w:val="left"/>
        <w:tblInd w:w="0" w:type="dxa"/>
        <w:tblCellMar>
          <w:top w:w="28" w:type="dxa"/>
          <w:left w:w="28" w:type="dxa"/>
          <w:bottom w:w="28" w:type="dxa"/>
          <w:right w:w="28"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4"/>
              </w:rPr>
            </w:pPr>
            <w:r>
              <w:rPr>
                <w:rFonts w:ascii="Times New Roman;serif" w:hAnsi="Times New Roman;serif"/>
                <w:b w:val="false"/>
                <w:sz w:val="24"/>
              </w:rPr>
              <w:t>Initial Stock Option Grant:</w:t>
            </w:r>
          </w:p>
        </w:tc>
        <w:tc>
          <w:tcPr>
            <w:tcW w:w="8940" w:type="dxa"/>
            <w:tcBorders/>
            <w:shd w:fill="auto" w:val="clear"/>
            <w:tcMar>
              <w:top w:w="0" w:type="dxa"/>
              <w:left w:w="0" w:type="dxa"/>
              <w:bottom w:w="0" w:type="dxa"/>
              <w:right w:w="0" w:type="dxa"/>
            </w:tcMar>
            <w:vAlign w:val="center"/>
          </w:tcPr>
          <w:p>
            <w:pPr>
              <w:pStyle w:val="TableContents"/>
              <w:spacing w:before="0" w:after="240"/>
              <w:ind w:left="0" w:right="0" w:hanging="0"/>
              <w:jc w:val="both"/>
              <w:rPr>
                <w:rFonts w:ascii="Times New Roman" w:hAnsi="Times New Roman"/>
                <w:sz w:val="24"/>
              </w:rPr>
            </w:pPr>
            <w:r>
              <w:rPr>
                <w:rFonts w:ascii="Times New Roman;serif" w:hAnsi="Times New Roman;serif"/>
                <w:b w:val="false"/>
                <w:sz w:val="24"/>
              </w:rPr>
              <w:t>Each Non-Employee Director who is initially elected or appointed to serve on the Board after the Effective Date shall be granted an Option under the Plan or any other applicable Company equity incentive plan then-maintained by the Company to purchase 40,000 shares of Common Stock (the “</w:t>
            </w:r>
            <w:r>
              <w:rPr>
                <w:rFonts w:ascii="Times New Roman;serif" w:hAnsi="Times New Roman;serif"/>
                <w:b/>
                <w:i/>
                <w:sz w:val="24"/>
              </w:rPr>
              <w:t>Initial Option</w:t>
            </w:r>
            <w:r>
              <w:rPr>
                <w:rFonts w:ascii="Times New Roman" w:hAnsi="Times New Roman"/>
                <w:sz w:val="24"/>
              </w:rPr>
              <w:t>”</w:t>
            </w:r>
            <w:r>
              <w:rPr>
                <w:rFonts w:ascii="Times New Roman;serif" w:hAnsi="Times New Roman;serif"/>
                <w:b w:val="false"/>
                <w:sz w:val="24"/>
              </w:rPr>
              <w:t>).</w:t>
            </w:r>
          </w:p>
          <w:p>
            <w:pPr>
              <w:pStyle w:val="TableContents"/>
              <w:spacing w:before="0" w:after="0"/>
              <w:ind w:left="0" w:right="0" w:hanging="0"/>
              <w:jc w:val="both"/>
              <w:rPr>
                <w:rFonts w:ascii="Times New Roman" w:hAnsi="Times New Roman"/>
                <w:sz w:val="24"/>
              </w:rPr>
            </w:pPr>
            <w:r>
              <w:rPr>
                <w:rFonts w:ascii="Times New Roman;serif" w:hAnsi="Times New Roman;serif"/>
                <w:b w:val="false"/>
                <w:sz w:val="24"/>
              </w:rPr>
              <w:t>The Initial Option will be automatically granted on the date on which such Non-Employee Director commences service on the Board, and will vest as to 1/36th of the shares subject thereto on each monthly anniversary of the applicable date of grant such</w:t>
            </w:r>
            <w:r>
              <w:rPr>
                <w:rFonts w:ascii="Times New Roman" w:hAnsi="Times New Roman"/>
                <w:sz w:val="24"/>
              </w:rPr>
              <w:t xml:space="preserve">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64"/>
        <w:gridCol w:w="9041"/>
      </w:tblGrid>
      <w:tr>
        <w:trPr/>
        <w:tc>
          <w:tcPr>
            <w:tcW w:w="1164" w:type="dxa"/>
            <w:tcBorders/>
            <w:shd w:fill="auto" w:val="clear"/>
            <w:vAlign w:val="center"/>
          </w:tcPr>
          <w:p>
            <w:pPr>
              <w:pStyle w:val="TableContents"/>
              <w:spacing w:before="0" w:after="283"/>
              <w:rPr>
                <w:sz w:val="4"/>
                <w:szCs w:val="4"/>
              </w:rPr>
            </w:pPr>
            <w:r>
              <w:rPr>
                <w:sz w:val="4"/>
                <w:szCs w:val="4"/>
              </w:rPr>
            </w:r>
          </w:p>
        </w:tc>
        <w:tc>
          <w:tcPr>
            <w:tcW w:w="9041" w:type="dxa"/>
            <w:tcBorders/>
            <w:shd w:fill="auto" w:val="clear"/>
            <w:vAlign w:val="center"/>
          </w:tcPr>
          <w:p>
            <w:pPr>
              <w:pStyle w:val="TableContents"/>
              <w:spacing w:before="0" w:after="283"/>
              <w:rPr>
                <w:sz w:val="4"/>
                <w:szCs w:val="4"/>
              </w:rPr>
            </w:pPr>
            <w:r>
              <w:rPr>
                <w:sz w:val="4"/>
                <w:szCs w:val="4"/>
              </w:rPr>
            </w:r>
          </w:p>
        </w:tc>
      </w:tr>
      <w:tr>
        <w:trPr/>
        <w:tc>
          <w:tcPr>
            <w:tcW w:w="116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041" w:type="dxa"/>
            <w:tcBorders/>
            <w:shd w:fill="auto" w:val="clear"/>
            <w:tcMar>
              <w:top w:w="0" w:type="dxa"/>
              <w:left w:w="0" w:type="dxa"/>
              <w:bottom w:w="0" w:type="dxa"/>
              <w:right w:w="0" w:type="dxa"/>
            </w:tcMar>
            <w:vAlign w:val="center"/>
          </w:tcPr>
          <w:p>
            <w:pPr>
              <w:pStyle w:val="TableContents"/>
              <w:spacing w:before="0" w:after="240"/>
              <w:ind w:left="0" w:right="0" w:hanging="0"/>
              <w:jc w:val="both"/>
              <w:rPr>
                <w:rFonts w:ascii="Times New Roman;serif" w:hAnsi="Times New Roman;serif"/>
                <w:b w:val="false"/>
                <w:sz w:val="24"/>
              </w:rPr>
            </w:pPr>
            <w:r>
              <w:rPr>
                <w:rFonts w:ascii="Times New Roman;serif" w:hAnsi="Times New Roman;serif"/>
                <w:b w:val="false"/>
                <w:sz w:val="24"/>
              </w:rPr>
              <w:t>that the shares subject to the Initial Option are fully vested on the third anniversary of the grant, in each case, subject to the Non-Employee Director continuing to provide services to the Company through the applicable vesting date.</w:t>
            </w:r>
          </w:p>
        </w:tc>
      </w:tr>
      <w:tr>
        <w:trPr/>
        <w:tc>
          <w:tcPr>
            <w:tcW w:w="1164"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4"/>
              </w:rPr>
            </w:pPr>
            <w:r>
              <w:rPr>
                <w:rFonts w:ascii="Times New Roman;serif" w:hAnsi="Times New Roman;serif"/>
                <w:b w:val="false"/>
                <w:sz w:val="24"/>
              </w:rPr>
              <w:t>Annual Stock Option Grant:</w:t>
            </w:r>
          </w:p>
        </w:tc>
        <w:tc>
          <w:tcPr>
            <w:tcW w:w="9041" w:type="dxa"/>
            <w:tcBorders/>
            <w:shd w:fill="auto" w:val="clear"/>
            <w:tcMar>
              <w:top w:w="0" w:type="dxa"/>
              <w:left w:w="0" w:type="dxa"/>
              <w:bottom w:w="0" w:type="dxa"/>
              <w:right w:w="0" w:type="dxa"/>
            </w:tcMar>
            <w:vAlign w:val="center"/>
          </w:tcPr>
          <w:p>
            <w:pPr>
              <w:pStyle w:val="TableContents"/>
              <w:spacing w:before="0" w:after="240"/>
              <w:ind w:left="0" w:right="0" w:hanging="0"/>
              <w:jc w:val="both"/>
              <w:rPr>
                <w:rFonts w:ascii="Times New Roman" w:hAnsi="Times New Roman"/>
                <w:sz w:val="24"/>
              </w:rPr>
            </w:pPr>
            <w:r>
              <w:rPr>
                <w:rFonts w:ascii="Times New Roman;serif" w:hAnsi="Times New Roman;serif"/>
                <w:b w:val="false"/>
                <w:sz w:val="24"/>
              </w:rPr>
              <w:t>Each Non-Employee Director who (i) has been serving on the Board for at least four months as of each meeting of the Company’s stockholders (each, an “</w:t>
            </w:r>
            <w:r>
              <w:rPr>
                <w:rFonts w:ascii="Times New Roman;serif" w:hAnsi="Times New Roman;serif"/>
                <w:b/>
                <w:i/>
                <w:sz w:val="24"/>
              </w:rPr>
              <w:t>Annual Meeting</w:t>
            </w:r>
            <w:r>
              <w:rPr>
                <w:rFonts w:ascii="Times New Roman" w:hAnsi="Times New Roman"/>
                <w:sz w:val="24"/>
              </w:rPr>
              <w:t>”</w:t>
            </w:r>
            <w:r>
              <w:rPr>
                <w:rFonts w:ascii="Times New Roman;serif" w:hAnsi="Times New Roman;serif"/>
                <w:b w:val="false"/>
                <w:sz w:val="24"/>
              </w:rPr>
              <w:t>) and (ii) will continue to serve as a Non-Employee Director immediately following such meeting, shall be granted an Option under the Plan or any other applicable Company equity incentive plan then-maintained by the Company to purchase 20,000 shares of Common Stock (the “</w:t>
            </w:r>
            <w:r>
              <w:rPr>
                <w:rFonts w:ascii="Times New Roman;serif" w:hAnsi="Times New Roman;serif"/>
                <w:b/>
                <w:i/>
                <w:sz w:val="24"/>
              </w:rPr>
              <w:t>Annual Option</w:t>
            </w:r>
            <w:r>
              <w:rPr>
                <w:rFonts w:ascii="Times New Roman" w:hAnsi="Times New Roman"/>
                <w:sz w:val="24"/>
              </w:rPr>
              <w:t>”</w:t>
            </w:r>
            <w:r>
              <w:rPr>
                <w:rFonts w:ascii="Times New Roman;serif" w:hAnsi="Times New Roman;serif"/>
                <w:b w:val="false"/>
                <w:sz w:val="24"/>
              </w:rPr>
              <w:t>).</w:t>
            </w:r>
          </w:p>
          <w:p>
            <w:pPr>
              <w:pStyle w:val="TableContents"/>
              <w:spacing w:before="0" w:after="240"/>
              <w:ind w:left="0" w:right="0" w:hanging="0"/>
              <w:jc w:val="both"/>
              <w:rPr>
                <w:rFonts w:ascii="Times New Roman;serif" w:hAnsi="Times New Roman;serif"/>
                <w:b w:val="false"/>
                <w:sz w:val="24"/>
              </w:rPr>
            </w:pPr>
            <w:r>
              <w:rPr>
                <w:rFonts w:ascii="Times New Roman;serif" w:hAnsi="Times New Roman;serif"/>
                <w:b w:val="false"/>
                <w:sz w:val="24"/>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to provide services to the Company through such vesting date.</w:t>
            </w:r>
          </w:p>
        </w:tc>
      </w:tr>
    </w:tbl>
    <w:p>
      <w:pPr>
        <w:pStyle w:val="TextBody"/>
        <w:spacing w:before="0" w:after="240"/>
        <w:jc w:val="both"/>
        <w:rPr>
          <w:rFonts w:ascii="Times New Roman;serif" w:hAnsi="Times New Roman;serif"/>
          <w:b w:val="false"/>
          <w:sz w:val="24"/>
        </w:rPr>
      </w:pPr>
      <w:r>
        <w:rPr>
          <w:rFonts w:ascii="Times New Roman;serif" w:hAnsi="Times New Roman;serif"/>
          <w:b w:val="false"/>
          <w:sz w:val="24"/>
        </w:rPr>
        <w:t>The per share exercise price of each Option granted to a Non-Employee Director shall equal the Fair Market Value of a share of Common Stock on the date the Option is granted.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term of each Option granted to a Non-Employee Director shall be ten years from the date the Option is granted.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Except as otherwise determined by the Board, no portion of an Initial Option or Annual Option which is unvested or unexercisable at the time of a Non-Employee Director’s termination of service on the Board shall become vested and exercisable thereafter.</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pStyle w:val="TextBody"/>
        <w:spacing w:before="0" w:after="240"/>
        <w:jc w:val="left"/>
        <w:rPr>
          <w:rFonts w:ascii="Times New Roman;serif" w:hAnsi="Times New Roman;serif"/>
          <w:b/>
          <w:i/>
          <w:sz w:val="24"/>
        </w:rPr>
      </w:pPr>
      <w:r>
        <w:rPr>
          <w:rFonts w:ascii="Times New Roman;serif" w:hAnsi="Times New Roman;serif"/>
          <w:b/>
          <w:i/>
          <w:sz w:val="24"/>
        </w:rPr>
        <w:t>Change in Control</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rFonts w:ascii="Times New Roman;serif" w:hAnsi="Times New Roman;serif"/>
          <w:b w:val="false"/>
          <w:sz w:val="16"/>
        </w:rPr>
      </w:pPr>
      <w:r>
        <w:rPr>
          <w:rFonts w:ascii="Times New Roman;serif" w:hAnsi="Times New Roman;serif"/>
          <w:b w:val="false"/>
          <w:sz w:val="16"/>
        </w:rPr>
        <w:t>|US-DOCS\141019374.3||</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i/>
          <w:sz w:val="24"/>
        </w:rPr>
      </w:pPr>
      <w:r>
        <w:rPr>
          <w:rFonts w:ascii="Times New Roman;serif" w:hAnsi="Times New Roman;serif"/>
          <w:b/>
          <w:i/>
          <w:sz w:val="24"/>
        </w:rPr>
        <w:t>Reimbursements</w:t>
      </w:r>
    </w:p>
    <w:p>
      <w:pPr>
        <w:pStyle w:val="TextBody"/>
        <w:spacing w:before="0" w:after="240"/>
        <w:jc w:val="both"/>
        <w:rPr>
          <w:rFonts w:ascii="Times New Roman" w:hAnsi="Times New Roman"/>
          <w:sz w:val="20"/>
        </w:rPr>
      </w:pPr>
      <w:r>
        <w:rPr>
          <w:rFonts w:ascii="Times New Roman;serif" w:hAnsi="Times New Roman;serif"/>
          <w:b w:val="false"/>
          <w:sz w:val="24"/>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r>
        <w:rPr>
          <w:rFonts w:ascii="Times New Roman" w:hAnsi="Times New Roman"/>
          <w:sz w:val="20"/>
        </w:rPr>
        <w:t xml:space="preserve"> </w:t>
      </w:r>
    </w:p>
    <w:p>
      <w:pPr>
        <w:pStyle w:val="TextBody"/>
        <w:spacing w:before="0" w:after="0"/>
        <w:jc w:val="both"/>
        <w:rPr>
          <w:rFonts w:ascii="Times New Roman;serif" w:hAnsi="Times New Roman;serif"/>
          <w:b/>
          <w:i/>
          <w:sz w:val="24"/>
        </w:rPr>
      </w:pPr>
      <w:r>
        <w:rPr>
          <w:rFonts w:ascii="Times New Roman;serif" w:hAnsi="Times New Roman;serif"/>
          <w:b/>
          <w:i/>
          <w:sz w:val="24"/>
        </w:rPr>
        <w:t>Miscellaneous</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(including Section 5.5 of the Plan limiting the sum of the grant date fair value of all equity-based Awards and the maximum amount that may become payable pursuant to all cash-based Awards that may be granted to a Service Provider (as defined in the Plan) as compensation for services as a Non-Employee Director during any calendar year to $1,500,000). The grant of any Option under this Program shall be made solely by and subject to the terms set forth in a written agreement in a form to be approved by the Board and duly executed by an executive officer of the Company.</w:t>
      </w:r>
    </w:p>
    <w:p>
      <w:pPr>
        <w:pStyle w:val="TextBody"/>
        <w:spacing w:before="0" w:after="24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rFonts w:ascii="Times New Roman;serif" w:hAnsi="Times New Roman;serif"/>
          <w:b w:val="false"/>
          <w:sz w:val="16"/>
        </w:rPr>
      </w:pPr>
      <w:r>
        <w:rPr>
          <w:rFonts w:ascii="Times New Roman;serif" w:hAnsi="Times New Roman;serif"/>
          <w:b w:val="false"/>
          <w:sz w:val="16"/>
        </w:rPr>
        <w:t>|US-DOCS\141019374.3||</w:t>
      </w:r>
    </w:p>
    <w:p>
      <w:pPr>
        <w:pStyle w:val="HorizontalLine"/>
        <w:rPr/>
      </w:pPr>
      <w:r>
        <w:rPr/>
      </w:r>
      <w:r>
        <w:br w:type="page"/>
      </w:r>
    </w:p>
    <w:p>
      <w:pPr>
        <w:pStyle w:val="TextBody"/>
        <w:spacing w:before="0" w:after="0"/>
        <w:jc w:val="left"/>
        <w:rPr/>
      </w:pPr>
      <w:bookmarkStart w:id="27" w:name="algs-ex31_1.htm"/>
      <w:bookmarkStart w:id="28" w:name="ksalgsex31_1"/>
      <w:bookmarkEnd w:id="27"/>
      <w:bookmarkEnd w:id="28"/>
      <w:r>
        <w:rPr/>
        <w:t> </w:t>
      </w:r>
    </w:p>
    <w:p>
      <w:pPr>
        <w:pStyle w:val="TextBody"/>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Lawrence Blatt,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Aligos Therapeutics,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spacing w:before="0" w:after="0"/>
        <w:jc w:val="left"/>
        <w:rPr/>
      </w:pPr>
      <w:r>
        <w:rPr/>
        <w:t> </w:t>
      </w:r>
    </w:p>
    <w:tbl>
      <w:tblPr>
        <w:tblW w:w="5602" w:type="dxa"/>
        <w:jc w:val="left"/>
        <w:tblInd w:w="0" w:type="dxa"/>
        <w:tblCellMar>
          <w:top w:w="28" w:type="dxa"/>
          <w:left w:w="28" w:type="dxa"/>
          <w:bottom w:w="28" w:type="dxa"/>
          <w:right w:w="28" w:type="dxa"/>
        </w:tblCellMar>
      </w:tblPr>
      <w:tblGrid>
        <w:gridCol w:w="1636"/>
        <w:gridCol w:w="109"/>
        <w:gridCol w:w="406"/>
        <w:gridCol w:w="345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45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Lawrence Blatt</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Lawrence Blatt</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Chairman and Chief Executive Officer</w:t>
            </w:r>
            <w:r>
              <w:rPr>
                <w:rFonts w:ascii="Times New Roman" w:hAnsi="Times New Roman"/>
                <w:sz w:val="20"/>
              </w:rPr>
              <w:t xml:space="preserve"> </w:t>
            </w:r>
          </w:p>
        </w:tc>
      </w:tr>
    </w:tbl>
    <w:p>
      <w:pPr>
        <w:pStyle w:val="TextBody"/>
        <w:spacing w:before="0" w:after="0"/>
        <w:jc w:val="left"/>
        <w:rPr/>
      </w:pPr>
      <w:r>
        <w:rPr/>
        <w:t> </w:t>
      </w:r>
    </w:p>
    <w:p>
      <w:pPr>
        <w:pStyle w:val="TextBody"/>
        <w:spacing w:before="120" w:after="0"/>
        <w:jc w:val="center"/>
        <w:rPr/>
      </w:pPr>
      <w:r>
        <w:rPr/>
        <w:t> </w:t>
      </w:r>
    </w:p>
    <w:p>
      <w:pPr>
        <w:pStyle w:val="HorizontalLine"/>
        <w:rPr/>
      </w:pPr>
      <w:r>
        <w:rPr/>
      </w:r>
      <w:r>
        <w:br w:type="page"/>
      </w:r>
    </w:p>
    <w:p>
      <w:pPr>
        <w:pStyle w:val="TextBody"/>
        <w:spacing w:before="0" w:after="0"/>
        <w:jc w:val="left"/>
        <w:rPr/>
      </w:pPr>
      <w:bookmarkStart w:id="29" w:name="algs-ex31_2.htm"/>
      <w:bookmarkStart w:id="30" w:name="ksalgsex31_2"/>
      <w:bookmarkEnd w:id="29"/>
      <w:bookmarkEnd w:id="30"/>
      <w:r>
        <w:rPr/>
        <w:t> </w:t>
      </w:r>
    </w:p>
    <w:p>
      <w:pPr>
        <w:pStyle w:val="TextBody"/>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Lesley Ann Calhoun,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Aligos Therapeutics,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spacing w:before="0" w:after="0"/>
        <w:jc w:val="left"/>
        <w:rPr/>
      </w:pPr>
      <w:r>
        <w:rPr/>
        <w:t> </w:t>
      </w:r>
    </w:p>
    <w:tbl>
      <w:tblPr>
        <w:tblW w:w="4297" w:type="dxa"/>
        <w:jc w:val="left"/>
        <w:tblInd w:w="0" w:type="dxa"/>
        <w:tblCellMar>
          <w:top w:w="28" w:type="dxa"/>
          <w:left w:w="28" w:type="dxa"/>
          <w:bottom w:w="28" w:type="dxa"/>
          <w:right w:w="28" w:type="dxa"/>
        </w:tblCellMar>
      </w:tblPr>
      <w:tblGrid>
        <w:gridCol w:w="1636"/>
        <w:gridCol w:w="109"/>
        <w:gridCol w:w="406"/>
        <w:gridCol w:w="214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Lesley Ann Calhoun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4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Lesley Ann Calhoun</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4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tc>
      </w:tr>
    </w:tbl>
    <w:p>
      <w:pPr>
        <w:pStyle w:val="TextBody"/>
        <w:spacing w:before="0" w:after="0"/>
        <w:jc w:val="left"/>
        <w:rPr/>
      </w:pPr>
      <w:r>
        <w:rPr/>
        <w:t> </w:t>
      </w:r>
    </w:p>
    <w:p>
      <w:pPr>
        <w:pStyle w:val="TextBody"/>
        <w:spacing w:before="120" w:after="0"/>
        <w:jc w:val="center"/>
        <w:rPr/>
      </w:pPr>
      <w:r>
        <w:rPr/>
        <w:t> </w:t>
      </w:r>
    </w:p>
    <w:p>
      <w:pPr>
        <w:pStyle w:val="HorizontalLine"/>
        <w:rPr/>
      </w:pPr>
      <w:r>
        <w:rPr/>
      </w:r>
      <w:r>
        <w:br w:type="page"/>
      </w:r>
    </w:p>
    <w:p>
      <w:pPr>
        <w:pStyle w:val="TextBody"/>
        <w:spacing w:before="0" w:after="0"/>
        <w:jc w:val="left"/>
        <w:rPr/>
      </w:pPr>
      <w:bookmarkStart w:id="31" w:name="algs-ex32_1.htm"/>
      <w:bookmarkStart w:id="32" w:name="ksalgsex32_1"/>
      <w:bookmarkEnd w:id="31"/>
      <w:bookmarkEnd w:id="32"/>
      <w:r>
        <w:rPr/>
        <w:t> </w:t>
      </w:r>
    </w:p>
    <w:p>
      <w:pPr>
        <w:pStyle w:val="TextBody"/>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of Aligos Therapeutics, Inc. (the “Company”) on Form 10-Q for the period ending March 31, 2023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 of operations of the Company. </w:t>
      </w:r>
    </w:p>
    <w:p>
      <w:pPr>
        <w:pStyle w:val="TextBody"/>
        <w:spacing w:before="0" w:after="0"/>
        <w:jc w:val="left"/>
        <w:rPr/>
      </w:pPr>
      <w:r>
        <w:rPr/>
        <w:t> </w:t>
      </w:r>
    </w:p>
    <w:tbl>
      <w:tblPr>
        <w:tblW w:w="5602" w:type="dxa"/>
        <w:jc w:val="left"/>
        <w:tblInd w:w="0" w:type="dxa"/>
        <w:tblCellMar>
          <w:top w:w="28" w:type="dxa"/>
          <w:left w:w="28" w:type="dxa"/>
          <w:bottom w:w="28" w:type="dxa"/>
          <w:right w:w="28" w:type="dxa"/>
        </w:tblCellMar>
      </w:tblPr>
      <w:tblGrid>
        <w:gridCol w:w="1636"/>
        <w:gridCol w:w="109"/>
        <w:gridCol w:w="406"/>
        <w:gridCol w:w="345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45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Lawrence Blatt</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Lawrence Blatt</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Chairman and Chief Executive Officer</w:t>
            </w:r>
            <w:r>
              <w:rPr>
                <w:rFonts w:ascii="Times New Roman" w:hAnsi="Times New Roman"/>
                <w:sz w:val="20"/>
              </w:rPr>
              <w:t xml:space="preserve"> </w:t>
            </w:r>
          </w:p>
        </w:tc>
      </w:tr>
    </w:tbl>
    <w:p>
      <w:pPr>
        <w:pStyle w:val="TextBody"/>
        <w:spacing w:before="0" w:after="0"/>
        <w:jc w:val="left"/>
        <w:rPr/>
      </w:pPr>
      <w:r>
        <w:rPr/>
        <w:t> </w:t>
      </w:r>
    </w:p>
    <w:p>
      <w:pPr>
        <w:pStyle w:val="TextBody"/>
        <w:spacing w:before="120" w:after="0"/>
        <w:jc w:val="center"/>
        <w:rPr/>
      </w:pPr>
      <w:r>
        <w:rPr/>
        <w:t> </w:t>
      </w:r>
    </w:p>
    <w:p>
      <w:pPr>
        <w:pStyle w:val="HorizontalLine"/>
        <w:rPr/>
      </w:pPr>
      <w:r>
        <w:rPr/>
      </w:r>
      <w:r>
        <w:br w:type="page"/>
      </w:r>
    </w:p>
    <w:p>
      <w:pPr>
        <w:pStyle w:val="TextBody"/>
        <w:spacing w:before="0" w:after="0"/>
        <w:jc w:val="left"/>
        <w:rPr/>
      </w:pPr>
      <w:bookmarkStart w:id="33" w:name="algs-ex32_2.htm"/>
      <w:bookmarkStart w:id="34" w:name="ksalgsex32_2"/>
      <w:bookmarkEnd w:id="33"/>
      <w:bookmarkEnd w:id="34"/>
      <w:r>
        <w:rPr/>
        <w:t> </w:t>
      </w:r>
    </w:p>
    <w:p>
      <w:pPr>
        <w:pStyle w:val="TextBody"/>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 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of Aligos Therapeutics, Inc. (the “Company”) on Form 10-Q for the period ending March 31, 2023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 of operations of the Company. </w:t>
      </w:r>
    </w:p>
    <w:p>
      <w:pPr>
        <w:pStyle w:val="TextBody"/>
        <w:spacing w:before="0" w:after="0"/>
        <w:jc w:val="left"/>
        <w:rPr/>
      </w:pPr>
      <w:r>
        <w:rPr/>
        <w:t> </w:t>
      </w:r>
    </w:p>
    <w:tbl>
      <w:tblPr>
        <w:tblW w:w="4297" w:type="dxa"/>
        <w:jc w:val="left"/>
        <w:tblInd w:w="0" w:type="dxa"/>
        <w:tblCellMar>
          <w:top w:w="28" w:type="dxa"/>
          <w:left w:w="28" w:type="dxa"/>
          <w:bottom w:w="28" w:type="dxa"/>
          <w:right w:w="28" w:type="dxa"/>
        </w:tblCellMar>
      </w:tblPr>
      <w:tblGrid>
        <w:gridCol w:w="1636"/>
        <w:gridCol w:w="109"/>
        <w:gridCol w:w="406"/>
        <w:gridCol w:w="214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Lesley Ann Calhoun</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4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Lesley Ann Calhoun</w:t>
            </w:r>
            <w:r>
              <w:rPr>
                <w:rFonts w:ascii="Times New Roman" w:hAnsi="Times New Roman"/>
                <w:sz w:val="20"/>
              </w:rPr>
              <w:t xml:space="preserve"> </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4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tc>
      </w:tr>
    </w:tbl>
    <w:p>
      <w:pPr>
        <w:pStyle w:val="TextBody"/>
        <w:spacing w:before="0" w:after="0"/>
        <w:jc w:val="left"/>
        <w:rPr/>
      </w:pPr>
      <w:r>
        <w:rPr/>
        <w:t> </w:t>
      </w:r>
    </w:p>
    <w:p>
      <w:pPr>
        <w:pStyle w:val="TextBody"/>
        <w:spacing w:before="12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0272852/d46540dex32.htm" TargetMode="External"/><Relationship Id="rId5" Type="http://schemas.openxmlformats.org/officeDocument/2006/relationships/hyperlink" Target="https://www.sec.gov/Archives/edgar/data/1799448/000119312520272852/d46540dex32.htm" TargetMode="External"/><Relationship Id="rId6" Type="http://schemas.openxmlformats.org/officeDocument/2006/relationships/hyperlink" Target="https://www.sec.gov/Archives/edgar/data/1799448/000119312520272852/d46540dex31.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67346/d31402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63944</Words>
  <CharactersWithSpaces>420191</CharactersWithSpaces>
  <Paragraphs>4683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