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BLATT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ALIGOS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CORPORATE DRIVE,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Aligos Therapeutics, Inc.</w:t>
              </w:r>
            </w:hyperlink>
            <w:r>
              <w:rPr/>
              <w:t xml:space="preserve"> [ </w:t>
            </w:r>
            <w:r>
              <w:rPr>
                <w:rFonts w:ascii="Times;serif" w:hAnsi="Times;serif"/>
                <w:color w:val="0000FF"/>
                <w:sz w:val="24"/>
                <w:shd w:fill="FFFFFF" w:val="clear"/>
              </w:rPr>
              <w:t>ALGS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105,840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105,840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total number of shares vest in forty-eight (48) successive and equal monthly installments measured from March 9, 2026 (the "Vesting Commencement Date"), such that 100% of the shares subject to the option will be fully vested and exercisable on the fourth anniversary of the Vesting Commencement Date, subject to the Reporting Person's continued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Lesley Ann Calhoun, as attorney-in fact for Lawrence M. Blatt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110" TargetMode="External"/><Relationship Id="rId5" Type="http://schemas.openxmlformats.org/officeDocument/2006/relationships/hyperlink" Target="http://www.sec.gov/cgi-bin/browse-edgar?action=getcompany&amp;CIK=0001799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3493</Characters>
  <CharactersWithSpaces>4073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