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lgs-20250630.htm"/>
      <w:bookmarkStart w:id="1" w:name="ksalgs20250630"/>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7"/>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82-4724808</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Corporate Drive, 2nd 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(800) 466-6059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30" w:type="dxa"/>
        <w:jc w:val="left"/>
        <w:tblInd w:w="0" w:type="dxa"/>
        <w:tblLayout w:type="fixed"/>
        <w:tblCellMar>
          <w:top w:w="28" w:type="dxa"/>
          <w:left w:w="28" w:type="dxa"/>
          <w:bottom w:w="28" w:type="dxa"/>
          <w:right w:w="28" w:type="dxa"/>
        </w:tblCellMar>
      </w:tblPr>
      <w:tblGrid>
        <w:gridCol w:w="3916"/>
        <w:gridCol w:w="146"/>
        <w:gridCol w:w="1231"/>
        <w:gridCol w:w="146"/>
        <w:gridCol w:w="2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ALGS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The Nasdaq Stock Market LLC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56" w:type="dxa"/>
        <w:jc w:val="left"/>
        <w:tblInd w:w="0" w:type="dxa"/>
        <w:tblLayout w:type="fixed"/>
        <w:tblCellMar>
          <w:top w:w="28" w:type="dxa"/>
          <w:left w:w="28" w:type="dxa"/>
          <w:bottom w:w="28" w:type="dxa"/>
          <w:right w:w="28" w:type="dxa"/>
        </w:tblCellMar>
      </w:tblPr>
      <w:tblGrid>
        <w:gridCol w:w="1921"/>
        <w:gridCol w:w="146"/>
        <w:gridCol w:w="316"/>
        <w:gridCol w:w="146"/>
        <w:gridCol w:w="109"/>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18"/>
        </w:rPr>
        <w:t>A</w:t>
      </w:r>
      <w:r>
        <w:rPr>
          <w:rFonts w:ascii="Times New Roman" w:hAnsi="Times New Roman"/>
          <w:color w:val="000000"/>
          <w:sz w:val="19"/>
        </w:rPr>
        <w:t>s of July 31, 2025, the registrant had 6,151,374</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 comprised of 5,351,374</w:t>
      </w:r>
      <w:r>
        <w:rPr>
          <w:rFonts w:ascii="Times New Roman" w:hAnsi="Times New Roman"/>
          <w:color w:val="000000"/>
          <w:sz w:val="20"/>
        </w:rPr>
        <w:t xml:space="preserve"> </w:t>
      </w:r>
      <w:r>
        <w:rPr>
          <w:rFonts w:ascii="Times New Roman" w:hAnsi="Times New Roman"/>
          <w:color w:val="000000"/>
          <w:sz w:val="19"/>
        </w:rPr>
        <w:t>shares of voting common stock, $0.0001 par value per share and 800,000</w:t>
      </w:r>
      <w:r>
        <w:rPr>
          <w:rFonts w:ascii="Times New Roman" w:hAnsi="Times New Roman"/>
          <w:color w:val="000000"/>
          <w:sz w:val="20"/>
        </w:rPr>
        <w:t xml:space="preserve"> </w:t>
      </w:r>
      <w:r>
        <w:rPr>
          <w:rFonts w:ascii="Times New Roman" w:hAnsi="Times New Roman"/>
          <w:color w:val="000000"/>
          <w:sz w:val="19"/>
        </w:rPr>
        <w:t>shares of non-voting common stock, $0.0001 par value per share. This number does not include 4,217,432 shares of common stock issuable upon the exercise of pre-funded warrants outstanding as of July 31, 2025 (which are immediately exercisable at an exercise price of $0.0025 and $0.0001 per share of common stock, respectively,</w:t>
      </w:r>
      <w:r>
        <w:rPr>
          <w:rFonts w:ascii="Times New Roman" w:hAnsi="Times New Roman"/>
          <w:color w:val="000000"/>
          <w:sz w:val="20"/>
        </w:rPr>
        <w:t xml:space="preserve">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80" w:after="283"/>
        <w:jc w:val="left"/>
        <w:rPr>
          <w:rFonts w:ascii="Times New Roman" w:hAnsi="Times New Roman"/>
          <w:sz w:val="20"/>
        </w:rPr>
      </w:pPr>
      <w:r>
        <w:rPr>
          <w:rFonts w:ascii="Times New Roman" w:hAnsi="Times New Roman"/>
          <w:color w:val="000000"/>
          <w:sz w:val="19"/>
        </w:rPr>
        <w:t>subject to beneficial ownership limitations) sold in the Registrant’s private placement on October 23, 2023 and February 13, 2025. See Note 7 — Common Warrants and Pre-Funded Warrants to the Registrant’s unaudited condensed consolidated financial statements.</w:t>
      </w:r>
      <w:r>
        <w:rPr>
          <w:rFonts w:ascii="Times New Roman" w:hAnsi="Times New Roman"/>
          <w:color w:val="000000"/>
          <w:sz w:val="20"/>
        </w:rPr>
        <w:t xml:space="preserve">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drug candidates or any other future drug candidates, and conducting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our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drug candidates and technology, including additional indications for which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future revenue, capital requirements, our needs for additional financing and our ability to obtain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for a full fiscal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summary risk factors described above should be read together with the text of the full risk factors below in the section entitled “Risk Factors” and the other information set forth in this Quarterly Report on Form 10-Q, including our consolidated financial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88" w:type="dxa"/>
        <w:jc w:val="left"/>
        <w:tblInd w:w="0" w:type="dxa"/>
        <w:tblLayout w:type="fixed"/>
        <w:tblCellMar>
          <w:top w:w="28" w:type="dxa"/>
          <w:left w:w="28" w:type="dxa"/>
          <w:bottom w:w="28" w:type="dxa"/>
          <w:right w:w="28" w:type="dxa"/>
        </w:tblCellMar>
      </w:tblPr>
      <w:tblGrid>
        <w:gridCol w:w="1126"/>
        <w:gridCol w:w="7606"/>
        <w:gridCol w:w="556"/>
      </w:tblGrid>
      <w:tr>
        <w:trPr/>
        <w:tc>
          <w:tcPr>
            <w:tcW w:w="112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color w:val="0000FF"/>
                  <w:sz w:val="20"/>
                  <w:u w:val="single"/>
                </w:rPr>
                <w:t>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(Deficit)</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
              <w:r>
                <w:rPr>
                  <w:rStyle w:val="InternetLink"/>
                  <w:rFonts w:ascii="Times New Roman" w:hAnsi="Times New Roman"/>
                  <w:color w:val="0000FF"/>
                  <w:sz w:val="20"/>
                  <w:u w:val="single"/>
                </w:rPr>
                <w:t>Condensed Consolidated Statements of Cash Flows</w:t>
              </w:r>
            </w:hyperlink>
            <w:hyperlink w:anchor="condensed_consolidated_statements">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m2">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80</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81</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20"/>
        <w:gridCol w:w="146"/>
        <w:gridCol w:w="211"/>
        <w:gridCol w:w="841"/>
        <w:gridCol w:w="166"/>
        <w:gridCol w:w="146"/>
        <w:gridCol w:w="213"/>
        <w:gridCol w:w="850"/>
        <w:gridCol w:w="612"/>
      </w:tblGrid>
      <w:tr>
        <w:trPr/>
        <w:tc>
          <w:tcPr>
            <w:tcW w:w="7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common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June 30, 2025 and December 31, 2024, respectively; no shares issued and outstanding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115,800,000 shares and 20,800,000 shares authorized as of June 30, 2025 and December 31, 2024, respectively; 6,151,274 and 3,864,436 shares issued and outstanding as of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588,576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(618,008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3"/>
        <w:gridCol w:w="146"/>
        <w:gridCol w:w="146"/>
        <w:gridCol w:w="211"/>
        <w:gridCol w:w="1036"/>
        <w:gridCol w:w="166"/>
        <w:gridCol w:w="146"/>
        <w:gridCol w:w="211"/>
        <w:gridCol w:w="931"/>
        <w:gridCol w:w="166"/>
        <w:gridCol w:w="146"/>
        <w:gridCol w:w="211"/>
        <w:gridCol w:w="931"/>
        <w:gridCol w:w="166"/>
        <w:gridCol w:w="146"/>
        <w:gridCol w:w="211"/>
        <w:gridCol w:w="931"/>
        <w:gridCol w:w="611"/>
      </w:tblGrid>
      <w:tr>
        <w:trPr/>
        <w:tc>
          <w:tcPr>
            <w:tcW w:w="3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income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6,251,913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6,251,913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 STOCKHOLDERS’ EQUITY (DEFICIT)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378"/>
        <w:gridCol w:w="146"/>
        <w:gridCol w:w="146"/>
        <w:gridCol w:w="826"/>
        <w:gridCol w:w="146"/>
        <w:gridCol w:w="146"/>
        <w:gridCol w:w="345"/>
        <w:gridCol w:w="346"/>
        <w:gridCol w:w="146"/>
        <w:gridCol w:w="146"/>
        <w:gridCol w:w="196"/>
        <w:gridCol w:w="691"/>
        <w:gridCol w:w="166"/>
        <w:gridCol w:w="146"/>
        <w:gridCol w:w="217"/>
        <w:gridCol w:w="834"/>
        <w:gridCol w:w="166"/>
        <w:gridCol w:w="146"/>
        <w:gridCol w:w="416"/>
        <w:gridCol w:w="800"/>
        <w:gridCol w:w="166"/>
        <w:gridCol w:w="146"/>
        <w:gridCol w:w="248"/>
        <w:gridCol w:w="883"/>
        <w:gridCol w:w="213"/>
      </w:tblGrid>
      <w:tr>
        <w:trPr/>
        <w:tc>
          <w:tcPr>
            <w:tcW w:w="2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net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pre-funded warrants </w:t>
              <w:br/>
              <w:t xml:space="preserve">   and common warrants in connection with 2025 </w:t>
              <w:br/>
              <w:t>   PIPE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2025 PIPE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the PIPE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6,151,274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101,866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CHANGES IN STOCKHOLDERS’ EQUITY (DEFICIT)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2"/>
        <w:gridCol w:w="146"/>
        <w:gridCol w:w="146"/>
        <w:gridCol w:w="146"/>
        <w:gridCol w:w="826"/>
        <w:gridCol w:w="146"/>
        <w:gridCol w:w="146"/>
        <w:gridCol w:w="345"/>
        <w:gridCol w:w="346"/>
        <w:gridCol w:w="146"/>
        <w:gridCol w:w="146"/>
        <w:gridCol w:w="196"/>
        <w:gridCol w:w="691"/>
        <w:gridCol w:w="146"/>
        <w:gridCol w:w="146"/>
        <w:gridCol w:w="217"/>
        <w:gridCol w:w="834"/>
        <w:gridCol w:w="166"/>
        <w:gridCol w:w="146"/>
        <w:gridCol w:w="416"/>
        <w:gridCol w:w="800"/>
        <w:gridCol w:w="166"/>
        <w:gridCol w:w="146"/>
        <w:gridCol w:w="239"/>
        <w:gridCol w:w="813"/>
        <w:gridCol w:w="212"/>
      </w:tblGrid>
      <w:tr>
        <w:trPr/>
        <w:tc>
          <w:tcPr>
            <w:tcW w:w="2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w:t>
              <w:br/>
              <w:t>   RSU vesting and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59,796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related </w:t>
              <w:br/>
              <w:t>   to 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 related to 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3,191,425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67,229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92"/>
        <w:gridCol w:w="146"/>
        <w:gridCol w:w="211"/>
        <w:gridCol w:w="841"/>
        <w:gridCol w:w="166"/>
        <w:gridCol w:w="146"/>
        <w:gridCol w:w="211"/>
        <w:gridCol w:w="781"/>
        <w:gridCol w:w="1011"/>
      </w:tblGrid>
      <w:tr>
        <w:trPr/>
        <w:tc>
          <w:tcPr>
            <w:tcW w:w="6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 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including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Activities in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and cash equivalents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issuance of common stock, common warrants and pre-funded warrants </w:t>
              <w:br/>
              <w:t>in connection with PIPE Offering,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PIPE issuance costs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basis of presentation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Aligos is a clinical-stage biotechnology company developing novel therapeutics to address unmet medical needs in liver and viral diseases, including for chronic hepatitis B virus (HBV) infection, metabolic dysfunction associated steatohepatitis (MASH), and coronaviruses.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Interim-period results are not necessarily indicative of results of operations or cash flows for a full year or any subsequent interim period. The balance sheet as of December 31, 2024 is derived from the audited consolidated financial statements at that date but does not include all of the information required by U.S. GAAP for complete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2024 filed with the SEC on March 10, 2025 (the 2024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amounts previously reported in Condensed Consolidated Statements of Operations and Comprehensive Income (Loss) for the three and six months ended June 30, 2025 have been reclassified to conform to the current period presentation, with respect to the separate presentation of the change in fair value of 2023 Common Warrants in the amount of $30.4 million and $16.1 million, respectively, previously included in Interest and other income, net. The reclassification had no impact on our net (loss) income.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losses and negative cash flows from operations in each fiscal year since its inception. As of June 30, 2025 and December 31, 2024, the Company had an accumulated deficit of $590.8 million and $618.0 million, respectively. Management expects to continue to incur additional substantial losses from operations in future fiscal years in the foreseeable future as a result of its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has cash, cash equivalents and investments of approximately $122.9 million, which is available to fund future operations. The Company expects to continue to spend substantial amounts to continue the clinical development of its current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finance its cash needs through a combination of public or private equity offerings, debt financings, collaborations, strategic alliances, licensing arrangements and/or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raise additional funds depends on financial, economic and other factors, many of which are beyond its control. For example, if there is a disruption of global financial markets,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19, 2024, the Company effected a 1-for-25 reverse stock split of its authorized, issued and outstanding voting and non-voting common stock. All equity related information including per share amounts for all periods presented in these condensed consolidated financial statements and the notes thereto have been adjusted retroactively, where applicable, to reflect this reverse stock split.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material changes were made to the Company’s significant accounting policies disclosed in Note 2. Summary of significant accounting policies, in its 2024 Form 10-K.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i.e. after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recent accounting pronouncements issued, but not yet effective, and does not expect any to have a material effect on the Company’s condensed consolidated financial statements other than those discussed in its 2024 Form 10</w:t>
        <w:noBreakHyphen/>
        <w:t>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components of property and equipment as of June 30, 2025 and December 31, 2024 were as follows (in thousands): </w:t>
      </w:r>
    </w:p>
    <w:tbl>
      <w:tblPr>
        <w:tblW w:w="5552" w:type="dxa"/>
        <w:jc w:val="left"/>
        <w:tblInd w:w="0" w:type="dxa"/>
        <w:tblLayout w:type="fixed"/>
        <w:tblCellMar>
          <w:top w:w="28" w:type="dxa"/>
          <w:left w:w="28" w:type="dxa"/>
          <w:bottom w:w="28" w:type="dxa"/>
          <w:right w:w="28" w:type="dxa"/>
        </w:tblCellMar>
      </w:tblPr>
      <w:tblGrid>
        <w:gridCol w:w="2641"/>
        <w:gridCol w:w="146"/>
        <w:gridCol w:w="211"/>
        <w:gridCol w:w="736"/>
        <w:gridCol w:w="166"/>
        <w:gridCol w:w="146"/>
        <w:gridCol w:w="244"/>
        <w:gridCol w:w="851"/>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under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$0.3 million and $0.5 million for the three and six months ended June 30, 2025 and $0.3 million and $0.5 million for the three and six months ended June 30, 2024. Finance leases are also included in property and equipment as vehicles and lab equipment on the Condensed Consolidated Balance Sheets.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tbl>
      <w:tblPr>
        <w:tblW w:w="5052" w:type="dxa"/>
        <w:jc w:val="left"/>
        <w:tblInd w:w="0" w:type="dxa"/>
        <w:tblLayout w:type="fixed"/>
        <w:tblCellMar>
          <w:top w:w="28" w:type="dxa"/>
          <w:left w:w="28" w:type="dxa"/>
          <w:bottom w:w="28" w:type="dxa"/>
          <w:right w:w="28" w:type="dxa"/>
        </w:tblCellMar>
      </w:tblPr>
      <w:tblGrid>
        <w:gridCol w:w="2041"/>
        <w:gridCol w:w="146"/>
        <w:gridCol w:w="211"/>
        <w:gridCol w:w="676"/>
        <w:gridCol w:w="146"/>
        <w:gridCol w:w="146"/>
        <w:gridCol w:w="260"/>
        <w:gridCol w:w="835"/>
        <w:gridCol w:w="5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Investments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June 30, 2025 and December 31, 2024, amortized cost, gross unrealized gains and losses, and estimated fair values of total fixed-maturity securities were as follows (in thousands): </w:t>
      </w:r>
    </w:p>
    <w:tbl>
      <w:tblPr>
        <w:tblW w:w="7535"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495"/>
        <w:gridCol w:w="391"/>
        <w:gridCol w:w="146"/>
        <w:gridCol w:w="146"/>
        <w:gridCol w:w="318"/>
        <w:gridCol w:w="568"/>
        <w:gridCol w:w="166"/>
        <w:gridCol w:w="146"/>
        <w:gridCol w:w="211"/>
        <w:gridCol w:w="781"/>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05"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443"/>
        <w:gridCol w:w="443"/>
        <w:gridCol w:w="146"/>
        <w:gridCol w:w="146"/>
        <w:gridCol w:w="495"/>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Nineteen of our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As of June 30, 2025, all investments had a remaining maturity of less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interest income of $0.4 million and $1.2 million for the three and six months ended June 30, 2025, and $0.3 million and $0.9 million for the three and six months ended June 30, 2024. The Company recorded accrued interest receivable of $32.0 thousand for the three months ended June 30, 2025. There was no accrued interest receivable as of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Unobservable inputs that are supported by little or no market activity that are significant to determining the fair value of the assets or liabilities, including pricing models, discounted cash flow methodologies and similar techniques.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fair value of the Company’s financial instruments that are measured or disclosed at fair value on a recurring basis (in thousands): </w:t>
      </w:r>
    </w:p>
    <w:p>
      <w:pPr>
        <w:pStyle w:val="TextBody"/>
        <w:bidi w:val="0"/>
        <w:jc w:val="left"/>
        <w:rPr/>
      </w:pPr>
      <w:r>
        <w:rPr/>
        <w:t> </w:t>
      </w:r>
    </w:p>
    <w:tbl>
      <w:tblPr>
        <w:tblW w:w="6426" w:type="dxa"/>
        <w:jc w:val="left"/>
        <w:tblInd w:w="0" w:type="dxa"/>
        <w:tblLayout w:type="fixed"/>
        <w:tblCellMar>
          <w:top w:w="28" w:type="dxa"/>
          <w:left w:w="28" w:type="dxa"/>
          <w:bottom w:w="28" w:type="dxa"/>
          <w:right w:w="28" w:type="dxa"/>
        </w:tblCellMar>
      </w:tblPr>
      <w:tblGrid>
        <w:gridCol w:w="2816"/>
        <w:gridCol w:w="146"/>
        <w:gridCol w:w="352"/>
        <w:gridCol w:w="278"/>
        <w:gridCol w:w="146"/>
        <w:gridCol w:w="146"/>
        <w:gridCol w:w="211"/>
        <w:gridCol w:w="781"/>
        <w:gridCol w:w="146"/>
        <w:gridCol w:w="146"/>
        <w:gridCol w:w="211"/>
        <w:gridCol w:w="736"/>
        <w:gridCol w:w="31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2023 common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2023 common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shares of voting common stock are entitled to one vote for each share of common stock at all meetings of stockholders.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Common Warrants and Pre-Funded Warrants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closed its private investment in public equity (PIPE) offering (the 2025 Private Placement) and entered into a securities purchase agreement with certain investors (the 2025 Securities Purchase Agreement) that resulted in gross proceeds of approximately $105.0 million. In the 2025 Private Placement, the Company issued (i) 2,103,307 shares of the Company’s common stock (the Common Stock), par value $0.0001 per share, consisting of 1,427,000 shares of voting common stock and 676,307 shares of non-voting common stock, (ii) pre</w:t>
        <w:noBreakHyphen/>
        <w:t xml:space="preserve">funded warrants (the 2025 Pre-Funded Warrants) to purchase up to 1,922,511 shares of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the 2025 Common Warrants and 2025 Pre-Funded Warrants in Stockholders Equity (Deficit)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Accounting Standards Codification (ASC) 815, </w:t>
      </w:r>
      <w:r>
        <w:rPr>
          <w:rFonts w:ascii="Times New Roman" w:hAnsi="Times New Roman"/>
          <w:i/>
          <w:color w:val="000000"/>
          <w:sz w:val="20"/>
        </w:rPr>
        <w:t>Derivatives and Hedging,</w:t>
      </w:r>
      <w:r>
        <w:rPr>
          <w:rFonts w:ascii="Times New Roman" w:hAnsi="Times New Roman"/>
          <w:color w:val="000000"/>
          <w:sz w:val="20"/>
        </w:rPr>
        <w:t xml:space="preserve"> based on the terms in the 2025 Securities Purchase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$0.0001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Pre-Funded Warrants outstanding at December 31, 2024 and June 30, 2025: </w:t>
      </w:r>
    </w:p>
    <w:tbl>
      <w:tblPr>
        <w:tblW w:w="6700" w:type="dxa"/>
        <w:jc w:val="left"/>
        <w:tblInd w:w="0" w:type="dxa"/>
        <w:tblLayout w:type="fixed"/>
        <w:tblCellMar>
          <w:top w:w="28" w:type="dxa"/>
          <w:left w:w="28" w:type="dxa"/>
          <w:bottom w:w="28" w:type="dxa"/>
          <w:right w:w="28" w:type="dxa"/>
        </w:tblCellMar>
      </w:tblPr>
      <w:tblGrid>
        <w:gridCol w:w="3406"/>
        <w:gridCol w:w="146"/>
        <w:gridCol w:w="152"/>
        <w:gridCol w:w="973"/>
        <w:gridCol w:w="166"/>
        <w:gridCol w:w="146"/>
        <w:gridCol w:w="203"/>
        <w:gridCol w:w="1297"/>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Pre-funded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tbl>
      <w:tblPr>
        <w:tblW w:w="5549" w:type="dxa"/>
        <w:jc w:val="left"/>
        <w:tblInd w:w="0" w:type="dxa"/>
        <w:tblLayout w:type="fixed"/>
        <w:tblCellMar>
          <w:top w:w="28" w:type="dxa"/>
          <w:left w:w="28" w:type="dxa"/>
          <w:bottom w:w="28" w:type="dxa"/>
          <w:right w:w="28" w:type="dxa"/>
        </w:tblCellMar>
      </w:tblPr>
      <w:tblGrid>
        <w:gridCol w:w="2401"/>
        <w:gridCol w:w="250"/>
        <w:gridCol w:w="875"/>
        <w:gridCol w:w="166"/>
        <w:gridCol w:w="146"/>
        <w:gridCol w:w="357"/>
        <w:gridCol w:w="1143"/>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exercised</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fair value of the 2023 Common Warrants was measured using the Black Scholes option pricing model and will be remeasured each reporting period, and the change in fair value will be recorded in earnings. The assumptions that the Company used to determine the fair value at the reporting date were as follows: </w:t>
      </w:r>
    </w:p>
    <w:tbl>
      <w:tblPr>
        <w:tblW w:w="5590" w:type="dxa"/>
        <w:jc w:val="left"/>
        <w:tblInd w:w="0" w:type="dxa"/>
        <w:tblLayout w:type="fixed"/>
        <w:tblCellMar>
          <w:top w:w="28" w:type="dxa"/>
          <w:left w:w="28" w:type="dxa"/>
          <w:bottom w:w="28" w:type="dxa"/>
          <w:right w:w="28" w:type="dxa"/>
        </w:tblCellMar>
      </w:tblPr>
      <w:tblGrid>
        <w:gridCol w:w="2086"/>
        <w:gridCol w:w="146"/>
        <w:gridCol w:w="229"/>
        <w:gridCol w:w="896"/>
        <w:gridCol w:w="271"/>
        <w:gridCol w:w="146"/>
        <w:gridCol w:w="305"/>
        <w:gridCol w:w="119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Common Warrants outstanding at June 30, 2025: </w:t>
      </w:r>
    </w:p>
    <w:tbl>
      <w:tblPr>
        <w:tblW w:w="6680" w:type="dxa"/>
        <w:jc w:val="left"/>
        <w:tblInd w:w="0" w:type="dxa"/>
        <w:tblLayout w:type="fixed"/>
        <w:tblCellMar>
          <w:top w:w="28" w:type="dxa"/>
          <w:left w:w="28" w:type="dxa"/>
          <w:bottom w:w="28" w:type="dxa"/>
          <w:right w:w="28" w:type="dxa"/>
        </w:tblCellMar>
      </w:tblPr>
      <w:tblGrid>
        <w:gridCol w:w="3406"/>
        <w:gridCol w:w="146"/>
        <w:gridCol w:w="152"/>
        <w:gridCol w:w="973"/>
        <w:gridCol w:w="146"/>
        <w:gridCol w:w="146"/>
        <w:gridCol w:w="203"/>
        <w:gridCol w:w="1297"/>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Equity Incentive Awards and 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during the six months ended June 30, 2025 is as follows: </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4651"/>
        <w:gridCol w:w="146"/>
        <w:gridCol w:w="146"/>
        <w:gridCol w:w="931"/>
        <w:gridCol w:w="166"/>
        <w:gridCol w:w="146"/>
        <w:gridCol w:w="230"/>
        <w:gridCol w:w="626"/>
        <w:gridCol w:w="146"/>
        <w:gridCol w:w="146"/>
        <w:gridCol w:w="239"/>
        <w:gridCol w:w="766"/>
        <w:gridCol w:w="146"/>
        <w:gridCol w:w="146"/>
        <w:gridCol w:w="267"/>
        <w:gridCol w:w="858"/>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Restricted stock unit activity during the six months ended June 30, 2025 is as follows: </w:t>
      </w:r>
    </w:p>
    <w:tbl>
      <w:tblPr>
        <w:tblW w:w="7702" w:type="dxa"/>
        <w:jc w:val="left"/>
        <w:tblInd w:w="0" w:type="dxa"/>
        <w:tblLayout w:type="fixed"/>
        <w:tblCellMar>
          <w:top w:w="28" w:type="dxa"/>
          <w:left w:w="28" w:type="dxa"/>
          <w:bottom w:w="28" w:type="dxa"/>
          <w:right w:w="28" w:type="dxa"/>
        </w:tblCellMar>
      </w:tblPr>
      <w:tblGrid>
        <w:gridCol w:w="3796"/>
        <w:gridCol w:w="146"/>
        <w:gridCol w:w="152"/>
        <w:gridCol w:w="703"/>
        <w:gridCol w:w="166"/>
        <w:gridCol w:w="146"/>
        <w:gridCol w:w="236"/>
        <w:gridCol w:w="709"/>
        <w:gridCol w:w="166"/>
        <w:gridCol w:w="146"/>
        <w:gridCol w:w="374"/>
        <w:gridCol w:w="75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for the three and six months ended June 30, 2025 and 2024 (in thousands): </w:t>
      </w:r>
    </w:p>
    <w:tbl>
      <w:tblPr>
        <w:tblW w:w="7198"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14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with Amoytop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and Amoytop Biotech Co., Ltd (Amoytop) entered into a Research Collaboration and Development Agreement with a focus on nucleic acid technology for HBV treatment, with the Company granting to Amoytop an exclusive, time-limited option to enter into an exclusive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and Amoytop entered into an extension to the Research Collaboration and Development Agreement, covering work performed through January 2025. Under the terms of the agreement, the Company received an upfront payment of $1.5 million, which was recognized from the second quarter of 2024 through the first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and Amoytop entered into an additional extension to the Research Collaboration and Development Agreement, covering work performed through approximately November 2025. Under the terms of the agreement, the Company received an upfront payment of $1.0 million, which is expected to be recognized from the second quarter of 2025 through the fourth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recognized $1.0 million and $1.3 million, respectively, in revenue from customers related to upfront payments. During the three and six months ended June 30, 2024, the Company recognized $1.1 million and $1.8 million, respectively, in revenue from customers related to upfront payments. During the three months ended June 30, 2025 and 2024, the Company recognized no revenue from customers related to milestone payments. The unrecognized portion of the upfront payments received is recorded on the Condensed Consolidated Balance Sheets as “Deferred revenue, current”.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deferred revenue balances arose as a result of the Company recognizing the following revenue from customers during the periods below (in thousands): </w:t>
      </w:r>
    </w:p>
    <w:p>
      <w:pPr>
        <w:pStyle w:val="TextBody"/>
        <w:bidi w:val="0"/>
        <w:spacing w:before="120" w:after="283"/>
        <w:jc w:val="left"/>
        <w:rPr/>
      </w:pPr>
      <w:r>
        <w:rPr/>
        <w:t> </w:t>
      </w:r>
    </w:p>
    <w:tbl>
      <w:tblPr>
        <w:tblW w:w="6494" w:type="dxa"/>
        <w:jc w:val="left"/>
        <w:tblInd w:w="0" w:type="dxa"/>
        <w:tblLayout w:type="fixed"/>
        <w:tblCellMar>
          <w:top w:w="28" w:type="dxa"/>
          <w:left w:w="28" w:type="dxa"/>
          <w:bottom w:w="28" w:type="dxa"/>
          <w:right w:w="28" w:type="dxa"/>
        </w:tblCellMar>
      </w:tblPr>
      <w:tblGrid>
        <w:gridCol w:w="4141"/>
        <w:gridCol w:w="146"/>
        <w:gridCol w:w="211"/>
        <w:gridCol w:w="631"/>
        <w:gridCol w:w="166"/>
        <w:gridCol w:w="146"/>
        <w:gridCol w:w="211"/>
        <w:gridCol w:w="631"/>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 recognized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from customers 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with ADCT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 xml:space="preserve">In-licensing agreements </w:t>
      </w:r>
    </w:p>
    <w:p>
      <w:pPr>
        <w:pStyle w:val="TextBody"/>
        <w:bidi w:val="0"/>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agreed to pay Emory up to an aggregate of $125.0 million upon the achievement of specified development, regulatory, and commercial milestones, and all ongoing patent costs. During the three and six months ended June 30, 2025 and 2024, the Company had no expenses related to milestone payments. The Company also agreed to pay Emory tiered single-digit royalties on worldwide annual net sales of licensed products, on a quarterly basis and calculated on a product-by-product basis. With respect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and 2024, the Company made no payments associated with royalties and recognized no expense or accruals.</w:t>
      </w:r>
    </w:p>
    <w:p>
      <w:pPr>
        <w:pStyle w:val="TextBody"/>
        <w:bidi w:val="0"/>
        <w:spacing w:before="240" w:after="283"/>
        <w:jc w:val="left"/>
        <w:rPr>
          <w:rFonts w:ascii="Times New Roman" w:hAnsi="Times New Roman"/>
          <w:sz w:val="20"/>
        </w:rPr>
      </w:pPr>
      <w:r>
        <w:rPr>
          <w:rFonts w:ascii="Times New Roman" w:hAnsi="Times New Roman"/>
          <w:b/>
          <w:i/>
          <w:color w:val="000000"/>
          <w:sz w:val="20"/>
        </w:rPr>
        <w:t>Agreement with Luxna Biotech Co., Ltd. (Luxna)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make payments to Luxna, in aggregate, totaling up to but no more than $55.5 million upon the achievement of specified development, regulatory, and commercial milestones. During the three and six months ended June 30, 2025 and 2024, the Company recognized no expenses related to milestone payments. The Company is also required to pay Luxna a low-single digit royalty percentage on net sale of applicable products, if any. During the three and six months ended June 30, 2025 and 2024, the Company made no payments associated with royalties.</w:t>
      </w:r>
    </w:p>
    <w:p>
      <w:pPr>
        <w:pStyle w:val="TextBody"/>
        <w:bidi w:val="0"/>
        <w:spacing w:before="240" w:after="283"/>
        <w:jc w:val="left"/>
        <w:rPr>
          <w:rFonts w:ascii="Times New Roman" w:hAnsi="Times New Roman"/>
          <w:sz w:val="20"/>
        </w:rPr>
      </w:pPr>
      <w:r>
        <w:rPr>
          <w:rFonts w:ascii="Times New Roman" w:hAnsi="Times New Roman"/>
          <w:b/>
          <w:i/>
          <w:color w:val="000000"/>
          <w:sz w:val="20"/>
        </w:rPr>
        <w:t>Agreement with Katholieke Universiteit Leuven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of the last valid patent claim covering the manufacture, use, sale or importation of the licensed product in a particular country or 10 years after the first commercial sale of a licensed product. During the three and six months ended June 30, 2025, the Company made no payments of royalties or milestones.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including legal matters that arise in the ordinary course of its business activities. The Company accrues a liability for such matters when it is probable that future expenditures will be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such expenditures can be reasonably estimated. Contingent liabilities requiring accrual were appropriately accrued as of June 30, 2025 and December 31, 2024. The Company enters into contracts in the normal course of business that includes arrangements with clinical research organizations, vendors for preclinical research and vendors for manufacturing. These agreements generally allow for cancellation with notice. As of June 30, 2025, the Company had no material non-cancellable purchase commitments.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provision of $228.0 thousand for the six months ended June 30, 2025, primarily related to the Company's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the President signed into law the One Big Beautiful Bill Act ("OBBBA"). ASC 740 requires the effects of changes in tax rates and laws on deferred tax balances to be recognized in the period in which the legislation is enacted. Consequently, the Company is still evaluating the OBBBA and it will be reflected in the Company's Q3 2025 tax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history of losses in prior fiscal years and projects losses for the full year 2025. The Company continues to maintain a full valuation allowance on its net deferred tax assets.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(loss) income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income per share of the Company (in thousands, except share and per share data):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6"/>
        <w:gridCol w:w="146"/>
        <w:gridCol w:w="196"/>
        <w:gridCol w:w="916"/>
        <w:gridCol w:w="166"/>
        <w:gridCol w:w="146"/>
        <w:gridCol w:w="196"/>
        <w:gridCol w:w="826"/>
        <w:gridCol w:w="146"/>
        <w:gridCol w:w="146"/>
        <w:gridCol w:w="196"/>
        <w:gridCol w:w="826"/>
        <w:gridCol w:w="146"/>
        <w:gridCol w:w="146"/>
        <w:gridCol w:w="196"/>
        <w:gridCol w:w="826"/>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increase in available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6,257,713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9,385,167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6,251,913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Weighted average shares issuable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6,265,853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9,401,645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6,251,913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six months ended June 30, 2025, the Company’s potentially dilutive securities includes options to purchase common stock and unvested restricted stock. The 2023 common warrants and 2025 common warrants are antidilutive and excluded from the total weighted average shares outstanding, diluted.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three months ended June 30, 2024, the 2023 common warrants were antidilutive and therefore excluded from the computation of diluted net loss per share as the effect would be to reduce the net loss per share. Options to purchase common stock, unvested restricted stock and shares purchased through the ESPP were included as dilutive.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excluded the following potential shares of Common Stock, presented based on amounts outstanding at each period end, from the computation of diluted net loss per share for the periods indicated because including them would have had an anti-dilutive effect: </w:t>
      </w:r>
    </w:p>
    <w:tbl>
      <w:tblPr>
        <w:tblW w:w="7802" w:type="dxa"/>
        <w:jc w:val="left"/>
        <w:tblInd w:w="0" w:type="dxa"/>
        <w:tblLayout w:type="fixed"/>
        <w:tblCellMar>
          <w:top w:w="28" w:type="dxa"/>
          <w:left w:w="28" w:type="dxa"/>
          <w:bottom w:w="28" w:type="dxa"/>
          <w:right w:w="28" w:type="dxa"/>
        </w:tblCellMar>
      </w:tblPr>
      <w:tblGrid>
        <w:gridCol w:w="2701"/>
        <w:gridCol w:w="146"/>
        <w:gridCol w:w="146"/>
        <w:gridCol w:w="826"/>
        <w:gridCol w:w="146"/>
        <w:gridCol w:w="146"/>
        <w:gridCol w:w="146"/>
        <w:gridCol w:w="826"/>
        <w:gridCol w:w="146"/>
        <w:gridCol w:w="146"/>
        <w:gridCol w:w="146"/>
        <w:gridCol w:w="826"/>
        <w:gridCol w:w="146"/>
        <w:gridCol w:w="146"/>
        <w:gridCol w:w="146"/>
        <w:gridCol w:w="82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401,679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2,249,680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2,643,255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5,121,414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14. Segment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chief operating decision maker (CODM), who is defined as the Company's Chairman, President and Chief Executive Officer, assesses performance for the Company’s single reportable segment and decides how to allocate resources based on the Company’s total operating expenses as reported on the Condensed Consolidated Statements of Operations and Comprehensive (Loss) Income.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upon the operating expense information, the CODM can reconcile to net (loss) income as reported on the Condensed Consolidated Statements of Operations and Comprehensive (Loss) Income, shown in the table below. The significant expense categories are consistent with those presented on the face of the condensed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 Asset information is not regularly provided to the CODM for assessing performance and allocating resources other than consolidated cash, cash equivalents and short-term investments, which can be found on our Condensed Consolidated Balance Sheets.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segment revenues, significant segment expenses and reported segment net (loss) income for the three and six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3770"/>
        <w:gridCol w:w="211"/>
        <w:gridCol w:w="736"/>
        <w:gridCol w:w="466"/>
        <w:gridCol w:w="446"/>
        <w:gridCol w:w="211"/>
        <w:gridCol w:w="736"/>
        <w:gridCol w:w="466"/>
        <w:gridCol w:w="446"/>
        <w:gridCol w:w="211"/>
        <w:gridCol w:w="736"/>
        <w:gridCol w:w="166"/>
        <w:gridCol w:w="146"/>
        <w:gridCol w:w="211"/>
        <w:gridCol w:w="736"/>
        <w:gridCol w:w="511"/>
      </w:tblGrid>
      <w:tr>
        <w:trPr/>
        <w:tc>
          <w:tcPr>
            <w:tcW w:w="37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Collaborations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Customers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Early-stage research and development</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Late-stage research and development</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(20,029</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&amp;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income before income tax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and consolidated net (loss)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Early-stage research and development includes costs incurred from Discovery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(2) Late-stage research and development includes costs incurred from Phase 1 and Phase 2 clinical trial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primarily generates revenue through its license and collaboration agreements (see Notes 9 and 10).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m2"/>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(e.g., SARS</w:t>
        <w:noBreakHyphen/>
        <w:t>CoV</w:t>
        <w:noBreakHyphen/>
        <w:t>2, SARS</w:t>
        <w:noBreakHyphen/>
        <w:t>CoV, MERS</w:t>
        <w:noBreakHyphen/>
        <w:t>CoV, and other related infections). The Aligos team has a demonstrated track record of success in early drug development and medicinal chemistry in liver and viral diseases, resulting in three potential best</w:t>
        <w:noBreakHyphen/>
        <w:t>in</w:t>
        <w:noBreakHyphen/>
        <w:t xml:space="preserve">class drug candidates currently in development. </w:t>
      </w:r>
    </w:p>
    <w:p>
      <w:pPr>
        <w:pStyle w:val="TextBody"/>
        <w:bidi w:val="0"/>
        <w:spacing w:before="120" w:after="283"/>
        <w:jc w:val="left"/>
        <w:rPr>
          <w:rFonts w:ascii="Times New Roman" w:hAnsi="Times New Roman"/>
          <w:sz w:val="20"/>
        </w:rPr>
      </w:pPr>
      <w:r>
        <w:rPr>
          <w:rFonts w:ascii="Times New Roman" w:hAnsi="Times New Roman"/>
          <w:color w:val="000000"/>
          <w:sz w:val="20"/>
        </w:rPr>
        <w:t>Our pipeline of drug candidates includes ALG</w:t>
        <w:noBreakHyphen/>
        <w:t>000184 for chronic HBV infection, ALG</w:t>
        <w:noBreakHyphen/>
        <w:t>055009 for MASH, ALG</w:t>
        <w:noBreakHyphen/>
        <w:t>097558 for coronavirus infections, and a portfolio of preclinical programs. ALG</w:t>
        <w:noBreakHyphen/>
        <w:t>000184 is our potential best</w:t>
        <w:noBreakHyphen/>
        <w:t>/first</w:t>
        <w:noBreakHyphen/>
        <w:t>in</w:t>
        <w:noBreakHyphen/>
        <w:t>class Capsid Assembly Modulator (CAM</w:t>
        <w:noBreakHyphen/>
        <w:t>E) for chronic HBV infection with enhanced pharmacologic properties vs. competitor CAM</w:t>
        <w:noBreakHyphen/>
        <w:t>E drugs and has demonstrated greater HBV DNA suppression compared to the standard of care, nucleos(t)ide analogs (NAs), as well as multi-log</w:t>
      </w:r>
      <w:r>
        <w:rPr>
          <w:rFonts w:ascii="Times New Roman" w:hAnsi="Times New Roman"/>
          <w:color w:val="000000"/>
          <w:sz w:val="13"/>
        </w:rPr>
        <w:t>10</w:t>
      </w:r>
      <w:r>
        <w:rPr>
          <w:rFonts w:ascii="Times New Roman" w:hAnsi="Times New Roman"/>
          <w:color w:val="000000"/>
          <w:sz w:val="20"/>
        </w:rPr>
        <w:t xml:space="preserve"> reductions in viral antigens in Phase 1 clinical studies conducted to date. ALG</w:t>
        <w:noBreakHyphen/>
        <w:t>055009 is our potential best</w:t>
        <w:noBreakHyphen/>
        <w:t>in</w:t>
        <w:noBreakHyphen/>
        <w:t>class thyroid hormone receptor beta (THR</w:t>
        <w:noBreakHyphen/>
        <w:t>β) agonist for MASH with pharmacologic properties that appear to be enhanced based on data to date vs. competitor THR-β agonists. Phase 2a topline data demonstrated that ALG</w:t>
        <w:noBreakHyphen/>
        <w:t>055009 dose groups met the primary endpoint with statistically significant reductions in liver fat at Week 12 as measured by MRI-PDFF. ALG</w:t>
        <w:noBreakHyphen/>
        <w:t>097558 is our potential best</w:t>
        <w:noBreakHyphen/>
        <w:t>in</w:t>
        <w:noBreakHyphen/>
        <w:t xml:space="preserve">class small molecule pan-coronavirus 3CL protease inhibitor (PI), which has been at least 3-fold more potent in cell-based assays of coronavirus infection than other approved CoV PIs and we believe can be dosed twice daily without the requirement for ritonavir co-dosing based on Phase 1 clinical studies conducted to date.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000184: Potential best</w:t>
        <w:noBreakHyphen/>
        <w:t>in</w:t>
        <w:noBreakHyphen/>
        <w:t>class small molecule CAM</w:t>
        <w:noBreakHyphen/>
        <w:t>E for chronic hepatitis B virus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seeks to enhance the viral suppression and rate of functional cure for chronic HBV infection, which often results in life-threatening conditions such as cirrhosis, end-stage liver disease, and the most common form of liver cancer, hepatocellular carcinoma (HCC). To achieve this, we are developing a portfolio of differentiated chronic HBV infection drug candidates, including a small molecule CAM that results in the production of empty viral capsids.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2018, we in</w:t>
        <w:noBreakHyphen/>
        <w:t>licensed a lead drug candidate (GLP</w:t>
        <w:noBreakHyphen/>
        <w:t>26) and the associated IP for a CAM</w:t>
        <w:noBreakHyphen/>
        <w:t>E from the laboratory of Professor Raymond Schinazi at Emory University. Our scientists optimized this lead drug candidate to discover the highly potent CAM</w:t>
        <w:noBreakHyphen/>
        <w:t>E, ALG</w:t>
        <w:noBreakHyphen/>
        <w:t>001075, which was further optimized to the prodrug ALG</w:t>
        <w:noBreakHyphen/>
        <w:t>000184. ALG</w:t>
        <w:noBreakHyphen/>
        <w:t>000184 has superior DMPK properties with enhanced absorption and high liver uptake, with a ~2-300-fold improvement in in vitro potency compared to other known CAMs. CAM</w:t>
        <w:noBreakHyphen/>
        <w:t>Es are a class of small molecule antiviral agents that accelerate HBV capsid assembly and inhibit pgRNA encapsidation (1st MOA), resulting in empty viral capsids and lower circulating HBV DNA and RNA levels. CAM</w:t>
        <w:noBreakHyphen/>
        <w:t>Es are also believed to regulate the establishment of cccDNA (2nd MOA), a major factor for the persistence of HBV infection which can be assessed by circulating HBV antigen levels (HBsAg, HBcrAg, and HBeAg). In clinical trials, competitor CAM</w:t>
        <w:noBreakHyphen/>
        <w:t xml:space="preserve">Es have shown reductions in HBV DNA and RNA (1st MOA), but have rarely or inconsistently shown reductions in HBV antigens (2nd MOA). There have also been observations of the emergence of viral CAM-E drug resistance with competitor compounds. </w:t>
      </w:r>
    </w:p>
    <w:p>
      <w:pPr>
        <w:pStyle w:val="TextBody"/>
        <w:bidi w:val="0"/>
        <w:spacing w:before="120" w:after="283"/>
        <w:jc w:val="left"/>
        <w:rPr>
          <w:rFonts w:ascii="Times New Roman" w:hAnsi="Times New Roman"/>
          <w:sz w:val="20"/>
        </w:rPr>
      </w:pPr>
      <w:r>
        <w:rPr>
          <w:rFonts w:ascii="Times New Roman" w:hAnsi="Times New Roman"/>
          <w:color w:val="000000"/>
          <w:sz w:val="20"/>
        </w:rPr>
        <w:t>A multi-part Phase 1 study is ongoing, with the completed evaluation of the safety, tolerability, and pharmacokinetic profile of ALG-000184 in HVs. Additionally, a dose-ranging phase assessing the safety, pharmacokinetics, and antiviral activity of 10-300 mg doses of ALG-000184 administered over 28 days in untreated HBeAg</w:t>
      </w:r>
      <w:r>
        <w:rPr>
          <w:rFonts w:ascii="Times New Roman" w:hAnsi="Times New Roman"/>
          <w:color w:val="000000"/>
          <w:sz w:val="13"/>
        </w:rPr>
        <w:t>+/-</w:t>
      </w:r>
      <w:r>
        <w:rPr>
          <w:rFonts w:ascii="Times New Roman" w:hAnsi="Times New Roman"/>
          <w:color w:val="000000"/>
          <w:sz w:val="20"/>
        </w:rPr>
        <w:t xml:space="preserve"> subjects with chronic HBV infection has also been completed. In these study phases, ALG</w:t>
        <w:noBreakHyphen/>
        <w:t>000184 was found to be well tolerated with a favorable PK profile and demonstrated potentially best-in-class multi-log</w:t>
      </w:r>
      <w:r>
        <w:rPr>
          <w:rFonts w:ascii="Times New Roman" w:hAnsi="Times New Roman"/>
          <w:color w:val="000000"/>
          <w:sz w:val="13"/>
        </w:rPr>
        <w:t xml:space="preserve">10 </w:t>
      </w:r>
      <w:r>
        <w:rPr>
          <w:rFonts w:ascii="Times New Roman" w:hAnsi="Times New Roman"/>
          <w:color w:val="000000"/>
          <w:sz w:val="20"/>
        </w:rPr>
        <w:t>HBV DNA and RNA reductions at all doses tested, as well as HBV surface antigen (HBsAg) reductions in a subset of HBeAg</w:t>
      </w:r>
      <w:r>
        <w:rPr>
          <w:rFonts w:ascii="Times New Roman" w:hAnsi="Times New Roman"/>
          <w:color w:val="000000"/>
          <w:sz w:val="13"/>
        </w:rPr>
        <w:t>+</w:t>
      </w:r>
      <w:r>
        <w:rPr>
          <w:rFonts w:ascii="Times New Roman" w:hAnsi="Times New Roman"/>
          <w:color w:val="000000"/>
          <w:sz w:val="20"/>
        </w:rPr>
        <w:t xml:space="preserve"> subjects receiving 100 mg or 300 mg of ALG-000184 (Hou et al, AASLD 2022). Based on the favorable profile observed with dosing up to 300 mg of ALG-000184 for 28 days, additional Phase 1 cohorts are currently underway to evaluate the risk-benefit profile of ALG-000184 at doses of 300 mg, with or without entecavir (ETV) therapy, for up to 96 weeks in HBeAg</w:t>
      </w:r>
      <w:r>
        <w:rPr>
          <w:rFonts w:ascii="Times New Roman" w:hAnsi="Times New Roman"/>
          <w:color w:val="000000"/>
          <w:sz w:val="13"/>
        </w:rPr>
        <w:t xml:space="preserve">+ </w:t>
      </w:r>
      <w:r>
        <w:rPr>
          <w:rFonts w:ascii="Times New Roman" w:hAnsi="Times New Roman"/>
          <w:color w:val="000000"/>
          <w:sz w:val="20"/>
        </w:rPr>
        <w:t>and HBeAg</w:t>
      </w:r>
      <w:r>
        <w:rPr>
          <w:rFonts w:ascii="Times New Roman" w:hAnsi="Times New Roman"/>
          <w:color w:val="000000"/>
          <w:sz w:val="13"/>
        </w:rPr>
        <w:t>-</w:t>
      </w:r>
      <w:r>
        <w:rPr>
          <w:rFonts w:ascii="Times New Roman" w:hAnsi="Times New Roman"/>
          <w:color w:val="000000"/>
          <w:sz w:val="20"/>
        </w:rPr>
        <w:t xml:space="preserve"> subjects with chronic HBV infection. Preliminary data from several of these cohorts (Hou et al., EASL 2025; Yuen et al., AASLD 2024, APASL 2025, EASL 2025) have been presented, showing that ALG</w:t>
        <w:noBreakHyphen/>
        <w:t>000184, administered for up to 96 weeks, was well tolerated, exhibited a favorable PK profile, and demonstrated potentially best-in-class antiviral activity.</w:t>
      </w:r>
    </w:p>
    <w:p>
      <w:pPr>
        <w:pStyle w:val="TextBody"/>
        <w:bidi w:val="0"/>
        <w:spacing w:before="120" w:after="283"/>
        <w:jc w:val="left"/>
        <w:rPr>
          <w:rFonts w:ascii="Times New Roman" w:hAnsi="Times New Roman"/>
          <w:sz w:val="20"/>
        </w:rPr>
      </w:pPr>
      <w:r>
        <w:rPr>
          <w:rFonts w:ascii="Times New Roman" w:hAnsi="Times New Roman"/>
          <w:color w:val="000000"/>
          <w:sz w:val="20"/>
        </w:rPr>
        <w:t>Data from this study following an oral daily dose of 300 mg ALG</w:t>
        <w:noBreakHyphen/>
        <w:t>000184 monotherapy in HBeAg</w:t>
      </w:r>
      <w:r>
        <w:rPr>
          <w:rFonts w:ascii="Times New Roman" w:hAnsi="Times New Roman"/>
          <w:color w:val="000000"/>
          <w:sz w:val="13"/>
        </w:rPr>
        <w:t>+</w:t>
      </w:r>
      <w:r>
        <w:rPr>
          <w:rFonts w:ascii="Times New Roman" w:hAnsi="Times New Roman"/>
          <w:color w:val="000000"/>
          <w:sz w:val="20"/>
        </w:rPr>
        <w:t xml:space="preserve"> subjects demonstrated sustained HBV DNA suppression (&lt;LLOQ (10 IU/mL, target detected (TD) or target not detected (TND)) in 6/10 (60%) subjects with chronic HBV infection at week 48 and 9/9 (100%) at week 96. Additionally, HBV DNA level continuously declined to &lt; LLOQ (10 IU/mL, target not detected) in 5 of 9 subjects at Week 96. Data from the 300 mg ALG</w:t>
        <w:noBreakHyphen/>
        <w:t>000184 HBeAg</w:t>
      </w:r>
      <w:r>
        <w:rPr>
          <w:rFonts w:ascii="Times New Roman" w:hAnsi="Times New Roman"/>
          <w:color w:val="000000"/>
          <w:sz w:val="13"/>
        </w:rPr>
        <w:t>-</w:t>
      </w:r>
      <w:r>
        <w:rPr>
          <w:rFonts w:ascii="Times New Roman" w:hAnsi="Times New Roman"/>
          <w:color w:val="000000"/>
          <w:sz w:val="20"/>
        </w:rPr>
        <w:t xml:space="preserve"> monotherapy cohort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demonstrated sustained HBV DNA suppression in all 11/11 (100%) subjects by Week 24. The HBV DNA suppression level was maintained in the ALG-000184 monotherapy cohort for up to 96 weeks, with further decline in HBV DNA to &lt; LLOQ (10 IU/mL, target not detected) observed in all subjects (8/8) at Week 96. Importantly, no viral breakthrough was observed in any subject, and no known CAM resistant mutations were identified. </w:t>
      </w:r>
    </w:p>
    <w:p>
      <w:pPr>
        <w:pStyle w:val="TextBody"/>
        <w:bidi w:val="0"/>
        <w:spacing w:before="120" w:after="120"/>
        <w:jc w:val="left"/>
        <w:rPr>
          <w:rFonts w:ascii="Times New Roman" w:hAnsi="Times New Roman"/>
          <w:sz w:val="20"/>
        </w:rPr>
      </w:pPr>
      <w:r>
        <w:rPr>
          <w:rFonts w:ascii="Times New Roman" w:hAnsi="Times New Roman"/>
          <w:color w:val="000000"/>
          <w:sz w:val="20"/>
        </w:rPr>
        <w:t>Additionally, HBV RNA level achieved &lt; LLOQ (10 copies/mL) in all HBeAg</w:t>
      </w:r>
      <w:r>
        <w:rPr>
          <w:rFonts w:ascii="Times New Roman" w:hAnsi="Times New Roman"/>
          <w:color w:val="000000"/>
          <w:sz w:val="13"/>
        </w:rPr>
        <w:t>+</w:t>
      </w:r>
      <w:r>
        <w:rPr>
          <w:rFonts w:ascii="Times New Roman" w:hAnsi="Times New Roman"/>
          <w:color w:val="000000"/>
          <w:sz w:val="20"/>
        </w:rPr>
        <w:t xml:space="preserve"> and HBeAg</w:t>
      </w:r>
      <w:r>
        <w:rPr>
          <w:rFonts w:ascii="Times New Roman" w:hAnsi="Times New Roman"/>
          <w:color w:val="000000"/>
          <w:sz w:val="13"/>
        </w:rPr>
        <w:t>-</w:t>
      </w:r>
      <w:r>
        <w:rPr>
          <w:rFonts w:ascii="Times New Roman" w:hAnsi="Times New Roman"/>
          <w:color w:val="000000"/>
          <w:sz w:val="20"/>
        </w:rPr>
        <w:t xml:space="preserve"> subjects by Week 52 and Week 8, respectively. Furthermore, concurrent multi-log</w:t>
      </w:r>
      <w:r>
        <w:rPr>
          <w:rFonts w:ascii="Times New Roman" w:hAnsi="Times New Roman"/>
          <w:color w:val="000000"/>
          <w:sz w:val="13"/>
        </w:rPr>
        <w:t>10</w:t>
      </w:r>
      <w:r>
        <w:rPr>
          <w:rFonts w:ascii="Times New Roman" w:hAnsi="Times New Roman"/>
          <w:color w:val="000000"/>
          <w:sz w:val="20"/>
        </w:rPr>
        <w:t xml:space="preserve"> reductions in HBV antigens (HBsAg, HBeAg, and HBcrAg) in HBeAg</w:t>
      </w:r>
      <w:r>
        <w:rPr>
          <w:rFonts w:ascii="Times New Roman" w:hAnsi="Times New Roman"/>
          <w:color w:val="000000"/>
          <w:sz w:val="13"/>
        </w:rPr>
        <w:t>+</w:t>
      </w:r>
      <w:r>
        <w:rPr>
          <w:rFonts w:ascii="Times New Roman" w:hAnsi="Times New Roman"/>
          <w:color w:val="000000"/>
          <w:sz w:val="20"/>
        </w:rPr>
        <w:t xml:space="preserve"> subjects and HBcrAg decline in HBeAg</w:t>
      </w:r>
      <w:r>
        <w:rPr>
          <w:rFonts w:ascii="Times New Roman" w:hAnsi="Times New Roman"/>
          <w:color w:val="000000"/>
          <w:sz w:val="13"/>
        </w:rPr>
        <w:t>-</w:t>
      </w:r>
      <w:r>
        <w:rPr>
          <w:rFonts w:ascii="Times New Roman" w:hAnsi="Times New Roman"/>
          <w:color w:val="000000"/>
          <w:sz w:val="20"/>
        </w:rPr>
        <w:t xml:space="preserve"> subjects were observed, suggesting the potential inhibition of cccDNA establishment by CAM-E 2nd mechanism of action of ALG-000184. </w:t>
      </w:r>
    </w:p>
    <w:p>
      <w:pPr>
        <w:pStyle w:val="TextBody"/>
        <w:bidi w:val="0"/>
        <w:jc w:val="left"/>
        <w:rPr>
          <w:rFonts w:ascii="Times New Roman" w:hAnsi="Times New Roman"/>
          <w:sz w:val="20"/>
        </w:rPr>
      </w:pPr>
      <w:r>
        <w:rPr>
          <w:rFonts w:ascii="Times New Roman" w:hAnsi="Times New Roman"/>
          <w:color w:val="000000"/>
          <w:sz w:val="20"/>
        </w:rPr>
        <w:t>Compared to Phase 3 studies with the current standard of care nucleos(t)ide analogs (NAs), tenofovir disoproxil fumarate (TDF) and tenofovir alafenamide (TAF) (Buti et al., Lancet Gastro, 2016; Chen et al., Lancet Gastro 2016), these Phase 1 data to date suggest, subject to confirmation via further study, that ALG</w:t>
        <w:noBreakHyphen/>
        <w:t>000184 treatment may be superior to NAs in HBeAg</w:t>
      </w:r>
      <w:r>
        <w:rPr>
          <w:rFonts w:ascii="Times New Roman" w:hAnsi="Times New Roman"/>
          <w:color w:val="000000"/>
          <w:sz w:val="13"/>
        </w:rPr>
        <w:t>+/-</w:t>
      </w:r>
      <w:r>
        <w:rPr>
          <w:rFonts w:ascii="Times New Roman" w:hAnsi="Times New Roman"/>
          <w:color w:val="000000"/>
          <w:sz w:val="20"/>
        </w:rPr>
        <w:t xml:space="preserve"> subjects in achieving HBV DNA levels &lt; LLOQ (10 IU/mL) after 48 weeks on treatment, which is the approvable endpoint for chronic suppressive therapy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ALG-000184. These clinical studies, including the Phase 2 B-SUPREME study, will be conducted to test superiority to standard of care NA treatment (HBV DNA levels &lt; LLOQ (10 IU/ml, target detected or target not detected) in HBeAG</w:t>
      </w:r>
      <w:r>
        <w:rPr>
          <w:rFonts w:ascii="Times New Roman" w:hAnsi="Times New Roman"/>
          <w:color w:val="000000"/>
          <w:sz w:val="13"/>
        </w:rPr>
        <w:t>+</w:t>
      </w:r>
      <w:r>
        <w:rPr>
          <w:rFonts w:ascii="Times New Roman" w:hAnsi="Times New Roman"/>
          <w:color w:val="000000"/>
          <w:sz w:val="20"/>
        </w:rPr>
        <w:t xml:space="preserve"> subjects and HBV DNA levels &lt; LLOQ (10 IU/ml, target not detected) in HBeAg</w:t>
      </w:r>
      <w:r>
        <w:rPr>
          <w:rFonts w:ascii="Times New Roman" w:hAnsi="Times New Roman"/>
          <w:color w:val="000000"/>
          <w:sz w:val="13"/>
        </w:rPr>
        <w:t xml:space="preserve">- </w:t>
      </w:r>
      <w:r>
        <w:rPr>
          <w:rFonts w:ascii="Times New Roman" w:hAnsi="Times New Roman"/>
          <w:color w:val="000000"/>
          <w:sz w:val="20"/>
        </w:rPr>
        <w:t xml:space="preserve">subjects) after 48 weeks of monotherapy treatment. Furthermore, when combined with other mechanisms of action, including other candidates in our chronic HBV infection portfolio, ALG-000184 dosing regimens have the potential to contribute to achieving higher rates of functional cure, subject to testing such endpoint, as compared with currently approved agents. </w:t>
      </w:r>
    </w:p>
    <w:p>
      <w:pPr>
        <w:pStyle w:val="TextBody"/>
        <w:bidi w:val="0"/>
        <w:spacing w:before="120" w:after="283"/>
        <w:jc w:val="left"/>
        <w:rPr>
          <w:rFonts w:ascii="Times New Roman" w:hAnsi="Times New Roman"/>
          <w:sz w:val="20"/>
        </w:rPr>
      </w:pPr>
      <w:r>
        <w:rPr>
          <w:rFonts w:ascii="Times New Roman" w:hAnsi="Times New Roman"/>
          <w:color w:val="000000"/>
          <w:sz w:val="20"/>
        </w:rPr>
        <w:t>Dosing of HBeAg</w:t>
      </w:r>
      <w:r>
        <w:rPr>
          <w:rFonts w:ascii="Times New Roman" w:hAnsi="Times New Roman"/>
          <w:color w:val="000000"/>
          <w:sz w:val="13"/>
        </w:rPr>
        <w:t xml:space="preserve">+ </w:t>
      </w:r>
      <w:r>
        <w:rPr>
          <w:rFonts w:ascii="Times New Roman" w:hAnsi="Times New Roman"/>
          <w:color w:val="000000"/>
          <w:sz w:val="20"/>
        </w:rPr>
        <w:t>and HBeAg</w:t>
      </w:r>
      <w:r>
        <w:rPr>
          <w:rFonts w:ascii="Times New Roman" w:hAnsi="Times New Roman"/>
          <w:color w:val="000000"/>
          <w:sz w:val="13"/>
        </w:rPr>
        <w:t>-</w:t>
      </w:r>
      <w:r>
        <w:rPr>
          <w:rFonts w:ascii="Times New Roman" w:hAnsi="Times New Roman"/>
          <w:color w:val="000000"/>
          <w:sz w:val="20"/>
        </w:rPr>
        <w:t xml:space="preserve"> subjects with ALG</w:t>
        <w:noBreakHyphen/>
        <w:t xml:space="preserve">000184 in Phase 1 was recently completed and 96-week safety, PK, antiviral activity, and certain post-treatment data are expected to be presented at upcoming scientific conferences. In 2024, Aligos announced that the FDA cleared the Company’s investigational new drug application (IND) for a Phase 1 drug-drug interaction study, which has been completed. </w:t>
      </w:r>
    </w:p>
    <w:p>
      <w:pPr>
        <w:pStyle w:val="TextBody"/>
        <w:bidi w:val="0"/>
        <w:spacing w:before="120" w:after="283"/>
        <w:jc w:val="left"/>
        <w:rPr>
          <w:rFonts w:ascii="Times New Roman" w:hAnsi="Times New Roman"/>
          <w:sz w:val="20"/>
        </w:rPr>
      </w:pPr>
      <w:r>
        <w:rPr>
          <w:rFonts w:ascii="Times New Roman" w:hAnsi="Times New Roman"/>
          <w:color w:val="000000"/>
          <w:sz w:val="20"/>
        </w:rPr>
        <w:t>The Phase 2 B-SUPREME (NCT04746183) study is designed as a randomized, double-blind, active-controlled multicenter study evaluating the safety and efficacy of ALG-000184 monotherapy compared with tenofovir disoproxil fumarate in approximately 200 currently untreated HBeAg</w:t>
      </w:r>
      <w:r>
        <w:rPr>
          <w:rFonts w:ascii="Times New Roman" w:hAnsi="Times New Roman"/>
          <w:color w:val="000000"/>
          <w:sz w:val="13"/>
        </w:rPr>
        <w:t>+</w:t>
      </w:r>
      <w:r>
        <w:rPr>
          <w:rFonts w:ascii="Times New Roman" w:hAnsi="Times New Roman"/>
          <w:color w:val="000000"/>
          <w:sz w:val="20"/>
        </w:rPr>
        <w:t xml:space="preserve"> and HBeAg</w:t>
      </w:r>
      <w:r>
        <w:rPr>
          <w:rFonts w:ascii="Times New Roman" w:hAnsi="Times New Roman"/>
          <w:color w:val="000000"/>
          <w:sz w:val="13"/>
        </w:rPr>
        <w:t>-</w:t>
      </w:r>
      <w:r>
        <w:rPr>
          <w:rFonts w:ascii="Times New Roman" w:hAnsi="Times New Roman"/>
          <w:color w:val="000000"/>
          <w:sz w:val="20"/>
        </w:rPr>
        <w:t xml:space="preserve"> adult subjects with chronic HBV infection for 48 weeks. The primary endpoint in the HBeAg</w:t>
      </w:r>
      <w:r>
        <w:rPr>
          <w:rFonts w:ascii="Times New Roman" w:hAnsi="Times New Roman"/>
          <w:color w:val="000000"/>
          <w:sz w:val="13"/>
        </w:rPr>
        <w:t>+</w:t>
      </w:r>
      <w:r>
        <w:rPr>
          <w:rFonts w:ascii="Times New Roman" w:hAnsi="Times New Roman"/>
          <w:color w:val="000000"/>
          <w:sz w:val="20"/>
        </w:rPr>
        <w:t xml:space="preserve"> arm is HBV DNA &lt;LLOQ (10 IU/mL, target detected (TD) or target not detected (TND)) and the primary endpoint in the HBeAg</w:t>
      </w:r>
      <w:r>
        <w:rPr>
          <w:rFonts w:ascii="Times New Roman" w:hAnsi="Times New Roman"/>
          <w:color w:val="000000"/>
          <w:sz w:val="13"/>
        </w:rPr>
        <w:t>-</w:t>
      </w:r>
      <w:r>
        <w:rPr>
          <w:rFonts w:ascii="Times New Roman" w:hAnsi="Times New Roman"/>
          <w:color w:val="000000"/>
          <w:sz w:val="20"/>
        </w:rPr>
        <w:t xml:space="preserve"> arm is HBV DNA &lt;LLOQ (10 IU/mL target not detected (TND)). The study is also evaluating safety, pharmacokinetics, and other secondary and exploratory biomarkers, including reductions in HBV antigens and other markers of HBV infection. The Phase 2 study began obtaining regulatory approvals, activating global sites, and screening subjects recently. Dosing is expected to commence in the coming weeks. The Company expects to announce interim data is projected in 2026, and topline data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exploring additional ways to potentially treat patients with chronic HBV infection, including our antisense oligonucleotide (ASO) platform which utilizes novel monomers that could potentially reduce ASO toxicity and improve ASO liver to kidney ratio.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055009: Potential best-in-class small molecule THR-β agonist for metabolic dysfunction-associated steatohepatitis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MASH is a complex, chronic liver disease which is a leading cause of liver-related morbidity including cirrhosis, hepatocellular carcinoma, liver transplant, and end-stage liver disease. In 2024, the FDA approved resmetirom, a THR-β agonist, as the first drug for the treatment of MASH. However, additional agents in this class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an improved PK profile. We believe these advantages position ALG</w:t>
        <w:noBreakHyphen/>
        <w:t xml:space="preserve">055009 as a strong candidate to become a best-in-class THR-β agonist.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first-in-human Phase 1 study of ALG</w:t>
        <w:noBreakHyphen/>
        <w:t>055009 in HVs (oral single ascending doses (SAD)) and in subjects with hyperlipidemia (14 oral daily multiple ascending doses (MAD)) has been completed. Clinical data after single doses up to 4 mg and multiple doses up to 1 mg showed that ALG</w:t>
        <w:noBreakHyphen/>
        <w:t xml:space="preserve">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these promising Phase 1 data, we initiated the Phase 2a HERALD study (NCT06342947) at sites across the United States. The study was a 12-week randomized, double-blind, placebo-controlled trial evaluating 4 doses (0.3 mg, 0.5 mg, 0.7 mg,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noBreakHyphen/>
        <w:t xml:space="preserve">β agonists. We announced positive topline data from this study in 2024, demonstrating that ALG-055009 dose groups were well-tolerated and met the primary endpoint. Specifically, doses of 0.5 mg to 0.9 mg ALG-055009 demonstrated statistically significant reductions in liver fat at Week 12, with placebo-adjusted median relative reductions up to 46.2% as measured by MRI-PDFF. Up to 70% of subjects achieved ≥30% relative reduction in liver fat compared to baseline. Eighteen subjects who were on stable GLP-1 agonist therapy qualified for enrollment in the study, with liver fat content meeting the inclusion criteria of ≥10% at baseline as measured by MRI-PDFF. Notably, 11 of 14 subjects on stable GLP-1 agonists treated with ALG-055009 had liver fat decreases, whereas 4 of 4 subjects on stable GLP-1 agonists treated with placebo had increases in liver fat over the 12-week dosing period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2a study, ALG</w:t>
        <w:noBreakHyphen/>
        <w:t>055009 demonstrated a favorable tolerability profile with no evidence of clinical hyper/hypothyroidism. Incidence of gastrointestinal-related treatment emergent adverse events were similar in ALG</w:t>
        <w:noBreakHyphen/>
        <w:t>055009 dose groups compared to placebo. Specifically, similar rates of diarrhea were observed in ALG</w:t>
        <w:noBreakHyphen/>
        <w:t xml:space="preserve">055009 dose groups compared to placebo, with no dose-response. Significant reductions in atherogenic lipids, including LDL-C, lipoprotein (a), and apolipoprotein B, were also observed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evaluate a variety of options to fund continued development, including potential out-licensing.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097558: Potential best-in-class small molecule ritonavir-free protease inhibitor for pan-coronavirus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noBreakHyphen/>
        <w:t xml:space="preserve">097558 which has completed a Phase 1 first-in-human evaluation in healthy volunteers and advanced into a clinical trial evaluating high-risk COVID-19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097558 has been shown in preclinical studies to be at least 3-fold more potent than nirmatrelvir and other PIs in clinical development against a panel of SARS-CoV-2 variants (including Omicron). It also has demonstrated broad pan</w:t>
        <w:noBreakHyphen/>
        <w:t>coronavirus activity, including against SARS-CoV-1 and MERS-CoV. In the first-in-human Phase 1 clinical study, single doses up to 2000 mg and multiple doses up to 800 mg Q12H for 7 days were well tolerated with an acceptable PK profile that suggests ritonavir boosting is not required. Furthermore, the absence of a clinically relevant DDI with midazolam suggests that ALG</w:t>
        <w:noBreakHyphen/>
        <w:t>097558 can be co-administered with CYP3A4 substrates (NCT05840952). Based on these Phase 1 data (Wilkes et al., RespiDart, 2024), the projected efficacious dose range to treat SARS-CoV-2 is 200-600 mg ALG</w:t>
        <w:noBreakHyphen/>
        <w:t xml:space="preserve">097558 Q12 x 5 days, without the need for ritonavir coadministration.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w:t>
        <w:noBreakHyphen/>
        <w:t>097558 began three additional clinical trials in 2024. AGILE University of Liverpool, a UK government supported platform trial (MRC and Wellcome Trust funding), is sponsoring and performing a study in high</w:t>
        <w:noBreakHyphen/>
        <w:t>risk COVID</w:t>
        <w:noBreakHyphen/>
        <w:t>19 patients evaluating ALG</w:t>
        <w:noBreakHyphen/>
        <w:t>097558 as monotherapy or in combination with remdesivir (NCT04746183). Additionally, clinical studies evaluating PK in special populations (renal and hepatic impairment subjects; NIAID contract) are on-going (NCT06698549). NIAID is also sponsoring a drug</w:t>
        <w:noBreakHyphen/>
        <w:t>drug interaction and relative bioavailability study in healthy volunteers that began dosing in the second quarter of 2025 (NCT06568861). We expect that future development of ALG</w:t>
        <w:noBreakHyphen/>
        <w:t>097558, including ongoing Phase 2 enabling activities, will be funded by external sources, including public funding sources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 75N93023C00052. We filed an IND in the third quarter of 2024 and clinical studies in special populations were initiated in the second half of 2024 as part of this NIAID contract. We expect to receive approximately $15.3 million in funds across these two NIH awards and contracts to support these activities. To date, these funds have not been impacted by any changes at the NIH or NIAID. We are also seeking additional external funding (e.g., from governmental agencies) to support future studies as we advance ALG</w:t>
        <w:noBreakHyphen/>
        <w:t>097558 for the treatment of COVID</w:t>
        <w:noBreakHyphen/>
        <w:t xml:space="preserve">19 and future coronavirus pandemics.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consist of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included recognition of our upfront payments pursuant to an agreement and amendment with Merck Sharp &amp; Dohme Corp, that were terminated in prior years. In order to record collaboration revenue, we utilized an input method to recognize revenue over time as costs were incurred.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revenue</w:t>
      </w:r>
      <w:r>
        <w:rPr>
          <w:rFonts w:ascii="Times New Roman" w:hAnsi="Times New Roman"/>
          <w:color w:val="000000"/>
          <w:sz w:val="20"/>
        </w:rPr>
        <w:t xml:space="preserve"> includes recognition of revenue generated from research and development services under third-party contracts with customers. In order to record contract revenue, we utilize an input method to recognize revenue over time as costs are incurred.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since inception have consisted solely of research and development costs and general and administrative costs.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in connection with our ongoing clinical development activities related to our chronic HBV infection drug candidate ALG</w:t>
        <w:noBreakHyphen/>
        <w:t xml:space="preserve">000184.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in-process research and development, including license fees and milestones paid to third-party collaborators for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comprises interest income, net and other income, net. Interest income, net primarily consists of interest earned on our cash, cash equivalents, and investments. Other income, net includes investments and foreign currency gains/losses.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2023 common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fair value of 2023 common warrants includes the remeasurement of the 2023 common warrants using the Black Scholes option pricing model at each reporting period.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in each year since our formation in February 2018. Our net income was $27.2 million for the six months ended June 30, 2025 and net loss was $29.8 million for the six months ended June 30, 2024, and our net losses were $131.2 million for the year ended December 31, 2024. We have had no revenue from product sales. As of June 30, 2025, we had an accumulated deficit of $590.8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and six months ended June 30,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and six months ended June 30, 2025 and 2024 (in thousands):</w:t>
      </w:r>
    </w:p>
    <w:p>
      <w:pPr>
        <w:pStyle w:val="TextBody"/>
        <w:bidi w:val="0"/>
        <w:jc w:val="left"/>
        <w:rPr/>
      </w:pPr>
      <w:r>
        <w:rPr/>
        <w:t> </w:t>
      </w:r>
    </w:p>
    <w:tbl>
      <w:tblPr>
        <w:tblW w:w="10978" w:type="dxa"/>
        <w:jc w:val="left"/>
        <w:tblInd w:w="0" w:type="dxa"/>
        <w:tblLayout w:type="fixed"/>
        <w:tblCellMar>
          <w:top w:w="28" w:type="dxa"/>
          <w:left w:w="28" w:type="dxa"/>
          <w:bottom w:w="28" w:type="dxa"/>
          <w:right w:w="28" w:type="dxa"/>
        </w:tblCellMar>
      </w:tblPr>
      <w:tblGrid>
        <w:gridCol w:w="1291"/>
        <w:gridCol w:w="146"/>
        <w:gridCol w:w="211"/>
        <w:gridCol w:w="736"/>
        <w:gridCol w:w="166"/>
        <w:gridCol w:w="146"/>
        <w:gridCol w:w="211"/>
        <w:gridCol w:w="736"/>
        <w:gridCol w:w="166"/>
        <w:gridCol w:w="146"/>
        <w:gridCol w:w="211"/>
        <w:gridCol w:w="736"/>
        <w:gridCol w:w="166"/>
        <w:gridCol w:w="146"/>
        <w:gridCol w:w="146"/>
        <w:gridCol w:w="481"/>
        <w:gridCol w:w="271"/>
        <w:gridCol w:w="146"/>
        <w:gridCol w:w="211"/>
        <w:gridCol w:w="736"/>
        <w:gridCol w:w="166"/>
        <w:gridCol w:w="146"/>
        <w:gridCol w:w="211"/>
        <w:gridCol w:w="736"/>
        <w:gridCol w:w="166"/>
        <w:gridCol w:w="146"/>
        <w:gridCol w:w="211"/>
        <w:gridCol w:w="736"/>
        <w:gridCol w:w="166"/>
        <w:gridCol w:w="146"/>
        <w:gridCol w:w="146"/>
        <w:gridCol w:w="481"/>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from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revenue recognized from collaborations for the three and six months ended June 30, 2025, due to the termination of the Merck collaboration agreement in the first quarter of 2024. We recognized $0.3 million as revenue from collaborations for the six months ended June 30, 2024. </w:t>
      </w:r>
    </w:p>
    <w:p>
      <w:pPr>
        <w:pStyle w:val="TextBody"/>
        <w:bidi w:val="0"/>
        <w:spacing w:before="240" w:after="283"/>
        <w:jc w:val="left"/>
        <w:rPr>
          <w:rFonts w:ascii="Times New Roman" w:hAnsi="Times New Roman"/>
          <w:sz w:val="20"/>
        </w:rPr>
      </w:pPr>
      <w:r>
        <w:rPr>
          <w:rFonts w:ascii="Times New Roman" w:hAnsi="Times New Roman"/>
          <w:i/>
          <w:color w:val="000000"/>
          <w:sz w:val="20"/>
        </w:rPr>
        <w:t>Revenue from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customers decreased by $0.1 million and $0.5 million for the three and six months ended June 30, 2025, when compared to the same period in 2024. The decrease was due to the near completion of the original agreement with Amoytop and the start of the extension agreement.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track direct external research and development expenses on a program-specific basis (chronic HBV infection, MASH, coronaviruses and early-stage programs). The following table summarizes these research and development costs (in thousands):</w:t>
      </w:r>
    </w:p>
    <w:tbl>
      <w:tblPr>
        <w:tblW w:w="10205" w:type="dxa"/>
        <w:jc w:val="left"/>
        <w:tblInd w:w="0" w:type="dxa"/>
        <w:tblLayout w:type="fixed"/>
        <w:tblCellMar>
          <w:top w:w="28" w:type="dxa"/>
          <w:left w:w="28" w:type="dxa"/>
          <w:bottom w:w="28" w:type="dxa"/>
          <w:right w:w="28" w:type="dxa"/>
        </w:tblCellMar>
      </w:tblPr>
      <w:tblGrid>
        <w:gridCol w:w="5019"/>
        <w:gridCol w:w="146"/>
        <w:gridCol w:w="236"/>
        <w:gridCol w:w="757"/>
        <w:gridCol w:w="163"/>
        <w:gridCol w:w="236"/>
        <w:gridCol w:w="757"/>
        <w:gridCol w:w="146"/>
        <w:gridCol w:w="146"/>
        <w:gridCol w:w="217"/>
        <w:gridCol w:w="698"/>
        <w:gridCol w:w="171"/>
        <w:gridCol w:w="217"/>
        <w:gridCol w:w="698"/>
        <w:gridCol w:w="598"/>
      </w:tblGrid>
      <w:tr>
        <w:trPr/>
        <w:tc>
          <w:tcPr>
            <w:tcW w:w="5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expenses by development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Chronic Hepatitis B virus infection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Metabolic dysfunction-associated steatohepatitis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Coronaviruses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37,464</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decreased by $7.1 million during the three months ended June 30, 2025, compared to the same period in 2024. The decrease in the three-month period was primarily due to a $7.6 million decrease in third-party expenses due to reduced clinical study costs as a result of the completion of the MASH Phase 2a clinical trial, partially offset by increased spend in the chronic HBV infection program. This was partially offset by a $0.3 million increase in travel and entertainment and a $0.2 million increase in facility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decreased by $9.0 million during the six months ended June 30, 2025, compared to the same period in 2024. The decrease in the six-month period was primarily due to a $8.7 million decrease in third-party expenses due to reduced clinical study costs as a result of the completion of the MASH Phase 2a clinical trial, partially offset by increased spend in the chronic HBV infection program and a $0.5 million decrease in employee-related costs, partially offset by a $0.2 million increase in facility, travel and other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$0.8 million during the three months ended June 30, 2025, compared to the same period in 2024. This was primarily due to a $1.0 million decrease in third party expenses due to reduced legal and intellectual property spend, partially offset by a $0.2 million increase in facility, travel and entertainment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$2.4 million during the six months ended June 30, 2025, compared to the same period in 2024. This was primarily due to a $1.8 million decrease in third party expenses due to reduced legal and intellectual property spend. There was also a $0.6 million decrease in salary costs.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our interest and other income, net for the three and six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1533"/>
        <w:gridCol w:w="146"/>
        <w:gridCol w:w="211"/>
        <w:gridCol w:w="571"/>
        <w:gridCol w:w="146"/>
        <w:gridCol w:w="146"/>
        <w:gridCol w:w="211"/>
        <w:gridCol w:w="571"/>
        <w:gridCol w:w="146"/>
        <w:gridCol w:w="146"/>
        <w:gridCol w:w="211"/>
        <w:gridCol w:w="376"/>
        <w:gridCol w:w="166"/>
        <w:gridCol w:w="146"/>
        <w:gridCol w:w="146"/>
        <w:gridCol w:w="376"/>
        <w:gridCol w:w="271"/>
        <w:gridCol w:w="146"/>
        <w:gridCol w:w="211"/>
        <w:gridCol w:w="571"/>
        <w:gridCol w:w="146"/>
        <w:gridCol w:w="146"/>
        <w:gridCol w:w="211"/>
        <w:gridCol w:w="571"/>
        <w:gridCol w:w="146"/>
        <w:gridCol w:w="146"/>
        <w:gridCol w:w="211"/>
        <w:gridCol w:w="631"/>
        <w:gridCol w:w="166"/>
        <w:gridCol w:w="146"/>
        <w:gridCol w:w="146"/>
        <w:gridCol w:w="376"/>
        <w:gridCol w:w="716"/>
      </w:tblGrid>
      <w:tr>
        <w:trPr/>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and other income, net remained relatively flat during the three months ended June 30, 2025 as compared to the same period in the prior year. Interest and other income decreased by $0.7 million during the six months ended June 30, 2025 as compared to the same period in the prior year due primarily to a decrease in the accretion of short-term investments.</w:t>
      </w:r>
    </w:p>
    <w:p>
      <w:pPr>
        <w:pStyle w:val="TextBody"/>
        <w:bidi w:val="0"/>
        <w:spacing w:before="240" w:after="240"/>
        <w:jc w:val="left"/>
        <w:rPr>
          <w:rFonts w:ascii="Times New Roman" w:hAnsi="Times New Roman"/>
          <w:sz w:val="20"/>
        </w:rPr>
      </w:pPr>
      <w:r>
        <w:rPr>
          <w:rFonts w:ascii="Times New Roman" w:hAnsi="Times New Roman"/>
          <w:i/>
          <w:color w:val="000000"/>
          <w:sz w:val="20"/>
        </w:rPr>
        <w:t>Change in fair value of 2023 common warrants</w:t>
      </w:r>
      <w:r>
        <w:rPr>
          <w:rFonts w:ascii="Times New Roman" w:hAnsi="Times New Roman"/>
          <w:color w:val="000000"/>
          <w:sz w:val="20"/>
        </w:rPr>
        <w:t xml:space="preserve"> </w:t>
      </w:r>
    </w:p>
    <w:tbl>
      <w:tblPr>
        <w:tblW w:w="10518" w:type="dxa"/>
        <w:jc w:val="left"/>
        <w:tblInd w:w="0" w:type="dxa"/>
        <w:tblLayout w:type="fixed"/>
        <w:tblCellMar>
          <w:top w:w="28" w:type="dxa"/>
          <w:left w:w="28" w:type="dxa"/>
          <w:bottom w:w="28" w:type="dxa"/>
          <w:right w:w="28" w:type="dxa"/>
        </w:tblCellMar>
      </w:tblPr>
      <w:tblGrid>
        <w:gridCol w:w="1226"/>
        <w:gridCol w:w="146"/>
        <w:gridCol w:w="211"/>
        <w:gridCol w:w="571"/>
        <w:gridCol w:w="146"/>
        <w:gridCol w:w="146"/>
        <w:gridCol w:w="211"/>
        <w:gridCol w:w="676"/>
        <w:gridCol w:w="146"/>
        <w:gridCol w:w="146"/>
        <w:gridCol w:w="211"/>
        <w:gridCol w:w="736"/>
        <w:gridCol w:w="166"/>
        <w:gridCol w:w="146"/>
        <w:gridCol w:w="146"/>
        <w:gridCol w:w="376"/>
        <w:gridCol w:w="271"/>
        <w:gridCol w:w="146"/>
        <w:gridCol w:w="211"/>
        <w:gridCol w:w="676"/>
        <w:gridCol w:w="146"/>
        <w:gridCol w:w="146"/>
        <w:gridCol w:w="211"/>
        <w:gridCol w:w="676"/>
        <w:gridCol w:w="146"/>
        <w:gridCol w:w="146"/>
        <w:gridCol w:w="211"/>
        <w:gridCol w:w="676"/>
        <w:gridCol w:w="146"/>
        <w:gridCol w:w="146"/>
        <w:gridCol w:w="146"/>
        <w:gridCol w:w="421"/>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fair value of 2023 common warrants was a decrease of $28.8 million and an increase of $47.1 million for the three and six months ended June 30, 2025 compared to the same period ended June 30, 2024. The change was due to a change in the fair value of the 2023 common warrants measured using the Black Scholes option pricing model remeasured at each reporting period, principally due to a change in the stock price between reporting periods.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year since inception. Our net losses were $131.2 million for the year ended December 31, 2024 and $87.7 million for the year ended December 31, 2023. We had a net income of $27.2 million for the six months ended June 30, 2025, due to a gain resulting from the remeasurement of the 2023 Common Warrants. Without this gain, we would have a net loss. We have not generated any revenue from product sales or any other sources and have incurred significant operating losses. We have not yet commercialized any products and we do not expect to generate revenue from sales of any drug candidates for at least several years,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entered into a securities purchase agreement (the 2025 Securities Purchase Agreement) with certain investors named therein (the Purchasers) pursuant to which we issued (i) 2,103,307 shares of our common stock (the Common Stock), consisting of 1,427,000 shares of voting Common Stock and 676,307 shares of non-voting Common Stock, (ii) pre</w:t>
        <w:noBreakHyphen/>
        <w:t xml:space="preserve">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Each Warrant is exercisable for one share of Common Stock (the 2025 Private Placement). We received gross proceeds of $105.0 million. In connection with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cash, cash equivalents and investments of $122.9 million. </w:t>
      </w:r>
    </w:p>
    <w:p>
      <w:pPr>
        <w:pStyle w:val="TextBody"/>
        <w:bidi w:val="0"/>
        <w:spacing w:before="24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chronic HBV infection drug candidate ALG</w:t>
        <w:noBreakHyphen/>
        <w:t xml:space="preserve">000184, which we have initiated clinical trials, as well as our research and development of our other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incur costs associated with operating as a public company. We expect that our expenses will increase substantially to the extent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drug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clinical, quality control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(in thousands): </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5206"/>
        <w:gridCol w:w="146"/>
        <w:gridCol w:w="211"/>
        <w:gridCol w:w="781"/>
        <w:gridCol w:w="166"/>
        <w:gridCol w:w="146"/>
        <w:gridCol w:w="211"/>
        <w:gridCol w:w="736"/>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operating activities utilized $36.4 million of cash, primarily resulting from our net income of $27.2 million, offset by net changes in operating assets and liabilities of $2.9 million, and non-cash charges of $60.7 million, driven by the gain as a result of remeasuring the 2023 Common Warrants. Net cash used in operating activities resulted in changes in our operating assets and liabilities of $2.9 million, consisting of a decrease of $3.4 million in accrued liabilities, a decrease of $1.5 million in operating lease liabilities, partially offset by an increase of $0.4 million in deferred revenue, a decrease in other assets of $0.2 million, and an increase of $1.3 million in accounts payable. The increase in deferred revenue was due to the recognition of revenue from customers due to progress towards the completion of the projects. The decrease in accrued liabilities was largely due to the bonus payments that occurred in the first quarter of 2025. The increase in accounts payable is due to the timing of payments to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operating activities utilized $42.2 million of cash, primarily resulting from our net loss of $29.8 million and net changes in operating assets and liabilities of $1.4 million, partially offset by non-cash charges of $11.1 million. Net cash used in operating activities resulted in changes in our operating assets and liabilities of $1.4 million, consisting of a decrease of $4.8 million in accrued liabilities, a decrease of $1.3 million in operating lease liabilities, and a decrease in other assets of $0.3 million, partially offset by an increase of $4.3 million in accounts payable. The decrease in accrued liabilities was largely due to the bonus payments that occurred in the first quarter of 2024. The decrease in accounts payable is due to the timing of payments to vendors.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investing activities used $83.5 million of cash, primarily due to $103.3 million of purchase of short-term investments, partially offset by $20.0 million related to maturities of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investing activities used $48.6 million of cash, primarily due to $88.6 million of purchase of short-term investments, partially offset by $40.0 million related to maturities of short-term investments. </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financing activities was $101.6 million, primarily due to proceeds from the 2025 PIPE financing.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net cash provided by financing activities was $0.3 million, primarily due to proceeds from the ESPP purchases. </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material changes to our contractual obligations and commitments as of June 30, 2025 as disclosed in the contractual obligations and commitment section in our Annual Report on Form 10-K filed with the SEC on March 10, 2025. </w:t>
      </w:r>
    </w:p>
    <w:p>
      <w:pPr>
        <w:pStyle w:val="TextBody"/>
        <w:bidi w:val="0"/>
        <w:spacing w:before="24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related to third party claims against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our critical accounting estimates, see the section titled “Management’s Discussion and Analysis of Financial Condition and Results of Operations” and the notes to our audited financial statements in our Annual Report on Form 10-K, filed with the SEC on March 10, 2025 for the year ended December 31, 2024, and the notes to the financial statements appearing elsewhere in this Quarterly Report on Form 10-Q. There have been no material changes to these critical accounting policies and estimates through June 30, 2025 from those discussed in our Form 10-K.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expected impact of recently adopted accounting pronouncements, see Note 2. Summary of significant accounting policies in the “Notes to Unaudited Condensed Consolidated Financial Statements” contained in Part I, Item 1 of this report. </w:t>
      </w:r>
    </w:p>
    <w:p>
      <w:pPr>
        <w:pStyle w:val="TextBody"/>
        <w:bidi w:val="0"/>
        <w:spacing w:before="24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market risk during the three and six months ended June 30, 2025, compared to the disclosures in Part II, Item 7A of our Annual Report on Form 10-K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2025, our disclosure controls and procedures were effective at the reasonable assurance level.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that occurred during the fiscal quarter ended June 30, 2025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net losses. Our net losses were $131.2 million for the year ended December 31, 2024 and $87.7 million for the year ended December 31, 2023. We had a net income of $27.2 million for the six months ended June 30, 2025, due to a gain resulting from the remeasurement of the 2023 Common Warrants. Without this gain, we would have a net loss. As of June 30, 2025, we had total stockholders’ equity of $101.9 million.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never generated revenue from product sales and may never be profitable for a full fiscal year.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any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navigating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June 30, 2025, we had cash, cash equivalents and investments of $122.9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convertible notes and warrants.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October 2023 and February 2025, we completed a private placement of 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and in particular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continuing widespread pandemic could result in significant disruption of global financial markets, reducing our ability to access capital, which could negatively affect our liquidity and ability to progress our operations. In addition, a recession,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down-turn, market correction or supply chain disruption resulting from health pandemics or epidemics could materially adversely affect the value of our common stock.</w:t>
      </w:r>
    </w:p>
    <w:p>
      <w:pPr>
        <w:pStyle w:val="TextBody"/>
        <w:bidi w:val="0"/>
        <w:spacing w:before="240" w:after="283"/>
        <w:jc w:val="left"/>
        <w:rPr>
          <w:rFonts w:ascii="Times New Roman" w:hAnsi="Times New Roman"/>
          <w:sz w:val="20"/>
        </w:rPr>
      </w:pPr>
      <w:bookmarkStart w:id="15" w:name="risks_related_to_product_development_reg"/>
      <w:bookmarkEnd w:id="15"/>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STOPSTM drug candidate, ALG-010133, one of our proprietary s-antigen transport-inhibiting oligonucleotide polymers that was in a Phase 1b dose range finding trial (NCT04485663) evaluating subjects with chronic HBV infection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noBreakHyphen/>
        <w:t xml:space="preserve">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drug candidates both in the United States and in select foreign countries. While the scope of regulatory approval in other countries is generally similar to that in the United States, in order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current and future drug candidates depends on many factors,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drug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virus infection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due to other global-scale potentially catastrophic events, including other public health pandemics or epidemics, terrorism, war, and climate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drug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drug candidates may not be sufficient to support the submission of an NDA to the FDA or other submission or to obtain regulatory approval in the United States, the European Union (EU)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chronic HBV infection, ALG</w:t>
        <w:noBreakHyphen/>
        <w:t>020572, due to an unanticipated serious adverse event involving significant increase in ALT in one chronic HBV infection subject and several other subjects experiencing ALT flares in the same study. Finally, for our siRNA drug candidate targeting HBsAg production, ALG</w:t>
        <w:noBreakHyphen/>
        <w:t xml:space="preserve">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disruptions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For example, if such laws or restrictions are passed, they could have the potential to severely restrict the ability of U.S. biotechnology companies like us to purchase services or products from, collaborate with, or otherwise work with certain Chinese biotechnology companies.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uncertainty as to how measures being implemented by the new administration will impact the operations of various agencies.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chronic HBV infection is at an early stage and we may be unable to produce a therapy that successfully treats chronic HBV infection.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pursuit of a treatment for chronic HBV infection, including ALG</w:t>
        <w:noBreakHyphen/>
        <w:t xml:space="preserve">000184, a CAM-E that is currently in a multipart Phase 1 trial, and a recently started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MASH is at an early stage and we may be unable to produce a therapy that successfully treats MASH.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pursuit of a treatment for MASH, including ALG-055009, our THR</w:t>
        <w:noBreakHyphen/>
        <w:t xml:space="preserve">ß agonist which has completed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therapies for COVID-19 is at an early stage.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the outbreak of COVID-19, the disease caused by the virus SARS-CoV-2, we are pursuing various potential therapies to address the disease, including our drug candidate ALG-097558, an oral protease inhibitor which is currently in a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trial in COVID-19 subjects. Our development of this potential therapy is at an early stage, and we may be unable to produce in a timely manner a therapy that successfully treats the virus or that has broad clinical applicability,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committing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have been widely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for participation in our clinical trials and, where appropriate, tissue samples for future exploratory research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drug candidates receives marketing approval and we or others later identify undesirable side effects caused by such products, a number of potentially significant negative consequences could occur,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pipeline could be affected, which would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For example, the potential loss of personnel at various agencies could lead to disruptions and delays in review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companion diagnostic and/or complementary diagnostic (if any);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 </w:t>
      </w:r>
    </w:p>
    <w:p>
      <w:pPr>
        <w:pStyle w:val="TextBody"/>
        <w:bidi w:val="0"/>
        <w:spacing w:before="24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exclusion of eligibility from government contracts or refusals of government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For example, we have or are currently conducting initial clinical trials for ALG-000184, ALG-055009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associated with international trade policies or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in international operations with offices in the United States, Belgium and China as well as third-party suppliers spanning multiple countries outside the U.S., and we intend to seek approval to market our drug candidates outside of the United States. We may also do so for future drug candidates. Due to the complex relationship among the U.S. and the countries in which we conduct our business, there is an inherent risk that political, diplomatic, and national security factors may lead to global trade restrictions and changes to trade policies or export and import regulations which could harm our business. The U.S. government has announced new tariffs affecting a wide range of products and jurisdictions and has indicated an intention to continue developing new trade policies, including in the pharmaceutical industry. In response, certain foreign governments have announced or implemented reciprocal or retaliatory tariffs and other protectionist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for the manufacture of certain product candidates for clinical testing, as well as for manufacture of any products that we may commercialize,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we are or will be subject to additional risks related 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and enforcement of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proposed tariffs, reciprocal or retaliatory trade measures, sanctions,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global trade policies as a result of trade disputes or more restrictive trade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resulting from the impact of public health pandemics or epidemics (including, for example, the COVID-19 pandemic).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complex regulatory, tax, labor and other legal requirements imposed by many of the individual countries in which we may operate, with which we will need to comply.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estimate, it could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succeed in obtaining patent protection and/or marketing approval or discovering, developing and commercializing products in our field before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Vir Biotechnology, Inc. (together with Alnylam Pharmaceuticals, Inc.). Several companies are developing CAM-Es, including Assembly Biosciences Inc. and Enanta Pharmaceuticals. Several companies, including GSK and Janssen, are developing therapeutic vaccines for HBV, and several others have approved HBV vaccines, including Dynavax Technologies, Inc., GSK, Johnson &amp; Johnson, and Merck. Replicor, Inc. is developing nucleic acid polymers (NAPs) for use in chronic HBV infection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one currently FDA-approved THR-ß agonist treatment for MASH by Madrigal Pharmaceuticals, Inc. A number of pharmaceutical companies, including AbbVie, Inc., AstraZeneca PLC/MedImmune LLC, Bristol</w:t>
        <w:noBreakHyphen/>
        <w:t>Myers Squibb Company, Eli Lilly and Company, Merck, Pfizer, Inc., Novo Nordisk, as well as large and small biotechnology companies such as 89bio, Inc., Akero Therapeutics, Inc., Gilead, Inventiva Pharma SA, MediciNova, Inc., and Viking Therapeutics, Inc. are pursuing the development or marketing of pharmaceuticals that target MASH.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remdesivir, which is FDA-approved, on May 25, 2023, Pfizer, Inc. received approval from the FDA for Paxlovid, an orally administered SARS-CoV-2 protease inhibitor co</w:t>
        <w:noBreakHyphen/>
        <w:t>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and Jakafi by Incyte Corporation. There are significant efforts globally to develop both therapeutic and prophylactic drug candidates including by Enanta Pharmaceuticals and Shionogi. Several companies are focused on antibody treatments, including Regeneron Pharmaceuticals, Inc. and Vir Biotechnology, Inc. (together with GSK, Biogen Inc. and WuXi Biologics Ltd.). The availability of such COVID-19 vaccines and each of Pfizer’s and Merck’s oral COVID-19 drug may reduce or eliminate the need for our potential COVID-19 therapies to treat the disease and therefore negatively impact the commercial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and other early stage companies may also prove to be significant competitors. In addition, academic research departments and public and private research institutions may be conducting research on compounds that could prove to be competitive.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ALG-000184, ALG</w:t>
        <w:noBreakHyphen/>
        <w:t xml:space="preserve">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with Emory University, KU Leuven, and Luxna Biotech Co., Ltd.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License Agreement with Emory in June 2018,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2024, previously filed with the SEC.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to our results of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and future healthcare reform legislative or regulation may increase the difficulty and cost for us to commercialize product candidates for which we receive approval, may affect the prices we may obtain, and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including, without limitation, provisions related to our ability to commercialize and the prices we may obtain for any product candidates that are approved for sale, are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recently, the Inflation Reduction Act of 2022 (the IRA) was enacted in 2022. This statute marks the most significant action by Congress with respect to the pharmaceutical industry since adoption of the ACA in 2010. Among other things, the IRA requires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product candidate that we commercialize.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Trump administration has issued executive orders that address the pricing of pharmaceuticals in the United States and propose a so-called most favored nation pricing policy, which would tie the price of drugs in the United States to the lowest price in a group of other countries. While it is unclear whether and how the Trump proposals will be implemented, the Trump policies are likely to have a negative impact on the pharmaceutical industry. Even proposals or executive actions that are ultimately deemed unlawful could negatively impact the U.S. pharmaceutical sector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U.S.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product candidate that we commercialize is prescribed or used.</w:t>
      </w:r>
    </w:p>
    <w:p>
      <w:pPr>
        <w:pStyle w:val="TextBody"/>
        <w:bidi w:val="0"/>
        <w:spacing w:before="240" w:after="283"/>
        <w:jc w:val="left"/>
        <w:rPr>
          <w:rFonts w:ascii="Times New Roman" w:hAnsi="Times New Roman"/>
          <w:sz w:val="20"/>
        </w:rPr>
      </w:pPr>
      <w:r>
        <w:rPr>
          <w:rFonts w:ascii="Times New Roman" w:hAnsi="Times New Roman"/>
          <w:b/>
          <w:i/>
          <w:color w:val="000000"/>
          <w:sz w:val="20"/>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operate in countries outside of the United States, including Belgium and other parts of Europe,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pStyle w:val="TextBody"/>
        <w:bidi w:val="0"/>
        <w:spacing w:before="240" w:after="283"/>
        <w:jc w:val="left"/>
        <w:rPr>
          <w:rFonts w:ascii="Times New Roman" w:hAnsi="Times New Roman"/>
          <w:sz w:val="20"/>
        </w:rPr>
      </w:pPr>
      <w:bookmarkStart w:id="16" w:name="risks_related_to_reliance_on_third_parti"/>
      <w:bookmarkEnd w:id="16"/>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current and future drug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in some cases, may have the right to terminate the collaboration without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restricted under future collaboration agreements from entering into additional agreements on certain terms with potential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000184, ALG</w:t>
        <w:noBreakHyphen/>
        <w:t xml:space="preserve">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our nonclinical studies or clinical trials, we could be subject to untitled and warning letters or enforcement action that may include civil penalties up to and including 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nonclinical, clinical or commercial supplies of the drug candidates that we are developing or evaluating in our development programs. We have limited personnel with experience in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For example, if such laws or restrictions are passed, they could have the potential to severely restrict the ability of U.S. biotechnology companies like us to purchase services or products from, collaborate with, or otherwise work with certain Chinese biotechnology companies.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manufacture product for our nonclinical studies and clinical trials should cease to continue to do so for any reason, we likely would experience delays in advancing these studies and trials while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are subject to certain laws and regulations, and 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Additionally, certain laws and regulations apply to interactions with healthcare practitioners during the drug development process. The applicable federal, state and foreign healthcare laws and regulations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PhRMA Code on interactions with healthcare practitioners;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rules, regulations and guidance regarding pre-approval and off-label promotion of pharmaceutical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 </w:t>
      </w:r>
    </w:p>
    <w:p>
      <w:pPr>
        <w:pStyle w:val="TextBody"/>
        <w:bidi w:val="0"/>
        <w:spacing w:before="240" w:after="283"/>
        <w:jc w:val="left"/>
        <w:rPr>
          <w:rFonts w:ascii="Times New Roman" w:hAnsi="Times New Roman"/>
          <w:sz w:val="20"/>
        </w:rPr>
      </w:pPr>
      <w:bookmarkStart w:id="17" w:name="risks_related_to_intellectual_property"/>
      <w:bookmarkEnd w:id="17"/>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 to enforce such patents against third parties, and such cooperation may not be provided to us.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them or to develop or license replacement technology, all of which may not be feasible on a technical or commercial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2024, previously filed with the SEC.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2024, previously filed with the SEC.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certain third-party issued patents and pending patent applications, including those of our competitors, that, if issued with their current claim scope, may be construed to cover our drug candidates, including ALG</w:t>
        <w:noBreakHyphen/>
        <w:t xml:space="preserve">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For example, some companies in our industry have experienced theft or breach of their intellectual property rights, including trade secrets, in China, a country where we have operations and do business.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provided by the UPC. Under the EU Patent Package as currently proposed, we have the right to opt our patents out of the UPC over the first seven years of the court’s existence, but doing so may preclude us from realizing the benefits of the new unified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if any,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enhancing our operational, financial and management controls, reporting systems and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successfully manage any dispute with an employee or contractor, a resulting settlement or judgment could be expensive, time-consuming and distracting, and could affect our ability to focus on and fund our core activities.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and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nonclinical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the results of hearings, motions or other interim proceedings or developments, which could have a further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shares may not be sustained. In the absence of an active trading market common stock, investors may not be able to sell their common stock at a price or at the time that they would like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inactive market may also impair our ability to raise capital by selling shares and may impair our ability to acquire other drug candidates, businesses, or technologies using our shares as consideration.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expect to remain an emerging growth company until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may continue to qualify as a smaller reporting company, which would allow us to rely on certain reduced disclosure requirements, such as an exemption from providing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our executive officers, directors and their affiliates beneficially own, in the aggregate, approximately 65% of our outstanding common stock (assuming all shares of non-voting common stock are converted into voting common stock in accordance with the terms of our amended and restated certificate of incorporation), and 33%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submitted to our stockholders for approval, including the election of directors and any sale, merger, consolidation or sale of all or substantially all of our assets. In addition, this concentration of ownership might adversely affect the market price of our common stock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2025,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approximately 1.6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holders of approximately 6.1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also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of us, the trading price of our stock would likely decrease. If 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Sarbanes-Oxley, our management is required to report upon the effectiveness of our internal control over financial reporting for our fiscal year ended December 31, 2024. When we lose our status as an “emerging growth company,” our independent registered public accounting firm may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24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convertible notes, revenue from license/collaboration agreements, and warrants.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situation involving the conflict between Russia and Ukraine and the conflicts in the Middle East remain highly fluid, the ongoing conflict and any associated sanctions may have a severe impact on the global economy. A severe or prolonged economic downturn, such as the 2008 global financial crisis, and one that could be caused by the war in Ukraine or conflicts in the Middle East,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a material adverse effect on our business, our financial condition, and our results of operations. In addition, settlement of claims could adversely affect our financial condition and our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For example, the OBBBA was signed into law in July 2025. The OBBBA contains numerous tax provisions that we are currently in the process of evaluating, and which may affect our business or financial condition.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i/>
          <w:color w:val="000000"/>
          <w:sz w:val="20"/>
        </w:rPr>
        <w:t>Issuer purchasers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4_mine_safety_disclosures"/>
      <w:bookmarkEnd w:id="2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June 30, 2025,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exhibits"/>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374"/>
        <w:gridCol w:w="146"/>
        <w:gridCol w:w="411"/>
        <w:gridCol w:w="146"/>
        <w:gridCol w:w="668"/>
        <w:gridCol w:w="146"/>
        <w:gridCol w:w="466"/>
        <w:gridCol w:w="146"/>
        <w:gridCol w:w="781"/>
        <w:gridCol w:w="691"/>
        <w:gridCol w:w="146"/>
        <w:gridCol w:w="193"/>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5"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74"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37"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74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74"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9">
              <w:r>
                <w:rPr>
                  <w:rStyle w:val="InternetLink"/>
                  <w:rFonts w:ascii="Times New Roman" w:hAnsi="Times New Roman"/>
                  <w:color w:val="0000FF"/>
                  <w:sz w:val="20"/>
                  <w:u w:val="single"/>
                </w:rPr>
                <w:t>3.1</w:t>
              </w:r>
            </w:hyperlink>
            <w:r>
              <w:rPr>
                <w:rFonts w:ascii="Times New Roman" w:hAnsi="Times New Roman"/>
                <w:color w:val="000000"/>
                <w:sz w:val="20"/>
              </w:rPr>
              <w:t xml:space="preserve">(a), </w:t>
            </w:r>
            <w:hyperlink r:id="rId10">
              <w:r>
                <w:rPr>
                  <w:rStyle w:val="InternetLink"/>
                  <w:rFonts w:ascii="Times New Roman" w:hAnsi="Times New Roman"/>
                  <w:color w:val="0000FF"/>
                  <w:sz w:val="20"/>
                  <w:u w:val="single"/>
                </w:rPr>
                <w:t>3.1(b)</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3.1(c)</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3.1(d)</w:t>
              </w:r>
            </w:hyperlink>
            <w:r>
              <w:rPr>
                <w:rFonts w:ascii="Times New Roman" w:hAnsi="Times New Roman"/>
                <w:color w:val="000000"/>
                <w:sz w:val="20"/>
              </w:rPr>
              <w:t xml:space="preserve"> and </w:t>
            </w:r>
            <w:hyperlink r:id="rId13">
              <w:r>
                <w:rPr>
                  <w:rStyle w:val="InternetLink"/>
                  <w:rFonts w:ascii="Times New Roman" w:hAnsi="Times New Roman"/>
                  <w:color w:val="0000FF"/>
                  <w:sz w:val="20"/>
                  <w:u w:val="single"/>
                </w:rPr>
                <w:t>3.2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2023 Common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2023 Pre-Funded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2025 Common Warrant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2025 Pre-Funded Warrant Agreement</w:t>
              </w:r>
            </w:hyperlink>
            <w:hyperlink r:id="rId19">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Non-Employee Director Compensation Program</w:t>
              </w:r>
            </w:hyperlink>
            <w:hyperlink r:id="rId2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to the Aligos Therapeutics, Inc. 2020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w:anchor="algs-ex10_3.htm">
              <w:r>
                <w:rPr>
                  <w:rStyle w:val="InternetLink"/>
                  <w:rFonts w:ascii="Times New Roman" w:hAnsi="Times New Roman"/>
                  <w:color w:val="0000FF"/>
                  <w:sz w:val="20"/>
                  <w:u w:val="single"/>
                </w:rPr>
                <w:t>Form of Change of Control Severance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w:anchor="alg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w:anchor="alg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w:anchor="alg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hyperlink w:anchor="alg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2025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0" w:type="dxa"/>
            <w:gridSpan w:val="3"/>
            <w:tcBorders/>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0" w:type="dxa"/>
            <w:gridSpan w:val="3"/>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made before or after the date of this Quarterly Report on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1846"/>
        <w:gridCol w:w="326"/>
        <w:gridCol w:w="406"/>
        <w:gridCol w:w="4516"/>
      </w:tblGrid>
      <w:tr>
        <w:trPr/>
        <w:tc>
          <w:tcPr>
            <w:tcW w:w="18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92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ALIGOS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Lawrence Blatt,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Operating Officer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4" w:name="algs-ex10_3.htm"/>
      <w:bookmarkStart w:id="25" w:name="ksalgsex10_3"/>
      <w:bookmarkEnd w:id="24"/>
      <w:bookmarkEnd w:id="25"/>
      <w:r>
        <w:rPr>
          <w:rFonts w:ascii="Times New Roman" w:hAnsi="Times New Roman"/>
          <w:color w:val="000000"/>
          <w:sz w:val="20"/>
        </w:rPr>
        <w:t>Exhibit 10.3</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ALIGOS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CHANGE IN CONTROL AND SEVERANCE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Change in Control and Severance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and entered into by and between [Insert executive name]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Aligos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effective as of [Insert Effective Date – e.g., date of hire of VP or date of promotion to VP] (the “</w:t>
      </w:r>
      <w:r>
        <w:rPr>
          <w:rFonts w:ascii="Times New Roman" w:hAnsi="Times New Roman"/>
          <w:b/>
          <w:color w:val="000000"/>
          <w:sz w:val="24"/>
        </w:rPr>
        <w:t>Effective</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Background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The Board of Directors of the Company (the “</w:t>
      </w:r>
      <w:r>
        <w:rPr>
          <w:rFonts w:ascii="Times New Roman" w:hAnsi="Times New Roman"/>
          <w:b/>
          <w:color w:val="000000"/>
          <w:sz w:val="24"/>
        </w:rPr>
        <w:t>Board</w:t>
      </w:r>
      <w:r>
        <w:rPr>
          <w:color w:val="000000"/>
        </w:rPr>
        <w:t>”</w:t>
      </w:r>
      <w:r>
        <w:rPr>
          <w:rFonts w:ascii="Times New Roman" w:hAnsi="Times New Roman"/>
          <w:color w:val="000000"/>
          <w:sz w:val="24"/>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defined herein, capitalized terms used in this Agreement are defined in Section 9 below.</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Term of Agreement</w:t>
      </w:r>
      <w:r>
        <w:rPr>
          <w:rFonts w:ascii="Times New Roman" w:hAnsi="Times New Roman"/>
          <w:color w:val="000000"/>
          <w:sz w:val="24"/>
        </w:rPr>
        <w:t>. This Agreement shall become effective as of the Effective Date and terminate upon the date that all obligations of the parties hereto with respect to this Agreement have been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Covered Termination Outside a Change in Control Period</w:t>
      </w:r>
      <w:r>
        <w:rPr>
          <w:rFonts w:ascii="Times New Roman" w:hAnsi="Times New Roman"/>
          <w:color w:val="000000"/>
          <w:sz w:val="24"/>
        </w:rPr>
        <w:t>. If Executive experiences a Covered Termination outside a Change in Control Period, then, subject to (i) Executive delivering to the Company an executed general release of all claims against the Company and its affiliates in a form approved by the Company (a “</w:t>
      </w:r>
      <w:r>
        <w:rPr>
          <w:rFonts w:ascii="Times New Roman" w:hAnsi="Times New Roman"/>
          <w:b/>
          <w:color w:val="000000"/>
          <w:sz w:val="24"/>
        </w:rPr>
        <w:t>Release</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Claims</w:t>
      </w:r>
      <w:r>
        <w:rPr>
          <w:color w:val="000000"/>
        </w:rPr>
        <w:t>”</w:t>
      </w:r>
      <w:r>
        <w:rPr>
          <w:rFonts w:ascii="Times New Roman" w:hAnsi="Times New Roman"/>
          <w:color w:val="000000"/>
          <w:sz w:val="24"/>
        </w:rPr>
        <w:t xml:space="preserve">)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continued payment of Executive’s annual base salary at the rate in effect immediately prior to the Termination Date during the period commencing on the Termination Date and ending on the nine (9)-month anniversary of the Termination Date (the “</w:t>
      </w:r>
      <w:r>
        <w:rPr>
          <w:rFonts w:ascii="Times New Roman" w:hAnsi="Times New Roman"/>
          <w:b/>
          <w:color w:val="000000"/>
          <w:sz w:val="24"/>
        </w:rPr>
        <w:t>Severance Period</w:t>
      </w:r>
      <w:r>
        <w:rPr>
          <w:color w:val="000000"/>
        </w:rPr>
        <w:t>”</w:t>
      </w:r>
      <w:r>
        <w:rPr>
          <w:rFonts w:ascii="Times New Roman" w:hAnsi="Times New Roman"/>
          <w:color w:val="000000"/>
          <w:sz w:val="24"/>
        </w:rPr>
        <w:t xml:space="preserve">), payable in substantially equal installments in accordance with the Company’s standard payoll policies, less applicable withholdings, with such installments to commence on the first payroll date following the date the Release of Claims becomes effective and irrevocable in accordance with Section 14(a)(v) below, with the first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installment to include any amount that would have been paid had the Release of Claims been effective and irrevocable on the Termination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If Executive timely elects to receive continued healthcare coverage pursuant to the provisions of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the Company shall directly pay, or reimburse Executive for, the Company’s portion of the premium (at the same rates in effect on the Termination Date) for Executive and Executive’s covered dependents through the earlier of (i) the end of the Severance Period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Under the terms of your stock option agreement and the Aligos Therapeutics, Inc. 2020 Award Plan, vesting of any stock option granted to you (the “Option”) will cease as of the Separation Date. As of the Separation Date, you will have no further interest in the unvested portion of the Option and will have no stockholder rights with respect to those shares. The Option and any vested shares acquired pursuant to the exercise of the Option will remain subject to the terms and conditions of the applicable stock option agreement, grant notice and the Aligos Therapeutics, Inc. 2020 Incentive Award Plan. You acknowledge and agree that other than as described in this paragraph, you have no rights, title or interest in any shares of the Company’s capital stock or other securities and no rights to purchase any such securities.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Covered Termination During a Change in Control Period</w:t>
      </w:r>
      <w:r>
        <w:rPr>
          <w:rFonts w:ascii="Times New Roman" w:hAnsi="Times New Roman"/>
          <w:color w:val="000000"/>
          <w:sz w:val="24"/>
        </w:rPr>
        <w:t>. If Executive experiences a Covered Termination during a Change in Control Period, then, subject to (i) Executive delivering to the Company an executed Release of Claims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Executive shall be entitled to receive an amount equal to the sum of (x) Executive’s annual base salary at the rate in effect immediately prior to the Termination Date and (y) Executive’s target annual bonus assuming achievement of performance goals at one hundred percent (100%) of target, payable in a cash lump sum, less applicable withholdings, on the first payroll date following the date the Release of Claims becomes effective and irrevocable in accordance with Section 14(a)(v)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Continued Healthcare</w:t>
      </w:r>
      <w:r>
        <w:rPr>
          <w:rFonts w:ascii="Times New Roman" w:hAnsi="Times New Roman"/>
          <w:color w:val="000000"/>
          <w:sz w:val="24"/>
        </w:rPr>
        <w:t xml:space="preserve">.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first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4(b),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Termination Date, and each option held by Executive to purchase the Company’s common stock that is vested as of the Termination Date (after giving effect to any applicable accelerated vesting) will remain exercisable until the earlier of the twelve (12)-month anniversary of the Termination Date or the original expiration of the option. Unless otherwise set forth in an applicable award agreement, for purposes of this Section 4(c) each award subject to performance-based vesting will be deemed earned at the greater of (i) target or (ii) actual achievement measured as of the Termination Date (to the extent then measurable).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Certain Reductions</w:t>
      </w:r>
      <w:r>
        <w:rPr>
          <w:rFonts w:ascii="Times New Roman" w:hAnsi="Times New Roman"/>
          <w:color w:val="000000"/>
          <w:sz w:val="24"/>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Deemed Resignation</w:t>
      </w:r>
      <w:r>
        <w:rPr>
          <w:rFonts w:ascii="Times New Roman" w:hAnsi="Times New Roman"/>
          <w:color w:val="000000"/>
          <w:sz w:val="24"/>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Other Terminations</w:t>
      </w:r>
      <w:r>
        <w:rPr>
          <w:rFonts w:ascii="Times New Roman" w:hAnsi="Times New Roman"/>
          <w:color w:val="000000"/>
          <w:sz w:val="24"/>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Limitation on Payments</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1.1.1.</w:t>
      </w:r>
    </w:p>
    <w:p>
      <w:pPr>
        <w:pStyle w:val="TextBody"/>
        <w:bidi w:val="0"/>
        <w:spacing w:before="120" w:after="283"/>
        <w:jc w:val="both"/>
        <w:rPr/>
      </w:pPr>
      <w:r>
        <w:rPr>
          <w:rFonts w:ascii="Times New Roman" w:hAnsi="Times New Roman"/>
          <w:color w:val="000000"/>
          <w:sz w:val="24"/>
        </w:rPr>
        <w:t>Any provision of this Agreement to the contrary notwithstanding, if any payment or benefit Executive would receive from the Company pursuant to this Agreement or otherwise (“</w:t>
      </w:r>
      <w:r>
        <w:rPr>
          <w:rFonts w:ascii="Times New Roman" w:hAnsi="Times New Roman"/>
          <w:b/>
          <w:color w:val="000000"/>
          <w:sz w:val="24"/>
        </w:rPr>
        <w:t>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4"/>
        </w:rPr>
        <w:t>Excise Tax</w:t>
      </w:r>
      <w:r>
        <w:rPr>
          <w:color w:val="000000"/>
        </w:rPr>
        <w:t>”</w:t>
      </w:r>
      <w:r>
        <w:rPr>
          <w:rFonts w:ascii="Times New Roman" w:hAnsi="Times New Roman"/>
          <w:color w:val="000000"/>
          <w:sz w:val="24"/>
        </w:rPr>
        <w:t>), then such Payment will be equal to the Reduced Amount (as defined below). The “</w:t>
      </w:r>
      <w:r>
        <w:rPr>
          <w:rFonts w:ascii="Times New Roman" w:hAnsi="Times New Roman"/>
          <w:b/>
          <w:color w:val="000000"/>
          <w:sz w:val="24"/>
        </w:rPr>
        <w:t>Reduced Amount</w:t>
      </w:r>
      <w:r>
        <w:rPr>
          <w:color w:val="000000"/>
        </w:rPr>
        <w:t xml:space="preserve">” </w:t>
      </w:r>
      <w:r>
        <w:rPr>
          <w:rFonts w:ascii="Times New Roman" w:hAnsi="Times New Roman"/>
          <w:color w:val="000000"/>
          <w:sz w:val="24"/>
        </w:rPr>
        <w:t xml:space="preserve">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120" w:after="283"/>
        <w:jc w:val="both"/>
        <w:rPr/>
      </w:pPr>
      <w:r>
        <w:rPr>
          <w:rFonts w:ascii="Times New Roman" w:hAnsi="Times New Roman"/>
          <w:color w:val="000000"/>
          <w:sz w:val="24"/>
        </w:rPr>
        <w:t>reduction shall occur in the manner (the “</w:t>
      </w:r>
      <w:r>
        <w:rPr>
          <w:rFonts w:ascii="Times New Roman" w:hAnsi="Times New Roman"/>
          <w:b/>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color w:val="000000"/>
          <w:sz w:val="24"/>
        </w:rPr>
        <w:t>Pro Rata Reduction Method</w:t>
      </w:r>
      <w:r>
        <w:rPr>
          <w:color w:val="000000"/>
        </w:rPr>
        <w:t>”</w:t>
      </w:r>
      <w:r>
        <w:rPr>
          <w:rFonts w:ascii="Times New Roman" w:hAnsi="Times New Roman"/>
          <w:color w:val="000000"/>
          <w:sz w:val="24"/>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(1) as a first priority, the modification shall preserve to the greatest extent possible, the greatest economic benefit for Executive as determined on an after-tax basis; (2) as a second priority, Payments that are contingent on future events (e.g., being terminated without cause), shall be reduced (or eliminated) before Payments that are not contingent on future events; and (3) as a third priority, Payments that are “deferred compensation” within the meaning of Section 409A of the Code shall be reduced (or eliminated) before Payments that are not deferred compensation within the meaning of Section 409A of the Code.</w:t>
      </w:r>
      <w:r>
        <w:rPr>
          <w:color w:val="00000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1.1.2.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accounting firm engaged by the Company for general tax purposes as of the day prior to the Change in Control will perform the calculations set forth in Section 8(a)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The following terms used in this Agreement shall have the following meanings: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(i) a material breach of any of Executive’s representations or obligations contained in any offer letter or employment agreement between Executive and the Company, including Executive’s willful failure or refusal to perform the job duties and responsibilities assigned to Executive by the Company, which if such material breach is reasonably susceptible of cure is not cured after thirty (30) days have elapsed following the date on which the Company gives Executive written notice of such breach; (ii) conviction of, or plea of guilty or nolo contendere to,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has the meaning ascribed to such term under the Company’s 2020 Incentive Award Plan, as may be amended from time to time; provided, that such transaction must also constitute a “change in control event” within the meaning of Treasury Regulation Section 1.409A-3(i)(5).</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both"/>
        <w:rPr/>
      </w:pPr>
      <w:r>
        <w:rPr>
          <w:color w:val="000000"/>
        </w:rPr>
        <w:t>“</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means the period of time commencing three months prior to the consummation of a Change in Control and ending on the twelve (12) month anniversary of such consummation of the Change in Control.</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both"/>
        <w:rPr/>
      </w:pPr>
      <w:r>
        <w:rPr>
          <w:color w:val="000000"/>
        </w:rPr>
        <w:t>“</w:t>
      </w:r>
      <w:r>
        <w:rPr>
          <w:rFonts w:ascii="Times New Roman" w:hAnsi="Times New Roman"/>
          <w:b/>
          <w:color w:val="000000"/>
          <w:sz w:val="24"/>
        </w:rPr>
        <w:t>Covered Termination</w:t>
      </w:r>
      <w:r>
        <w:rPr>
          <w:color w:val="000000"/>
        </w:rPr>
        <w:t xml:space="preserve">” </w:t>
      </w:r>
      <w:r>
        <w:rPr>
          <w:rFonts w:ascii="Times New Roman" w:hAnsi="Times New Roman"/>
          <w:color w:val="000000"/>
          <w:sz w:val="24"/>
        </w:rPr>
        <w:t xml:space="preserve">means the termination of Executive’s employment by the Company other than for Cause or by Executive for Good Reason, and shall not include a termination due to Executive’s death or disability.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120"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for Executive to terminate Executive’s employment hereunder shall mean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occurrence of any of the following events without Executive’s consent: (i) any material breach of the terms of this Agreement by the Company; (ii) any material restriction or diminution in Executive’s duties or responsibilities; (iii) any change in the location of Executive’s principal place of employment that increases Executive’s one-way commute in excess of fifty (50) miles from Executive’s principal place of employment prior to such change; (iv) any material failure by the Company to pay Executive’s base salary, bonuses that Executive has earned, or benefits that Executive is entitled to receive under Executive’s offer letter or other agreement with the Company, or any material reduction by the Company of Executive’s base salary under Executive’s offer letter or other agreement with the Company, provided, however, that if the Company institutes a Company-wide reduction in salaries, bonuses and benefits for other executive management team members, such reduction shall not be deemed “material” for this definition.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120" w:after="283"/>
        <w:jc w:val="both"/>
        <w:rPr/>
      </w:pPr>
      <w:r>
        <w:rPr>
          <w:color w:val="000000"/>
        </w:rPr>
        <w:t>“</w:t>
      </w:r>
      <w:r>
        <w:rPr>
          <w:rFonts w:ascii="Times New Roman" w:hAnsi="Times New Roman"/>
          <w:b/>
          <w:color w:val="000000"/>
          <w:sz w:val="24"/>
        </w:rPr>
        <w:t>Separation from Service</w:t>
      </w:r>
      <w:r>
        <w:rPr>
          <w:color w:val="000000"/>
        </w:rPr>
        <w:t xml:space="preserve">” </w:t>
      </w:r>
      <w:r>
        <w:rPr>
          <w:rFonts w:ascii="Times New Roman" w:hAnsi="Times New Roman"/>
          <w:color w:val="000000"/>
          <w:sz w:val="24"/>
        </w:rPr>
        <w:t>means a “separation from service” with the Company within the meaning of Section 409A of the Code and the Department of Treasury regulations and other guidance promulgated thereunder.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120" w:after="283"/>
        <w:jc w:val="both"/>
        <w:rPr/>
      </w:pPr>
      <w:r>
        <w:rPr>
          <w:color w:val="000000"/>
        </w:rPr>
        <w:t>“</w:t>
      </w:r>
      <w:r>
        <w:rPr>
          <w:rFonts w:ascii="Times New Roman" w:hAnsi="Times New Roman"/>
          <w:b/>
          <w:color w:val="000000"/>
          <w:sz w:val="24"/>
        </w:rPr>
        <w:t>Termination Date</w:t>
      </w:r>
      <w:r>
        <w:rPr>
          <w:color w:val="000000"/>
        </w:rPr>
        <w:t xml:space="preserve">” </w:t>
      </w:r>
      <w:r>
        <w:rPr>
          <w:rFonts w:ascii="Times New Roman" w:hAnsi="Times New Roman"/>
          <w:color w:val="000000"/>
          <w:sz w:val="24"/>
        </w:rPr>
        <w:t>means the date on which Executive experiences a Covered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Successors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pPr>
      <w:r>
        <w:rPr>
          <w:rFonts w:ascii="Times New Roman" w:hAnsi="Times New Roman"/>
          <w:color w:val="000000"/>
          <w:sz w:val="24"/>
          <w:u w:val="single"/>
        </w:rPr>
        <w:t>Company’s Successors</w:t>
      </w:r>
      <w:r>
        <w:rPr>
          <w:rFonts w:ascii="Times New Roman" w:hAnsi="Times New Roman"/>
          <w:color w:val="000000"/>
          <w:sz w:val="24"/>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hAnsi="Times New Roman"/>
          <w:b/>
          <w:color w:val="000000"/>
          <w:sz w:val="24"/>
        </w:rPr>
        <w:t>Company</w:t>
      </w:r>
      <w:r>
        <w:rPr>
          <w:color w:val="000000"/>
        </w:rPr>
        <w:t xml:space="preserve">” </w:t>
      </w:r>
      <w:r>
        <w:rPr>
          <w:rFonts w:ascii="Times New Roman" w:hAnsi="Times New Roman"/>
          <w:color w:val="000000"/>
          <w:sz w:val="24"/>
        </w:rPr>
        <w:t>shall include any successor to the Company’s business or assets which executes and delivers the assumption agreement described in this Section 10(a) or which becomes bound by the terms of this Agreement by operation of law.</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both"/>
        <w:rPr/>
      </w:pPr>
      <w:r>
        <w:rPr>
          <w:rFonts w:ascii="Times New Roman" w:hAnsi="Times New Roman"/>
          <w:color w:val="000000"/>
          <w:sz w:val="24"/>
          <w:u w:val="single"/>
        </w:rPr>
        <w:t>Executive’s Successors</w:t>
      </w:r>
      <w:r>
        <w:rPr>
          <w:rFonts w:ascii="Times New Roman" w:hAnsi="Times New Roman"/>
          <w:color w:val="000000"/>
          <w:sz w:val="24"/>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Confidentiality; Non-Disparagement.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pPr>
      <w:r>
        <w:rPr>
          <w:rFonts w:ascii="Times New Roman" w:hAnsi="Times New Roman"/>
          <w:color w:val="000000"/>
          <w:sz w:val="24"/>
          <w:u w:val="single"/>
        </w:rPr>
        <w:t>Confidentiality</w:t>
      </w:r>
      <w:r>
        <w:rPr>
          <w:rFonts w:ascii="Times New Roman" w:hAnsi="Times New Roman"/>
          <w:color w:val="000000"/>
          <w:sz w:val="24"/>
        </w:rPr>
        <w:t>. Executive hereby expressly confirms Executive’s continuing obligations to the Company pursuant to that certain Employee Proprietary Information and Invention Assignment Agreement or other confidentiality agreement by and between the Company and Executive (the “</w:t>
      </w:r>
      <w:r>
        <w:rPr>
          <w:rFonts w:ascii="Times New Roman" w:hAnsi="Times New Roman"/>
          <w:b/>
          <w:color w:val="000000"/>
          <w:sz w:val="24"/>
        </w:rPr>
        <w:t>Confidential Information Agreement</w:t>
      </w:r>
      <w:r>
        <w:rPr>
          <w:color w:val="000000"/>
        </w:rPr>
        <w:t>”</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both"/>
        <w:rPr/>
      </w:pPr>
      <w:r>
        <w:rPr>
          <w:rFonts w:ascii="Times New Roman" w:hAnsi="Times New Roman"/>
          <w:color w:val="000000"/>
          <w:sz w:val="24"/>
          <w:u w:val="single"/>
        </w:rPr>
        <w:t>Non-Disparagement</w:t>
      </w:r>
      <w:r>
        <w:rPr>
          <w:rFonts w:ascii="Times New Roman" w:hAnsi="Times New Roman"/>
          <w:color w:val="000000"/>
          <w:sz w:val="24"/>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both"/>
        <w:rPr/>
      </w:pPr>
      <w:r>
        <w:rPr>
          <w:rFonts w:ascii="Times New Roman" w:hAnsi="Times New Roman"/>
          <w:color w:val="000000"/>
          <w:sz w:val="24"/>
          <w:u w:val="single"/>
        </w:rPr>
        <w:t>Whistleblower Protections and Trade Secrets</w:t>
      </w:r>
      <w:r>
        <w:rPr>
          <w:rFonts w:ascii="Times New Roman" w:hAnsi="Times New Roman"/>
          <w:color w:val="000000"/>
          <w:sz w:val="24"/>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Dispute Resolution</w:t>
      </w:r>
      <w:r>
        <w:rPr>
          <w:rFonts w:ascii="Times New Roman" w:hAnsi="Times New Roman"/>
          <w:color w:val="000000"/>
          <w:sz w:val="24"/>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California law and the then-existing JAMS employment arbitration rules, which can be found at </w:t>
      </w:r>
      <w:r>
        <w:rPr>
          <w:rFonts w:ascii="Times New Roman" w:hAnsi="Times New Roman"/>
          <w:color w:val="0000FF"/>
          <w:sz w:val="24"/>
          <w:u w:val="single"/>
        </w:rPr>
        <w:t>https://www.jamsadr.com/rules-employment-arbitration/</w:t>
      </w:r>
      <w:r>
        <w:rPr>
          <w:rFonts w:ascii="Times New Roman" w:hAnsi="Times New Roman"/>
          <w:color w:val="000000"/>
          <w:sz w:val="24"/>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12(a) or 12(b),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12(a) and 12(b),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12(a) and 12(b), none of the Parties shall raise the defense, without a good faith basis for raising such defense, that there is an adequate remedy at law. Executive and the Company understand that by agreement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both"/>
        <w:rPr/>
      </w:pPr>
      <w:r>
        <w:rPr>
          <w:rFonts w:ascii="Times New Roman" w:hAnsi="Times New Roman"/>
          <w:color w:val="000000"/>
          <w:sz w:val="24"/>
          <w:u w:val="single"/>
        </w:rPr>
        <w:t>Separation from Service</w:t>
      </w:r>
      <w:r>
        <w:rPr>
          <w:rFonts w:ascii="Times New Roman" w:hAnsi="Times New Roman"/>
          <w:color w:val="000000"/>
          <w:sz w:val="24"/>
        </w:rPr>
        <w:t xml:space="preserve">. Notwithstanding any provision to the contrary in this Agreement, no amount constituting deferred compensation subject to Section 409A of the Code shall be payable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pursuant to Sections 3 or 4 above unless Executive’s termination of employment constitutes a Separation from Service.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both"/>
        <w:rPr/>
      </w:pPr>
      <w:r>
        <w:rPr>
          <w:rFonts w:ascii="Times New Roman" w:hAnsi="Times New Roman"/>
          <w:color w:val="000000"/>
          <w:sz w:val="24"/>
          <w:u w:val="single"/>
        </w:rPr>
        <w:t>Specified Executive</w:t>
      </w:r>
      <w:r>
        <w:rPr>
          <w:rFonts w:ascii="Times New Roman" w:hAnsi="Times New Roman"/>
          <w:color w:val="000000"/>
          <w:sz w:val="24"/>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both"/>
        <w:rPr/>
      </w:pPr>
      <w:r>
        <w:rPr>
          <w:rFonts w:ascii="Times New Roman" w:hAnsi="Times New Roman"/>
          <w:color w:val="000000"/>
          <w:sz w:val="24"/>
          <w:u w:val="single"/>
        </w:rPr>
        <w:t>Expense Reimbursements</w:t>
      </w:r>
      <w:r>
        <w:rPr>
          <w:rFonts w:ascii="Times New Roman" w:hAnsi="Times New Roman"/>
          <w:color w:val="000000"/>
          <w:sz w:val="24"/>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both"/>
        <w:rPr/>
      </w:pPr>
      <w:r>
        <w:rPr>
          <w:rFonts w:ascii="Times New Roman" w:hAnsi="Times New Roman"/>
          <w:color w:val="000000"/>
          <w:sz w:val="24"/>
          <w:u w:val="single"/>
        </w:rPr>
        <w:t>Installments</w:t>
      </w:r>
      <w:r>
        <w:rPr>
          <w:rFonts w:ascii="Times New Roman" w:hAnsi="Times New Roman"/>
          <w:color w:val="000000"/>
          <w:sz w:val="24"/>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u w:val="single"/>
        </w:rPr>
        <w:t>Release</w:t>
      </w:r>
      <w:r>
        <w:rPr>
          <w:rFonts w:ascii="Times New Roman" w:hAnsi="Times New Roman"/>
          <w:color w:val="000000"/>
          <w:sz w:val="24"/>
        </w:rPr>
        <w:t xml:space="preserve">. Notwithstanding anything to the contrary in this Agreement, to the extent that any payments due under this Agreement as a result of Executive’s termination of employment are subject to Executive’s execution and delivery of a Release of Claims, (A)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(B) in any case where Executive’s Termination Date and the last day the Release may be considered or, if applicable, revoked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color w:val="000000"/>
        </w:rPr>
        <w:t>“</w:t>
      </w:r>
      <w:r>
        <w:rPr>
          <w:rFonts w:ascii="Times New Roman" w:hAnsi="Times New Roman"/>
          <w:b/>
          <w:color w:val="000000"/>
          <w:sz w:val="24"/>
        </w:rPr>
        <w:t>Release Expiration Date</w:t>
      </w:r>
      <w:r>
        <w:rPr>
          <w:color w:val="000000"/>
        </w:rPr>
        <w:t xml:space="preserve">” </w:t>
      </w:r>
      <w:r>
        <w:rPr>
          <w:rFonts w:ascii="Times New Roman" w:hAnsi="Times New Roman"/>
          <w:color w:val="000000"/>
          <w:sz w:val="24"/>
        </w:rPr>
        <w:t>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w:t>
      </w:r>
      <w:r>
        <w:rPr>
          <w:color w:val="000000"/>
        </w:rPr>
        <w:t xml:space="preserve"> </w:t>
      </w:r>
      <w:r>
        <w:rPr>
          <w:rFonts w:ascii="Times New Roman" w:hAnsi="Times New Roman"/>
          <w:color w:val="000000"/>
          <w:sz w:val="24"/>
        </w:rPr>
        <w:t xml:space="preserve">days following such delivery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The Company shall be entitled to withhold from any amounts payable under this Agreement any federal, state, local, or foreign withholding or other taxes or charges which the Company is required to withhold.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Waiver</w:t>
      </w:r>
      <w:r>
        <w:rPr>
          <w:rFonts w:ascii="Times New Roman" w:hAnsi="Times New Roman"/>
          <w:color w:val="000000"/>
          <w:sz w:val="24"/>
        </w:rPr>
        <w:t>. No provision of this Agreement shall be modified, waived or dis</w:t>
        <w:softHyphen/>
        <w:t>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Whole Agreement</w:t>
      </w:r>
      <w:r>
        <w:rPr>
          <w:rFonts w:ascii="Times New Roman" w:hAnsi="Times New Roman"/>
          <w:color w:val="000000"/>
          <w:sz w:val="24"/>
        </w:rPr>
        <w:t xml:space="preserve">.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120" w:after="283"/>
        <w:jc w:val="both"/>
        <w:rPr/>
      </w:pPr>
      <w:r>
        <w:rPr>
          <w:rFonts w:ascii="Times New Roman" w:hAnsi="Times New Roman"/>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laws of the State of California without regard to its conflicts of law provisions.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120" w:after="283"/>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12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 Signatures delivered by facsimile shall be deemed effective for all purposes.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rFonts w:ascii="Times New Roman" w:hAnsi="Times New Roman"/>
          <w:color w:val="000000"/>
          <w:sz w:val="24"/>
          <w:u w:val="single"/>
        </w:rPr>
        <w:t>Executive Acknowledgement</w:t>
      </w:r>
      <w:r>
        <w:rPr>
          <w:rFonts w:ascii="Times New Roman" w:hAnsi="Times New Roman"/>
          <w:color w:val="000000"/>
          <w:sz w:val="24"/>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both"/>
        <w:rPr>
          <w:rFonts w:ascii="Times New Roman" w:hAnsi="Times New Roman"/>
          <w:color w:val="000000"/>
          <w:sz w:val="24"/>
        </w:rPr>
      </w:pPr>
      <w:r>
        <w:rPr>
          <w:rFonts w:ascii="Times New Roman" w:hAnsi="Times New Roman"/>
          <w:color w:val="000000"/>
          <w:sz w:val="24"/>
        </w:rPr>
        <w:t>The parties have executed this Agreement, in the case of the Company by its duly authorized officer, as of the dates set forth below.</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ALIGOS THERAPEUTICS,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EXECUTIVE</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6" w:name="algs-ex31_1.htm"/>
      <w:bookmarkStart w:id="27" w:name="ksalgs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Lawrence Blatt,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1846"/>
        <w:gridCol w:w="109"/>
        <w:gridCol w:w="406"/>
        <w:gridCol w:w="43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lgs-ex31_2.htm"/>
      <w:bookmarkStart w:id="29" w:name="ksalgsex31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Lesley Ann Calhoun,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9127" w:type="dxa"/>
        <w:jc w:val="left"/>
        <w:tblInd w:w="0" w:type="dxa"/>
        <w:tblLayout w:type="fixed"/>
        <w:tblCellMar>
          <w:top w:w="28" w:type="dxa"/>
          <w:left w:w="28" w:type="dxa"/>
          <w:bottom w:w="28" w:type="dxa"/>
          <w:right w:w="28" w:type="dxa"/>
        </w:tblCellMar>
      </w:tblPr>
      <w:tblGrid>
        <w:gridCol w:w="1846"/>
        <w:gridCol w:w="109"/>
        <w:gridCol w:w="406"/>
        <w:gridCol w:w="6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Operational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lgs-ex32_1.htm"/>
      <w:bookmarkStart w:id="31" w:name="ksalgsex32_1"/>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June 30, 2025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1846"/>
        <w:gridCol w:w="109"/>
        <w:gridCol w:w="406"/>
        <w:gridCol w:w="43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lgs-ex32_2.htm"/>
      <w:bookmarkStart w:id="33" w:name="ksalgsex32_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June 30, 2025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1846"/>
        <w:gridCol w:w="109"/>
        <w:gridCol w:w="406"/>
        <w:gridCol w:w="66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Operating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4172218/d129014dex31.htm" TargetMode="External"/><Relationship Id="rId5" Type="http://schemas.openxmlformats.org/officeDocument/2006/relationships/hyperlink" Target="https://www.sec.gov/Archives/edgar/data/1799448/000119312524202813/d882619dex31.htm" TargetMode="External"/><Relationship Id="rId6" Type="http://schemas.openxmlformats.org/officeDocument/2006/relationships/hyperlink" Target="https://www.sec.gov/Archives/edgar/data/1799448/000119312525148905/d98914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72852/d46540dex32.htm" TargetMode="External"/><Relationship Id="rId9" Type="http://schemas.openxmlformats.org/officeDocument/2006/relationships/hyperlink" Target="https://www.sec.gov/Archives/edgar/data/1799448/000119312520272852/d46540dex31.htm" TargetMode="External"/><Relationship Id="rId10" Type="http://schemas.openxmlformats.org/officeDocument/2006/relationships/hyperlink" Target="https://www.sec.gov/Archives/edgar/data/1799448/000119312524172218/d129014dex31.htm" TargetMode="External"/><Relationship Id="rId11" Type="http://schemas.openxmlformats.org/officeDocument/2006/relationships/hyperlink" Target="https://www.sec.gov/Archives/edgar/data/1799448/000119312524202813/d882619dex31.htm" TargetMode="External"/><Relationship Id="rId12" Type="http://schemas.openxmlformats.org/officeDocument/2006/relationships/hyperlink" Target="https://www.sec.gov/Archives/edgar/data/1799448/000119312525148905/d98914dex31.htm" TargetMode="External"/><Relationship Id="rId13" Type="http://schemas.openxmlformats.org/officeDocument/2006/relationships/hyperlink" Target="https://www.sec.gov/Archives/edgar/data/1799448/000119312520272852/d46540dex32.htm" TargetMode="External"/><Relationship Id="rId14" Type="http://schemas.openxmlformats.org/officeDocument/2006/relationships/hyperlink" Target="https://www.sec.gov/Archives/edgar/data/1799448/000095017024122371/algs-ex4_2.htm" TargetMode="External"/><Relationship Id="rId15" Type="http://schemas.openxmlformats.org/officeDocument/2006/relationships/hyperlink" Target="https://www.sec.gov/Archives/edgar/data/1799448/000119312523263158/d533607dex42.htm" TargetMode="External"/><Relationship Id="rId16" Type="http://schemas.openxmlformats.org/officeDocument/2006/relationships/hyperlink" Target="https://www.sec.gov/Archives/edgar/data/1799448/000119312523263158/d533607dex41.htm" TargetMode="External"/><Relationship Id="rId17" Type="http://schemas.openxmlformats.org/officeDocument/2006/relationships/hyperlink" Target="https://www.sec.gov/Archives/edgar/data/1799448/000119312525024838/d901857dex42.htm" TargetMode="External"/><Relationship Id="rId18" Type="http://schemas.openxmlformats.org/officeDocument/2006/relationships/hyperlink" Target="https://www.sec.gov/Archives/edgar/data/1799448/000119312525024838/d901857dex41.htm" TargetMode="External"/><Relationship Id="rId19" Type="http://schemas.openxmlformats.org/officeDocument/2006/relationships/hyperlink" Target="https://www.sec.gov/Archives/edgar/data/1799448/000119312525024838/d901857dex41.htm" TargetMode="External"/><Relationship Id="rId20" Type="http://schemas.openxmlformats.org/officeDocument/2006/relationships/hyperlink" Target="https://www.sec.gov/Archives/edgar/data/1799448/000095017025063983/algs-ex10_1.htm" TargetMode="External"/><Relationship Id="rId21" Type="http://schemas.openxmlformats.org/officeDocument/2006/relationships/hyperlink" Target="https://www.sec.gov/Archives/edgar/data/1799448/000095017025063983/algs-ex10_1.htm" TargetMode="External"/><Relationship Id="rId22" Type="http://schemas.openxmlformats.org/officeDocument/2006/relationships/hyperlink" Target="https://www.sec.gov/Archives/edgar/data/1799448/000119312525148905/d98914dex10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71236</Words>
  <Characters>395494</Characters>
  <CharactersWithSpaces>467831</CharactersWithSpaces>
  <Paragraphs>6700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