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60" w:after="240"/>
        <w:jc w:val="left"/>
        <w:rPr>
          <w:bdr w:val="single" w:sz="16" w:space="1" w:color="000000"/>
        </w:rPr>
      </w:pPr>
      <w:bookmarkStart w:id="0" w:name="f8k_050726.htm"/>
      <w:bookmarkStart w:id="1" w:name="ksf8k_050726"/>
      <w:bookmarkEnd w:id="0"/>
      <w:bookmarkEnd w:id="1"/>
      <w:r>
        <w:rPr>
          <w:bdr w:val="single" w:sz="16" w:space="1" w:color="000000"/>
        </w:rPr>
        <w:t> </w:t>
      </w:r>
    </w:p>
    <w:p>
      <w:pPr>
        <w:pStyle w:val="TextBody"/>
        <w:bidi w:val="0"/>
        <w:spacing w:before="120" w:after="0"/>
        <w:jc w:val="center"/>
        <w:rPr>
          <w:b/>
          <w:sz w:val="28"/>
        </w:rPr>
      </w:pPr>
      <w:r>
        <w:rPr>
          <w:b/>
          <w:sz w:val="28"/>
        </w:rPr>
        <w:t>UNITED STATES</w:t>
      </w:r>
    </w:p>
    <w:p>
      <w:pPr>
        <w:pStyle w:val="TextBody"/>
        <w:bidi w:val="0"/>
        <w:spacing w:before="0" w:after="0"/>
        <w:jc w:val="center"/>
        <w:rPr>
          <w:b/>
          <w:sz w:val="28"/>
        </w:rPr>
      </w:pPr>
      <w:r>
        <w:rPr>
          <w:b/>
          <w:sz w:val="28"/>
        </w:rPr>
        <w:t>SECURITIES AND EXCHANGE COMMISSION</w:t>
      </w:r>
    </w:p>
    <w:p>
      <w:pPr>
        <w:pStyle w:val="TextBody"/>
        <w:bidi w:val="0"/>
        <w:spacing w:before="0" w:after="120"/>
        <w:jc w:val="center"/>
        <w:rPr>
          <w:b/>
          <w:sz w:val="28"/>
        </w:rPr>
      </w:pPr>
      <w:r>
        <w:rPr>
          <w:b/>
          <w:sz w:val="28"/>
        </w:rPr>
        <w:t>Washington, D.C. 20549</w:t>
      </w:r>
    </w:p>
    <w:p>
      <w:pPr>
        <w:pStyle w:val="TextBody"/>
        <w:bidi w:val="0"/>
        <w:jc w:val="center"/>
        <w:rPr/>
      </w:pPr>
      <w:r>
        <w:rPr/>
        <w:t>_________________</w:t>
      </w:r>
    </w:p>
    <w:p>
      <w:pPr>
        <w:pStyle w:val="TextBody"/>
        <w:bidi w:val="0"/>
        <w:spacing w:before="120" w:after="120"/>
        <w:jc w:val="center"/>
        <w:rPr>
          <w:b/>
          <w:sz w:val="28"/>
        </w:rPr>
      </w:pPr>
      <w:r>
        <w:rPr>
          <w:b/>
          <w:sz w:val="28"/>
        </w:rPr>
        <w:t>FORM 8-K</w:t>
      </w:r>
    </w:p>
    <w:p>
      <w:pPr>
        <w:pStyle w:val="TextBody"/>
        <w:bidi w:val="0"/>
        <w:jc w:val="center"/>
        <w:rPr/>
      </w:pPr>
      <w:r>
        <w:rPr/>
        <w:t>_________________</w:t>
      </w:r>
    </w:p>
    <w:p>
      <w:pPr>
        <w:pStyle w:val="TextBody"/>
        <w:bidi w:val="0"/>
        <w:spacing w:before="120" w:after="120"/>
        <w:jc w:val="center"/>
        <w:rPr>
          <w:b/>
          <w:sz w:val="24"/>
        </w:rPr>
      </w:pPr>
      <w:r>
        <w:rPr>
          <w:b/>
          <w:sz w:val="24"/>
        </w:rPr>
        <w:t>CURRENT REPORT</w:t>
      </w:r>
    </w:p>
    <w:p>
      <w:pPr>
        <w:pStyle w:val="TextBody"/>
        <w:bidi w:val="0"/>
        <w:spacing w:before="120" w:after="120"/>
        <w:jc w:val="center"/>
        <w:rPr>
          <w:b/>
          <w:sz w:val="24"/>
        </w:rPr>
      </w:pPr>
      <w:r>
        <w:rPr>
          <w:b/>
          <w:sz w:val="24"/>
        </w:rPr>
        <w:t>Pursuant to Section 13 or 15(d)</w:t>
        <w:br/>
        <w:t>of the Securities Exchange Act of 1934</w:t>
      </w:r>
    </w:p>
    <w:p>
      <w:pPr>
        <w:pStyle w:val="TextBody"/>
        <w:bidi w:val="0"/>
        <w:spacing w:before="120" w:after="120"/>
        <w:jc w:val="center"/>
        <w:rPr>
          <w:b/>
          <w:sz w:val="20"/>
        </w:rPr>
      </w:pPr>
      <w:r>
        <w:rPr>
          <w:b/>
          <w:sz w:val="20"/>
        </w:rPr>
        <w:t>Date of Report (Date of earliest event reported):  May 7, 2026</w:t>
      </w:r>
    </w:p>
    <w:p>
      <w:pPr>
        <w:pStyle w:val="TextBody"/>
        <w:bidi w:val="0"/>
        <w:jc w:val="center"/>
        <w:rPr/>
      </w:pPr>
      <w:r>
        <w:rPr/>
        <w:t>_______________________________</w:t>
      </w:r>
    </w:p>
    <w:p>
      <w:pPr>
        <w:pStyle w:val="TextBody"/>
        <w:bidi w:val="0"/>
        <w:spacing w:before="120" w:after="283"/>
        <w:jc w:val="center"/>
        <w:rPr>
          <w:b/>
          <w:sz w:val="24"/>
        </w:rPr>
      </w:pPr>
      <w:r>
        <w:rPr>
          <w:b/>
          <w:sz w:val="24"/>
        </w:rPr>
        <w:t>Aligos Therapeutics, Inc.</w:t>
      </w:r>
    </w:p>
    <w:p>
      <w:pPr>
        <w:pStyle w:val="TextBody"/>
        <w:bidi w:val="0"/>
        <w:spacing w:before="0" w:after="120"/>
        <w:jc w:val="center"/>
        <w:rPr>
          <w:sz w:val="20"/>
        </w:rPr>
      </w:pPr>
      <w:r>
        <w:rPr>
          <w:sz w:val="20"/>
        </w:rPr>
        <w:t>(Exact name of registrant as specified in its charter)</w:t>
      </w:r>
    </w:p>
    <w:p>
      <w:pPr>
        <w:pStyle w:val="TextBody"/>
        <w:bidi w:val="0"/>
        <w:jc w:val="center"/>
        <w:rPr/>
      </w:pPr>
      <w:r>
        <w:rPr/>
        <w:t>_______________________________</w:t>
      </w:r>
    </w:p>
    <w:tbl>
      <w:tblPr>
        <w:tblW w:w="8730" w:type="dxa"/>
        <w:jc w:val="left"/>
        <w:tblInd w:w="0" w:type="dxa"/>
        <w:tblLayout w:type="fixed"/>
        <w:tblCellMar>
          <w:top w:w="0" w:type="dxa"/>
          <w:left w:w="0" w:type="dxa"/>
          <w:bottom w:w="0" w:type="dxa"/>
          <w:right w:w="0" w:type="dxa"/>
        </w:tblCellMar>
      </w:tblPr>
      <w:tblGrid>
        <w:gridCol w:w="3620"/>
        <w:gridCol w:w="2210"/>
        <w:gridCol w:w="2900"/>
      </w:tblGrid>
      <w:tr>
        <w:trPr/>
        <w:tc>
          <w:tcPr>
            <w:tcW w:w="3620" w:type="dxa"/>
            <w:tcBorders/>
            <w:vAlign w:val="center"/>
          </w:tcPr>
          <w:p>
            <w:pPr>
              <w:pStyle w:val="TableContents"/>
              <w:bidi w:val="0"/>
              <w:spacing w:before="0" w:after="283"/>
              <w:jc w:val="center"/>
              <w:rPr>
                <w:b/>
                <w:sz w:val="20"/>
              </w:rPr>
            </w:pPr>
            <w:r>
              <w:rPr>
                <w:b/>
                <w:sz w:val="20"/>
              </w:rPr>
              <w:t>Delaware</w:t>
            </w:r>
          </w:p>
        </w:tc>
        <w:tc>
          <w:tcPr>
            <w:tcW w:w="2210" w:type="dxa"/>
            <w:tcBorders/>
            <w:vAlign w:val="center"/>
          </w:tcPr>
          <w:p>
            <w:pPr>
              <w:pStyle w:val="TableContents"/>
              <w:bidi w:val="0"/>
              <w:spacing w:before="0" w:after="283"/>
              <w:jc w:val="center"/>
              <w:rPr>
                <w:b/>
                <w:sz w:val="20"/>
              </w:rPr>
            </w:pPr>
            <w:r>
              <w:rPr>
                <w:b/>
                <w:sz w:val="20"/>
              </w:rPr>
              <w:t>001-39617</w:t>
            </w:r>
          </w:p>
        </w:tc>
        <w:tc>
          <w:tcPr>
            <w:tcW w:w="2900" w:type="dxa"/>
            <w:tcBorders/>
            <w:vAlign w:val="center"/>
          </w:tcPr>
          <w:p>
            <w:pPr>
              <w:pStyle w:val="TableContents"/>
              <w:bidi w:val="0"/>
              <w:spacing w:before="0" w:after="283"/>
              <w:jc w:val="center"/>
              <w:rPr>
                <w:b/>
                <w:sz w:val="20"/>
              </w:rPr>
            </w:pPr>
            <w:r>
              <w:rPr>
                <w:b/>
                <w:sz w:val="20"/>
              </w:rPr>
              <w:t>82-4724808</w:t>
            </w:r>
          </w:p>
        </w:tc>
      </w:tr>
      <w:tr>
        <w:trPr/>
        <w:tc>
          <w:tcPr>
            <w:tcW w:w="3620" w:type="dxa"/>
            <w:tcBorders/>
            <w:vAlign w:val="center"/>
          </w:tcPr>
          <w:p>
            <w:pPr>
              <w:pStyle w:val="TableContents"/>
              <w:bidi w:val="0"/>
              <w:spacing w:before="0" w:after="283"/>
              <w:jc w:val="center"/>
              <w:rPr>
                <w:sz w:val="20"/>
              </w:rPr>
            </w:pPr>
            <w:r>
              <w:rPr>
                <w:sz w:val="20"/>
              </w:rPr>
              <w:t>(State or Other Jurisdiction of Incorporation)</w:t>
            </w:r>
          </w:p>
        </w:tc>
        <w:tc>
          <w:tcPr>
            <w:tcW w:w="2210" w:type="dxa"/>
            <w:tcBorders/>
            <w:vAlign w:val="center"/>
          </w:tcPr>
          <w:p>
            <w:pPr>
              <w:pStyle w:val="TableContents"/>
              <w:bidi w:val="0"/>
              <w:spacing w:before="0" w:after="283"/>
              <w:jc w:val="center"/>
              <w:rPr>
                <w:sz w:val="20"/>
              </w:rPr>
            </w:pPr>
            <w:r>
              <w:rPr>
                <w:sz w:val="20"/>
              </w:rPr>
              <w:t>(Commission File Number)</w:t>
            </w:r>
          </w:p>
        </w:tc>
        <w:tc>
          <w:tcPr>
            <w:tcW w:w="2900" w:type="dxa"/>
            <w:tcBorders/>
            <w:vAlign w:val="center"/>
          </w:tcPr>
          <w:p>
            <w:pPr>
              <w:pStyle w:val="TableContents"/>
              <w:bidi w:val="0"/>
              <w:spacing w:before="0" w:after="283"/>
              <w:jc w:val="center"/>
              <w:rPr>
                <w:sz w:val="20"/>
              </w:rPr>
            </w:pPr>
            <w:r>
              <w:rPr>
                <w:sz w:val="20"/>
              </w:rPr>
              <w:t>(I.R.S. Employer Identification No.)</w:t>
            </w:r>
          </w:p>
        </w:tc>
      </w:tr>
    </w:tbl>
    <w:p>
      <w:pPr>
        <w:pStyle w:val="TextBody"/>
        <w:bidi w:val="0"/>
        <w:spacing w:before="240" w:after="0"/>
        <w:jc w:val="center"/>
        <w:rPr>
          <w:b/>
          <w:sz w:val="20"/>
        </w:rPr>
      </w:pPr>
      <w:r>
        <w:rPr>
          <w:b/>
          <w:sz w:val="20"/>
        </w:rPr>
        <w:t>One Corporate Dr., 2nd Floor</w:t>
      </w:r>
    </w:p>
    <w:p>
      <w:pPr>
        <w:pStyle w:val="TextBody"/>
        <w:bidi w:val="0"/>
        <w:spacing w:before="0" w:after="0"/>
        <w:jc w:val="center"/>
        <w:rPr>
          <w:b/>
          <w:sz w:val="20"/>
        </w:rPr>
      </w:pPr>
      <w:r>
        <w:rPr>
          <w:b/>
          <w:sz w:val="20"/>
        </w:rPr>
        <w:t>South San Francisco, California 94080</w:t>
      </w:r>
    </w:p>
    <w:p>
      <w:pPr>
        <w:pStyle w:val="TextBody"/>
        <w:bidi w:val="0"/>
        <w:spacing w:before="0" w:after="120"/>
        <w:jc w:val="center"/>
        <w:rPr>
          <w:sz w:val="20"/>
        </w:rPr>
      </w:pPr>
      <w:r>
        <w:rPr>
          <w:sz w:val="20"/>
        </w:rPr>
        <w:t>(Address of Principal Executive Offices) (Zip Code)</w:t>
      </w:r>
    </w:p>
    <w:p>
      <w:pPr>
        <w:pStyle w:val="TextBody"/>
        <w:bidi w:val="0"/>
        <w:spacing w:before="0" w:after="0"/>
        <w:jc w:val="center"/>
        <w:rPr>
          <w:b/>
          <w:sz w:val="20"/>
        </w:rPr>
      </w:pPr>
      <w:r>
        <w:rPr>
          <w:b/>
          <w:sz w:val="20"/>
        </w:rPr>
        <w:t>(800) 466-6059</w:t>
      </w:r>
    </w:p>
    <w:p>
      <w:pPr>
        <w:pStyle w:val="TextBody"/>
        <w:bidi w:val="0"/>
        <w:spacing w:before="0" w:after="120"/>
        <w:jc w:val="center"/>
        <w:rPr>
          <w:sz w:val="20"/>
        </w:rPr>
      </w:pPr>
      <w:r>
        <w:rPr>
          <w:sz w:val="20"/>
        </w:rPr>
        <w:t>(Registrant's telephone number, including area code)</w:t>
      </w:r>
    </w:p>
    <w:p>
      <w:pPr>
        <w:pStyle w:val="TextBody"/>
        <w:bidi w:val="0"/>
        <w:spacing w:before="0" w:after="0"/>
        <w:jc w:val="center"/>
        <w:rPr/>
      </w:pPr>
      <w:r>
        <w:rPr/>
        <w:t> </w:t>
      </w:r>
    </w:p>
    <w:p>
      <w:pPr>
        <w:pStyle w:val="TextBody"/>
        <w:bidi w:val="0"/>
        <w:spacing w:before="0" w:after="0"/>
        <w:jc w:val="center"/>
        <w:rPr>
          <w:sz w:val="20"/>
        </w:rPr>
      </w:pPr>
      <w:r>
        <w:rPr>
          <w:sz w:val="20"/>
        </w:rPr>
        <w:t>(Former name or former address, if changed since last report)</w:t>
      </w:r>
    </w:p>
    <w:p>
      <w:pPr>
        <w:pStyle w:val="TextBody"/>
        <w:bidi w:val="0"/>
        <w:jc w:val="center"/>
        <w:rPr/>
      </w:pPr>
      <w:r>
        <w:rPr/>
        <w:t>_______________________________</w:t>
      </w:r>
    </w:p>
    <w:p>
      <w:pPr>
        <w:pStyle w:val="TextBody"/>
        <w:bidi w:val="0"/>
        <w:spacing w:before="120" w:after="120"/>
        <w:jc w:val="left"/>
        <w:rPr>
          <w:sz w:val="20"/>
        </w:rPr>
      </w:pPr>
      <w:r>
        <w:rPr>
          <w:sz w:val="20"/>
        </w:rPr>
        <w:t>Check the appropriate box below if the Form 8-K filing is intended to simultaneously satisfy the filing obligation of the registrant under any of the following provisions:</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Written communications pursuant to Rule 425 under the Securities Act (17 CFR 230.425)</w:t>
            </w:r>
          </w:p>
        </w:tc>
      </w:tr>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Soliciting material pursuant to Rule 14a-12 under the Exchange Act (17 CFR 240.14a-12)</w:t>
            </w:r>
          </w:p>
        </w:tc>
      </w:tr>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Pre-commencement communications pursuant to Rule 14d-2(b) under the Exchange Act (17 CFR 240.14d-2(b))</w:t>
            </w:r>
          </w:p>
        </w:tc>
      </w:tr>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Pre-commencement communications pursuant to Rule 13e-4(c) under the Exchange Act (17 CFR 240.13e-4(c))</w:t>
            </w:r>
          </w:p>
        </w:tc>
      </w:tr>
    </w:tbl>
    <w:p>
      <w:pPr>
        <w:pStyle w:val="TextBody"/>
        <w:bidi w:val="0"/>
        <w:spacing w:before="120" w:after="120"/>
        <w:jc w:val="left"/>
        <w:rPr>
          <w:sz w:val="20"/>
        </w:rPr>
      </w:pPr>
      <w:r>
        <w:rPr>
          <w:sz w:val="20"/>
        </w:rPr>
        <w:t>Securities registered pursuant to Section 12(b) of the Act:</w:t>
      </w:r>
    </w:p>
    <w:tbl>
      <w:tblPr>
        <w:tblW w:w="8715" w:type="dxa"/>
        <w:jc w:val="left"/>
        <w:tblInd w:w="0" w:type="dxa"/>
        <w:tblLayout w:type="fixed"/>
        <w:tblCellMar>
          <w:top w:w="0" w:type="dxa"/>
          <w:left w:w="0" w:type="dxa"/>
          <w:bottom w:w="28" w:type="dxa"/>
          <w:right w:w="0" w:type="dxa"/>
        </w:tblCellMar>
      </w:tblPr>
      <w:tblGrid>
        <w:gridCol w:w="3605"/>
        <w:gridCol w:w="1535"/>
        <w:gridCol w:w="3575"/>
      </w:tblGrid>
      <w:tr>
        <w:trPr/>
        <w:tc>
          <w:tcPr>
            <w:tcW w:w="3605" w:type="dxa"/>
            <w:tcBorders>
              <w:bottom w:val="single" w:sz="8" w:space="0" w:color="000000"/>
            </w:tcBorders>
            <w:vAlign w:val="center"/>
          </w:tcPr>
          <w:p>
            <w:pPr>
              <w:pStyle w:val="TableContents"/>
              <w:bidi w:val="0"/>
              <w:spacing w:before="120" w:after="120"/>
              <w:jc w:val="center"/>
              <w:rPr>
                <w:sz w:val="20"/>
              </w:rPr>
            </w:pPr>
            <w:r>
              <w:rPr>
                <w:sz w:val="20"/>
              </w:rPr>
              <w:t>Title of each class</w:t>
            </w:r>
          </w:p>
        </w:tc>
        <w:tc>
          <w:tcPr>
            <w:tcW w:w="1535" w:type="dxa"/>
            <w:tcBorders>
              <w:bottom w:val="single" w:sz="8" w:space="0" w:color="000000"/>
            </w:tcBorders>
            <w:vAlign w:val="center"/>
          </w:tcPr>
          <w:p>
            <w:pPr>
              <w:pStyle w:val="TableContents"/>
              <w:bidi w:val="0"/>
              <w:spacing w:before="120" w:after="120"/>
              <w:jc w:val="center"/>
              <w:rPr>
                <w:sz w:val="20"/>
              </w:rPr>
            </w:pPr>
            <w:r>
              <w:rPr>
                <w:sz w:val="20"/>
              </w:rPr>
              <w:t>Trading Symbol(s)</w:t>
            </w:r>
          </w:p>
        </w:tc>
        <w:tc>
          <w:tcPr>
            <w:tcW w:w="3575" w:type="dxa"/>
            <w:tcBorders>
              <w:bottom w:val="single" w:sz="8" w:space="0" w:color="000000"/>
            </w:tcBorders>
            <w:vAlign w:val="center"/>
          </w:tcPr>
          <w:p>
            <w:pPr>
              <w:pStyle w:val="TableContents"/>
              <w:bidi w:val="0"/>
              <w:spacing w:before="120" w:after="120"/>
              <w:jc w:val="center"/>
              <w:rPr>
                <w:sz w:val="20"/>
              </w:rPr>
            </w:pPr>
            <w:r>
              <w:rPr>
                <w:sz w:val="20"/>
              </w:rPr>
              <w:t>Name of each exchange on which registered</w:t>
            </w:r>
          </w:p>
        </w:tc>
      </w:tr>
      <w:tr>
        <w:trPr/>
        <w:tc>
          <w:tcPr>
            <w:tcW w:w="3605" w:type="dxa"/>
            <w:tcBorders/>
            <w:tcMar>
              <w:bottom w:w="0" w:type="dxa"/>
            </w:tcMar>
            <w:vAlign w:val="center"/>
          </w:tcPr>
          <w:p>
            <w:pPr>
              <w:pStyle w:val="TableContents"/>
              <w:bidi w:val="0"/>
              <w:spacing w:before="0" w:after="283"/>
              <w:jc w:val="center"/>
              <w:rPr>
                <w:sz w:val="20"/>
              </w:rPr>
            </w:pPr>
            <w:r>
              <w:rPr>
                <w:sz w:val="20"/>
              </w:rPr>
              <w:t>Common Stock, $0.0001 par value per share</w:t>
            </w:r>
          </w:p>
        </w:tc>
        <w:tc>
          <w:tcPr>
            <w:tcW w:w="1535" w:type="dxa"/>
            <w:tcBorders/>
            <w:tcMar>
              <w:bottom w:w="0" w:type="dxa"/>
            </w:tcMar>
            <w:vAlign w:val="center"/>
          </w:tcPr>
          <w:p>
            <w:pPr>
              <w:pStyle w:val="TableContents"/>
              <w:bidi w:val="0"/>
              <w:spacing w:before="0" w:after="283"/>
              <w:jc w:val="center"/>
              <w:rPr>
                <w:sz w:val="20"/>
              </w:rPr>
            </w:pPr>
            <w:r>
              <w:rPr>
                <w:sz w:val="20"/>
              </w:rPr>
              <w:t>ALGS</w:t>
            </w:r>
          </w:p>
        </w:tc>
        <w:tc>
          <w:tcPr>
            <w:tcW w:w="3575" w:type="dxa"/>
            <w:tcBorders/>
            <w:tcMar>
              <w:bottom w:w="0" w:type="dxa"/>
            </w:tcMar>
            <w:vAlign w:val="center"/>
          </w:tcPr>
          <w:p>
            <w:pPr>
              <w:pStyle w:val="TableContents"/>
              <w:bidi w:val="0"/>
              <w:spacing w:before="0" w:after="283"/>
              <w:jc w:val="center"/>
              <w:rPr>
                <w:sz w:val="20"/>
              </w:rPr>
            </w:pPr>
            <w:r>
              <w:rPr>
                <w:sz w:val="20"/>
              </w:rPr>
              <w:t>The Nasdaq Stock Market LLC</w:t>
              <w:br/>
              <w:t>(Nasdaq Capital Market)</w:t>
            </w:r>
          </w:p>
        </w:tc>
      </w:tr>
    </w:tbl>
    <w:p>
      <w:pPr>
        <w:pStyle w:val="TextBody"/>
        <w:bidi w:val="0"/>
        <w:spacing w:before="120" w:after="120"/>
        <w:jc w:val="left"/>
        <w:rPr>
          <w:sz w:val="20"/>
        </w:rPr>
      </w:pPr>
      <w:r>
        <w:rPr>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120" w:after="120"/>
        <w:jc w:val="left"/>
        <w:rPr>
          <w:sz w:val="20"/>
        </w:rPr>
      </w:pPr>
      <w:r>
        <w:rPr>
          <w:sz w:val="20"/>
        </w:rPr>
        <w:t>Emerging growth company ☐</w:t>
      </w:r>
    </w:p>
    <w:p>
      <w:pPr>
        <w:pStyle w:val="TextBody"/>
        <w:bidi w:val="0"/>
        <w:spacing w:before="120" w:after="120"/>
        <w:jc w:val="left"/>
        <w:rPr>
          <w:sz w:val="20"/>
        </w:rPr>
      </w:pPr>
      <w:r>
        <w:rPr>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bdr w:val="single" w:sz="32" w:space="1" w:color="000000"/>
        </w:rPr>
      </w:pPr>
      <w:r>
        <w:rPr>
          <w:bdr w:val="single" w:sz="32" w:space="1" w:color="000000"/>
        </w:rPr>
        <w:t> </w:t>
      </w:r>
    </w:p>
    <w:p>
      <w:pPr>
        <w:pStyle w:val="TextBody"/>
        <w:bidi w:val="0"/>
        <w:spacing w:before="0" w:after="0"/>
        <w:jc w:val="left"/>
        <w:rPr/>
      </w:pPr>
      <w:r>
        <w:rPr/>
        <w:t> </w:t>
      </w:r>
    </w:p>
    <w:p>
      <w:pPr>
        <w:pStyle w:val="TextBody"/>
        <w:bidi w:val="0"/>
        <w:spacing w:before="0" w:after="283"/>
        <w:jc w:val="left"/>
        <w:rPr/>
      </w:pPr>
      <w:r>
        <w:rPr>
          <w:rStyle w:val="StrongEmphasis"/>
          <w:sz w:val="20"/>
        </w:rPr>
        <w:t>Item 2.02. Results of Operations and Financial Condition.</w:t>
      </w:r>
    </w:p>
    <w:p>
      <w:pPr>
        <w:pStyle w:val="TextBody"/>
        <w:bidi w:val="0"/>
        <w:spacing w:before="0" w:after="283"/>
        <w:jc w:val="left"/>
        <w:rPr/>
      </w:pPr>
      <w:r>
        <w:rPr/>
        <w:t> </w:t>
      </w:r>
    </w:p>
    <w:p>
      <w:pPr>
        <w:pStyle w:val="TextBody"/>
        <w:bidi w:val="0"/>
        <w:jc w:val="left"/>
        <w:rPr>
          <w:sz w:val="20"/>
        </w:rPr>
      </w:pPr>
      <w:r>
        <w:rPr>
          <w:sz w:val="20"/>
        </w:rPr>
        <w:t>On May 7, 2026, the Registrant issued a press release, a copy of which is attached hereto as Exhibit 99.1 and is incorporated herein by reference.</w:t>
      </w:r>
    </w:p>
    <w:p>
      <w:pPr>
        <w:pStyle w:val="TextBody"/>
        <w:bidi w:val="0"/>
        <w:spacing w:before="0" w:after="283"/>
        <w:jc w:val="left"/>
        <w:rPr/>
      </w:pPr>
      <w:r>
        <w:rPr/>
        <w:t> </w:t>
      </w:r>
    </w:p>
    <w:p>
      <w:pPr>
        <w:pStyle w:val="TextBody"/>
        <w:bidi w:val="0"/>
        <w:jc w:val="left"/>
        <w:rPr>
          <w:sz w:val="20"/>
        </w:rPr>
      </w:pPr>
      <w:r>
        <w:rPr>
          <w:sz w:val="20"/>
        </w:rPr>
        <w:t>The information in this Item 2.02 and the attached Exhibit 99.1 are being furnished and shall not be deemed to be "filed" for the purposes of Section 18 of the Securities Exchange Act of 1934, as amended (the "Exchange Act"), or otherwise subject to the liabilities of that section, nor shall they be deemed to be incorporated by reference in any filing made by the Registrant under the Securities Act of 1933, as amended, or the Exchange Act, except as shall be expressly set forth by specific reference in such a filing.</w:t>
      </w:r>
    </w:p>
    <w:p>
      <w:pPr>
        <w:pStyle w:val="TextBody"/>
        <w:bidi w:val="0"/>
        <w:spacing w:before="0" w:after="283"/>
        <w:jc w:val="left"/>
        <w:rPr/>
      </w:pPr>
      <w:r>
        <w:rPr/>
        <w:t> </w:t>
      </w:r>
    </w:p>
    <w:p>
      <w:pPr>
        <w:pStyle w:val="TextBody"/>
        <w:bidi w:val="0"/>
        <w:spacing w:before="0" w:after="283"/>
        <w:jc w:val="left"/>
        <w:rPr/>
      </w:pPr>
      <w:r>
        <w:rPr>
          <w:rStyle w:val="StrongEmphasis"/>
          <w:sz w:val="20"/>
        </w:rPr>
        <w:t>Item 9.01. Financial Statements and Exhibits.</w:t>
      </w:r>
    </w:p>
    <w:p>
      <w:pPr>
        <w:pStyle w:val="TextBody"/>
        <w:bidi w:val="0"/>
        <w:spacing w:before="0" w:after="283"/>
        <w:jc w:val="left"/>
        <w:rPr/>
      </w:pPr>
      <w:r>
        <w:rPr/>
        <w:t> </w:t>
      </w:r>
    </w:p>
    <w:tbl>
      <w:tblPr>
        <w:tblW w:w="8110" w:type="dxa"/>
        <w:jc w:val="left"/>
        <w:tblInd w:w="0" w:type="dxa"/>
        <w:tblLayout w:type="fixed"/>
        <w:tblCellMar>
          <w:top w:w="0" w:type="dxa"/>
          <w:left w:w="0" w:type="dxa"/>
          <w:bottom w:w="0" w:type="dxa"/>
          <w:right w:w="0" w:type="dxa"/>
        </w:tblCellMar>
      </w:tblPr>
      <w:tblGrid>
        <w:gridCol w:w="440"/>
        <w:gridCol w:w="60"/>
        <w:gridCol w:w="7610"/>
      </w:tblGrid>
      <w:tr>
        <w:trPr/>
        <w:tc>
          <w:tcPr>
            <w:tcW w:w="440" w:type="dxa"/>
            <w:tcBorders/>
            <w:vAlign w:val="center"/>
          </w:tcPr>
          <w:p>
            <w:pPr>
              <w:pStyle w:val="TableContents"/>
              <w:bidi w:val="0"/>
              <w:spacing w:before="0" w:after="283"/>
              <w:jc w:val="left"/>
              <w:rPr/>
            </w:pPr>
            <w:hyperlink w:anchor="exh_991.htm">
              <w:r>
                <w:rPr>
                  <w:rStyle w:val="InternetLink"/>
                </w:rPr>
                <w:t>99.1</w:t>
              </w:r>
            </w:hyperlink>
          </w:p>
        </w:tc>
        <w:tc>
          <w:tcPr>
            <w:tcW w:w="60" w:type="dxa"/>
            <w:tcBorders/>
            <w:vAlign w:val="center"/>
          </w:tcPr>
          <w:p>
            <w:pPr>
              <w:pStyle w:val="TableContents"/>
              <w:bidi w:val="0"/>
              <w:spacing w:before="0" w:after="283"/>
              <w:jc w:val="left"/>
              <w:rPr/>
            </w:pPr>
            <w:r>
              <w:rPr/>
              <w:t> </w:t>
            </w:r>
          </w:p>
        </w:tc>
        <w:tc>
          <w:tcPr>
            <w:tcW w:w="7610" w:type="dxa"/>
            <w:tcBorders/>
            <w:vAlign w:val="center"/>
          </w:tcPr>
          <w:p>
            <w:pPr>
              <w:pStyle w:val="TableContents"/>
              <w:bidi w:val="0"/>
              <w:spacing w:before="0" w:after="283"/>
              <w:jc w:val="left"/>
              <w:rPr/>
            </w:pPr>
            <w:hyperlink w:anchor="exh_991.htm">
              <w:r>
                <w:rPr>
                  <w:rStyle w:val="InternetLink"/>
                </w:rPr>
                <w:t>Press Release dated May 7, 2026</w:t>
              </w:r>
            </w:hyperlink>
          </w:p>
        </w:tc>
      </w:tr>
      <w:tr>
        <w:trPr/>
        <w:tc>
          <w:tcPr>
            <w:tcW w:w="440" w:type="dxa"/>
            <w:tcBorders/>
            <w:vAlign w:val="center"/>
          </w:tcPr>
          <w:p>
            <w:pPr>
              <w:pStyle w:val="TableContents"/>
              <w:bidi w:val="0"/>
              <w:spacing w:before="0" w:after="283"/>
              <w:jc w:val="left"/>
              <w:rPr/>
            </w:pPr>
            <w:r>
              <w:rPr/>
              <w:t>104</w:t>
            </w:r>
          </w:p>
        </w:tc>
        <w:tc>
          <w:tcPr>
            <w:tcW w:w="60" w:type="dxa"/>
            <w:tcBorders/>
            <w:vAlign w:val="center"/>
          </w:tcPr>
          <w:p>
            <w:pPr>
              <w:pStyle w:val="TableContents"/>
              <w:bidi w:val="0"/>
              <w:spacing w:before="0" w:after="283"/>
              <w:jc w:val="left"/>
              <w:rPr/>
            </w:pPr>
            <w:r>
              <w:rPr/>
              <w:t> </w:t>
            </w:r>
          </w:p>
        </w:tc>
        <w:tc>
          <w:tcPr>
            <w:tcW w:w="7610" w:type="dxa"/>
            <w:tcBorders/>
            <w:vAlign w:val="center"/>
          </w:tcPr>
          <w:p>
            <w:pPr>
              <w:pStyle w:val="TableContents"/>
              <w:bidi w:val="0"/>
              <w:spacing w:before="0" w:after="283"/>
              <w:jc w:val="left"/>
              <w:rPr/>
            </w:pPr>
            <w:r>
              <w:rPr/>
              <w:t>Cover Page Interactive Data File (embedded within the Inline XBRL document)</w:t>
            </w:r>
          </w:p>
        </w:tc>
      </w:tr>
    </w:tbl>
    <w:p>
      <w:pPr>
        <w:pStyle w:val="TextBody"/>
        <w:bidi w:val="0"/>
        <w:spacing w:before="0" w:after="283"/>
        <w:jc w:val="left"/>
        <w:rPr/>
      </w:pPr>
      <w:r>
        <w:rPr/>
        <w:t> </w:t>
      </w:r>
    </w:p>
    <w:p>
      <w:pPr>
        <w:pStyle w:val="TextBody"/>
        <w:bidi w:val="0"/>
        <w:spacing w:before="0" w:after="0"/>
        <w:jc w:val="left"/>
        <w:rPr>
          <w:bdr w:val="single" w:sz="32" w:space="1" w:color="000000"/>
        </w:rPr>
      </w:pPr>
      <w:r>
        <w:rPr>
          <w:bdr w:val="single" w:sz="32" w:space="1" w:color="000000"/>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jc w:val="center"/>
        <w:rPr>
          <w:b/>
          <w:sz w:val="20"/>
        </w:rPr>
      </w:pPr>
      <w:r>
        <w:rPr>
          <w:b/>
          <w:sz w:val="20"/>
        </w:rPr>
        <w:t>SIGNATURE</w:t>
      </w:r>
    </w:p>
    <w:p>
      <w:pPr>
        <w:pStyle w:val="TextBody"/>
        <w:bidi w:val="0"/>
        <w:spacing w:before="0" w:after="283"/>
        <w:jc w:val="left"/>
        <w:rPr/>
      </w:pPr>
      <w:r>
        <w:rPr/>
        <w:t> </w:t>
      </w:r>
    </w:p>
    <w:p>
      <w:pPr>
        <w:pStyle w:val="TextBody"/>
        <w:bidi w:val="0"/>
        <w:jc w:val="left"/>
        <w:rPr>
          <w:sz w:val="20"/>
        </w:rPr>
      </w:pPr>
      <w:r>
        <w:rPr>
          <w:sz w:val="20"/>
        </w:rPr>
        <w:t>Pursuant to the requirements of the Securities Exchange Act of 1934, the registrant has duly caused this report to be signed on its behalf by the undersigned hereunto duly authorized.</w:t>
      </w:r>
    </w:p>
    <w:p>
      <w:pPr>
        <w:pStyle w:val="TextBody"/>
        <w:bidi w:val="0"/>
        <w:spacing w:before="0" w:after="283"/>
        <w:jc w:val="left"/>
        <w:rPr/>
      </w:pPr>
      <w:r>
        <w:rPr/>
        <w:t> </w:t>
      </w:r>
    </w:p>
    <w:tbl>
      <w:tblPr>
        <w:tblW w:w="8205" w:type="dxa"/>
        <w:jc w:val="left"/>
        <w:tblInd w:w="0" w:type="dxa"/>
        <w:tblLayout w:type="fixed"/>
        <w:tblCellMar>
          <w:top w:w="0" w:type="dxa"/>
          <w:left w:w="0" w:type="dxa"/>
          <w:bottom w:w="0" w:type="dxa"/>
          <w:right w:w="0" w:type="dxa"/>
        </w:tblCellMar>
      </w:tblPr>
      <w:tblGrid>
        <w:gridCol w:w="1535"/>
        <w:gridCol w:w="365"/>
        <w:gridCol w:w="6305"/>
      </w:tblGrid>
      <w:tr>
        <w:trPr/>
        <w:tc>
          <w:tcPr>
            <w:tcW w:w="1535" w:type="dxa"/>
            <w:tcBorders/>
            <w:vAlign w:val="center"/>
          </w:tcPr>
          <w:p>
            <w:pPr>
              <w:pStyle w:val="TableContents"/>
              <w:bidi w:val="0"/>
              <w:spacing w:before="0" w:after="283"/>
              <w:jc w:val="left"/>
              <w:rPr/>
            </w:pPr>
            <w:r>
              <w:rPr/>
              <w:t> </w:t>
            </w:r>
          </w:p>
        </w:tc>
        <w:tc>
          <w:tcPr>
            <w:tcW w:w="6670" w:type="dxa"/>
            <w:gridSpan w:val="2"/>
            <w:tcBorders/>
            <w:vAlign w:val="center"/>
          </w:tcPr>
          <w:p>
            <w:pPr>
              <w:pStyle w:val="TableContents"/>
              <w:bidi w:val="0"/>
              <w:spacing w:before="0" w:after="283"/>
              <w:jc w:val="left"/>
              <w:rPr>
                <w:b/>
                <w:sz w:val="20"/>
              </w:rPr>
            </w:pPr>
            <w:r>
              <w:rPr>
                <w:b/>
                <w:sz w:val="20"/>
              </w:rPr>
              <w:t>Aligos Therapeutics, Inc.</w:t>
            </w:r>
          </w:p>
        </w:tc>
      </w:tr>
      <w:tr>
        <w:trPr/>
        <w:tc>
          <w:tcPr>
            <w:tcW w:w="153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305" w:type="dxa"/>
            <w:tcBorders/>
            <w:vAlign w:val="center"/>
          </w:tcPr>
          <w:p>
            <w:pPr>
              <w:pStyle w:val="TableContents"/>
              <w:bidi w:val="0"/>
              <w:spacing w:before="0" w:after="283"/>
              <w:jc w:val="left"/>
              <w:rPr/>
            </w:pPr>
            <w:r>
              <w:rPr/>
              <w:t> </w:t>
            </w:r>
          </w:p>
        </w:tc>
      </w:tr>
      <w:tr>
        <w:trPr/>
        <w:tc>
          <w:tcPr>
            <w:tcW w:w="153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305" w:type="dxa"/>
            <w:tcBorders/>
            <w:vAlign w:val="center"/>
          </w:tcPr>
          <w:p>
            <w:pPr>
              <w:pStyle w:val="TableContents"/>
              <w:bidi w:val="0"/>
              <w:spacing w:before="0" w:after="283"/>
              <w:jc w:val="left"/>
              <w:rPr>
                <w:sz w:val="4"/>
                <w:szCs w:val="4"/>
              </w:rPr>
            </w:pPr>
            <w:r>
              <w:rPr>
                <w:sz w:val="4"/>
                <w:szCs w:val="4"/>
              </w:rPr>
            </w:r>
          </w:p>
        </w:tc>
      </w:tr>
      <w:tr>
        <w:trPr/>
        <w:tc>
          <w:tcPr>
            <w:tcW w:w="1535" w:type="dxa"/>
            <w:tcBorders/>
            <w:vAlign w:val="center"/>
          </w:tcPr>
          <w:p>
            <w:pPr>
              <w:pStyle w:val="TableContents"/>
              <w:bidi w:val="0"/>
              <w:spacing w:before="0" w:after="283"/>
              <w:jc w:val="left"/>
              <w:rPr>
                <w:sz w:val="20"/>
              </w:rPr>
            </w:pPr>
            <w:r>
              <w:rPr>
                <w:sz w:val="20"/>
              </w:rPr>
              <w:t>Date: May 7, 2026</w:t>
            </w:r>
          </w:p>
        </w:tc>
        <w:tc>
          <w:tcPr>
            <w:tcW w:w="365" w:type="dxa"/>
            <w:tcBorders/>
            <w:vAlign w:val="center"/>
          </w:tcPr>
          <w:p>
            <w:pPr>
              <w:pStyle w:val="TableContents"/>
              <w:bidi w:val="0"/>
              <w:spacing w:before="0" w:after="283"/>
              <w:jc w:val="left"/>
              <w:rPr>
                <w:sz w:val="20"/>
              </w:rPr>
            </w:pPr>
            <w:r>
              <w:rPr>
                <w:sz w:val="20"/>
              </w:rPr>
              <w:t>By: </w:t>
            </w:r>
          </w:p>
        </w:tc>
        <w:tc>
          <w:tcPr>
            <w:tcW w:w="6305" w:type="dxa"/>
            <w:tcBorders/>
            <w:vAlign w:val="center"/>
          </w:tcPr>
          <w:p>
            <w:pPr>
              <w:pStyle w:val="TableContents"/>
              <w:bidi w:val="0"/>
              <w:spacing w:before="0" w:after="283"/>
              <w:jc w:val="left"/>
              <w:rPr>
                <w:sz w:val="20"/>
                <w:u w:val="single"/>
              </w:rPr>
            </w:pPr>
            <w:r>
              <w:rPr>
                <w:sz w:val="20"/>
                <w:u w:val="single"/>
              </w:rPr>
              <w:t>/s/ Lesley Ann Calhoun        </w:t>
            </w:r>
          </w:p>
        </w:tc>
      </w:tr>
      <w:tr>
        <w:trPr/>
        <w:tc>
          <w:tcPr>
            <w:tcW w:w="153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305" w:type="dxa"/>
            <w:tcBorders/>
            <w:vAlign w:val="center"/>
          </w:tcPr>
          <w:p>
            <w:pPr>
              <w:pStyle w:val="TableContents"/>
              <w:bidi w:val="0"/>
              <w:spacing w:before="0" w:after="283"/>
              <w:jc w:val="left"/>
              <w:rPr>
                <w:sz w:val="20"/>
              </w:rPr>
            </w:pPr>
            <w:r>
              <w:rPr>
                <w:sz w:val="20"/>
              </w:rPr>
              <w:t>Lesley Ann Calhoun</w:t>
            </w:r>
          </w:p>
        </w:tc>
      </w:tr>
      <w:tr>
        <w:trPr/>
        <w:tc>
          <w:tcPr>
            <w:tcW w:w="153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305" w:type="dxa"/>
            <w:tcBorders/>
            <w:vAlign w:val="center"/>
          </w:tcPr>
          <w:p>
            <w:pPr>
              <w:pStyle w:val="TableContents"/>
              <w:bidi w:val="0"/>
              <w:spacing w:before="0" w:after="283"/>
              <w:jc w:val="left"/>
              <w:rPr>
                <w:sz w:val="20"/>
              </w:rPr>
            </w:pPr>
            <w:r>
              <w:rPr>
                <w:sz w:val="20"/>
              </w:rPr>
              <w:t>Executive Vice President, Chief Operating Officer and Chief Financial Officer</w:t>
            </w:r>
          </w:p>
        </w:tc>
      </w:tr>
      <w:tr>
        <w:trPr/>
        <w:tc>
          <w:tcPr>
            <w:tcW w:w="153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30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t> </w:t>
      </w:r>
    </w:p>
    <w:p>
      <w:pPr>
        <w:pStyle w:val="TextBody"/>
        <w:bidi w:val="0"/>
        <w:jc w:val="right"/>
        <w:rPr/>
      </w:pPr>
      <w:bookmarkStart w:id="2" w:name="exh_991.htm"/>
      <w:bookmarkStart w:id="3" w:name="ksexh_991"/>
      <w:bookmarkEnd w:id="2"/>
      <w:bookmarkEnd w:id="3"/>
      <w:r>
        <w:rPr>
          <w:rStyle w:val="StrongEmphasis"/>
        </w:rPr>
        <w:t>EXHIBIT 99.1</w:t>
      </w:r>
      <w:r>
        <w:br w:type="page"/>
      </w:r>
    </w:p>
    <w:p>
      <w:pPr>
        <w:pStyle w:val="TextBody"/>
        <w:bidi w:val="0"/>
        <w:jc w:val="center"/>
        <w:rPr/>
      </w:pPr>
      <w:r>
        <w:rPr>
          <w:rStyle w:val="StrongEmphasis"/>
          <w:sz w:val="28"/>
        </w:rPr>
        <w:t>Aligos Therapeutics Reports Recent Business Progress and First Quarter 2026 Financial Results</w:t>
      </w:r>
    </w:p>
    <w:p>
      <w:pPr>
        <w:pStyle w:val="TextBody"/>
        <w:bidi w:val="0"/>
        <w:jc w:val="left"/>
        <w:rPr/>
      </w:pPr>
      <w:r>
        <w:rPr/>
        <w:t>SOUTH SAN FRANCISCO, Calif., May 07, 2026 (GLOBE NEWSWIRE) -- Aligos Therapeutics, Inc. (Nasdaq: ALGS, “Aligos”), a clinical stage biotechnology company focused on improving patient outcomes through best-in-class therapies for liver and viral diseases, today reported recent business progress and financial results for the first quarter 2026.</w:t>
      </w:r>
    </w:p>
    <w:p>
      <w:pPr>
        <w:pStyle w:val="TextBody"/>
        <w:bidi w:val="0"/>
        <w:spacing w:before="0" w:after="283"/>
        <w:jc w:val="left"/>
        <w:rPr/>
      </w:pPr>
      <w:r>
        <w:rPr/>
        <w:t>“</w:t>
      </w:r>
      <w:r>
        <w:rPr/>
        <w:t xml:space="preserve">I am pleased to continue building on our progress made so far in 2026,” stated Lawrence Blatt, Ph.D., M.B.A., Chairman, President, and Chief Executive Officer of Aligos Therapeutics. “Receiving Fast Track Designation is confirmation that an unmet medical need exists in chronic HBV infection and pevifoscorvir sodium has the potential to be superior to current therapies based on clinical data to date, which was evaluated by the FDA when determining the granting of this designation. In addition, we completed the first interim analysis for the B-SUPREME HBeAg- cohort with a positive outcome reflecting that the study will continue, the futility criteria were not met, and study drugs were well tolerated. The recommendation from the DSMB to increase participants has the potential to increase the probability of success of the B-SUPREME study. It is important to note, that prior to the B-SUPREME study there has not been a randomized controlled study of treatment naïve chronic HBV infection participants using tenofovir disoproxil fumarate (TDF) as the active comparator to measure HBV DNA response with the most sensitive PCR assay currently available (LLOQ &lt;10 IU/mL). Also, we are pleased to build on our existing relationship with Amoytop with the partnership of pevifoscorvir sodium in Greater China which can potentially accelerate approval in the region. Taken together, this progress demonstrates how our team has continued to execute on our goals. As we look forward to the back half of the year, I am excited for our continued developments as we progress pevifoscorvir sodium and our other drug candidates. In particular, I look forward to providing updates on our potentially best-in-class ASO for chronic HBV infection, which is moving nicely through IND-enabling studies.” </w:t>
      </w:r>
    </w:p>
    <w:p>
      <w:pPr>
        <w:pStyle w:val="TextBody"/>
        <w:bidi w:val="0"/>
        <w:spacing w:before="0" w:after="283"/>
        <w:jc w:val="left"/>
        <w:rPr/>
      </w:pPr>
      <w:r>
        <w:rPr>
          <w:rStyle w:val="StrongEmphasis"/>
        </w:rPr>
        <w:t>Recent Business Progress</w:t>
      </w:r>
    </w:p>
    <w:p>
      <w:pPr>
        <w:pStyle w:val="TextBody"/>
        <w:bidi w:val="0"/>
        <w:spacing w:before="0" w:after="283"/>
        <w:jc w:val="left"/>
        <w:rPr/>
      </w:pPr>
      <w:r>
        <w:rPr>
          <w:rStyle w:val="StrongEmphasis"/>
          <w:u w:val="single"/>
        </w:rPr>
        <w:t>Pipeline Updates</w:t>
      </w:r>
    </w:p>
    <w:p>
      <w:pPr>
        <w:pStyle w:val="TextBody"/>
        <w:bidi w:val="0"/>
        <w:spacing w:before="0" w:after="283"/>
        <w:jc w:val="left"/>
        <w:rPr/>
      </w:pPr>
      <w:r>
        <w:rPr/>
        <w:t>      </w:t>
      </w:r>
      <w:r>
        <w:rPr>
          <w:rStyle w:val="StrongEmphasis"/>
          <w:u w:val="single"/>
        </w:rPr>
        <w:t>Pevifoscorvir sodium: Potential first-/best-in-class small molecule CAM-E for chronic hepatitis B virus (HBV) infection</w:t>
      </w:r>
    </w:p>
    <w:p>
      <w:pPr>
        <w:pStyle w:val="TextBody"/>
        <w:numPr>
          <w:ilvl w:val="0"/>
          <w:numId w:val="2"/>
        </w:numPr>
        <w:tabs>
          <w:tab w:val="clear" w:pos="1134"/>
          <w:tab w:val="left" w:pos="709" w:leader="none"/>
        </w:tabs>
        <w:bidi w:val="0"/>
        <w:spacing w:before="120" w:after="283"/>
        <w:ind w:left="709" w:hanging="283"/>
        <w:jc w:val="left"/>
        <w:rPr/>
      </w:pPr>
      <w:r>
        <w:rPr/>
        <w:t>Pevifoscorvir sodium was granted Fast Track Designation by the U.S. Food and Drug Administration (FDA) for chronic hepatitis B virus (HBV) infection.</w:t>
      </w:r>
    </w:p>
    <w:p>
      <w:pPr>
        <w:pStyle w:val="TextBody"/>
        <w:numPr>
          <w:ilvl w:val="0"/>
          <w:numId w:val="2"/>
        </w:numPr>
        <w:tabs>
          <w:tab w:val="clear" w:pos="1134"/>
          <w:tab w:val="left" w:pos="709" w:leader="none"/>
        </w:tabs>
        <w:bidi w:val="0"/>
        <w:spacing w:before="120" w:after="283"/>
        <w:ind w:left="709" w:hanging="283"/>
        <w:jc w:val="left"/>
        <w:rPr/>
      </w:pPr>
      <w:r>
        <w:rPr/>
        <w:t>The Phase 2 B-SUPREME study (NCT06963710) is currently ongoing. As of April 2026, there were 74 participants enrolled in the HBeAg- cohort (Part 2a), with 103 participants enrolled in the HBeAg+ cohort (Part 1a).</w:t>
      </w:r>
    </w:p>
    <w:p>
      <w:pPr>
        <w:pStyle w:val="TextBody"/>
        <w:numPr>
          <w:ilvl w:val="0"/>
          <w:numId w:val="2"/>
        </w:numPr>
        <w:tabs>
          <w:tab w:val="clear" w:pos="1134"/>
          <w:tab w:val="left" w:pos="709" w:leader="none"/>
        </w:tabs>
        <w:bidi w:val="0"/>
        <w:spacing w:before="120" w:after="283"/>
        <w:ind w:left="709" w:hanging="283"/>
        <w:jc w:val="left"/>
        <w:rPr/>
      </w:pPr>
      <w:r>
        <w:rPr/>
        <w:t xml:space="preserve">The study design for the Phase 2 B-SUPREME study includes pre-specified sample size re-estimations for both Parts 1a and 2a to ensure sufficient power to demonstrate a statistically significant treatment effect at the primary endpoint. The first pre-specified interim analysis of the Phase 2 B-SUPREME study was performed after approximately 60% of HBeAg- participants (N=34, Part 2a) reached Week 12 or later. In addition, safety data was reviewed for all participants enrolled in the study (N=174) at the time the interim analysis was performed. Findings from the first interim analysis include: </w:t>
      </w:r>
    </w:p>
    <w:p>
      <w:pPr>
        <w:pStyle w:val="TextBody"/>
        <w:numPr>
          <w:ilvl w:val="1"/>
          <w:numId w:val="2"/>
        </w:numPr>
        <w:tabs>
          <w:tab w:val="clear" w:pos="1134"/>
          <w:tab w:val="left" w:pos="1418" w:leader="none"/>
        </w:tabs>
        <w:bidi w:val="0"/>
        <w:spacing w:before="120" w:after="283"/>
        <w:ind w:left="1418" w:hanging="283"/>
        <w:jc w:val="left"/>
        <w:rPr/>
      </w:pPr>
      <w:r>
        <w:rPr/>
        <w:t>The Drug Safety Monitoring Board (DSMB) recommended increasing the sample size of Part 2a from 74 currently enrolled to 100 participants. A futility analysis was performed; the prespecified futility criteria were not met, per the statistical analysis plan.</w:t>
      </w:r>
    </w:p>
    <w:p>
      <w:pPr>
        <w:pStyle w:val="TextBody"/>
        <w:numPr>
          <w:ilvl w:val="1"/>
          <w:numId w:val="2"/>
        </w:numPr>
        <w:tabs>
          <w:tab w:val="clear" w:pos="1134"/>
          <w:tab w:val="left" w:pos="1418" w:leader="none"/>
        </w:tabs>
        <w:bidi w:val="0"/>
        <w:spacing w:before="120" w:after="283"/>
        <w:ind w:left="1418" w:hanging="283"/>
        <w:jc w:val="left"/>
        <w:rPr/>
      </w:pPr>
      <w:r>
        <w:rPr/>
        <w:t>The study drugs were well-tolerated with no clinically concerning laboratory, physical examination, vital sign, or ECG abnormalities. No viral breakthrough related to study drugs has been observed in the study to date.</w:t>
      </w:r>
    </w:p>
    <w:p>
      <w:pPr>
        <w:pStyle w:val="TextBody"/>
        <w:numPr>
          <w:ilvl w:val="0"/>
          <w:numId w:val="2"/>
        </w:numPr>
        <w:tabs>
          <w:tab w:val="clear" w:pos="1134"/>
          <w:tab w:val="left" w:pos="709" w:leader="none"/>
        </w:tabs>
        <w:bidi w:val="0"/>
        <w:spacing w:before="120" w:after="283"/>
        <w:ind w:left="709" w:hanging="283"/>
        <w:jc w:val="left"/>
        <w:rPr/>
      </w:pPr>
      <w:r>
        <w:rPr/>
        <w:t>A second protocol defined interim analysis is planned when ~50% of HBeAg+ participants complete 24 weeks of the treatment period, with this enrollment threshold previously reached in January 2026. The second interim analysis is expected in the second half of 2026.</w:t>
      </w:r>
    </w:p>
    <w:p>
      <w:pPr>
        <w:pStyle w:val="TextBody"/>
        <w:numPr>
          <w:ilvl w:val="0"/>
          <w:numId w:val="2"/>
        </w:numPr>
        <w:tabs>
          <w:tab w:val="clear" w:pos="1134"/>
          <w:tab w:val="left" w:pos="709" w:leader="none"/>
        </w:tabs>
        <w:bidi w:val="0"/>
        <w:spacing w:before="120" w:after="283"/>
        <w:ind w:left="709" w:hanging="283"/>
        <w:jc w:val="left"/>
        <w:rPr/>
      </w:pPr>
      <w:r>
        <w:rPr/>
        <w:t>Topline data for both the HBeAg- and HBeAg+ cohorts are expected in 2027.</w:t>
      </w:r>
    </w:p>
    <w:p>
      <w:pPr>
        <w:pStyle w:val="TextBody"/>
        <w:numPr>
          <w:ilvl w:val="0"/>
          <w:numId w:val="2"/>
        </w:numPr>
        <w:tabs>
          <w:tab w:val="clear" w:pos="1134"/>
          <w:tab w:val="left" w:pos="709" w:leader="none"/>
        </w:tabs>
        <w:bidi w:val="0"/>
        <w:spacing w:before="120" w:after="283"/>
        <w:ind w:left="709" w:hanging="283"/>
        <w:jc w:val="left"/>
        <w:rPr/>
      </w:pPr>
      <w:r>
        <w:rPr/>
        <w:t>96-weeks of dosing have been completed in the Phase 1 study (NCT04536337) with long-term post-treatment data expected to be presented at the upcoming European Association for the Study of the Liver (EASL) 2026 Congress.</w:t>
      </w:r>
    </w:p>
    <w:p>
      <w:pPr>
        <w:pStyle w:val="TextBody"/>
        <w:numPr>
          <w:ilvl w:val="0"/>
          <w:numId w:val="2"/>
        </w:numPr>
        <w:tabs>
          <w:tab w:val="clear" w:pos="1134"/>
          <w:tab w:val="left" w:pos="709" w:leader="none"/>
        </w:tabs>
        <w:bidi w:val="0"/>
        <w:spacing w:before="120" w:after="283"/>
        <w:ind w:left="709" w:hanging="283"/>
        <w:jc w:val="left"/>
        <w:rPr/>
      </w:pPr>
      <w:r>
        <w:rPr/>
        <w:t>The Company entered into an exclusive license deal with Xiamen Amoytop Biotech Co., Ltd. (Amoytop) to develop and commercialize pevifoscorvir sodium in Greater China for chronic HBV infection. Along with a $25M USD upfront, Aligos is entitled to up to $420M USD in clinical, regulatory, and sales milestones with tiered, high single-digit royalties.</w:t>
      </w:r>
    </w:p>
    <w:p>
      <w:pPr>
        <w:pStyle w:val="TextBody"/>
        <w:bidi w:val="0"/>
        <w:spacing w:before="0" w:after="283"/>
        <w:jc w:val="left"/>
        <w:rPr/>
      </w:pPr>
      <w:r>
        <w:rPr>
          <w:rStyle w:val="StrongEmphasis"/>
          <w:u w:val="single"/>
        </w:rPr>
        <w:t>ALG-170675: Potential best-in-class antisense oligonucleotide (ASO) for chronic hepatitis B virus (HBV) infection</w:t>
      </w:r>
    </w:p>
    <w:p>
      <w:pPr>
        <w:pStyle w:val="TextBody"/>
        <w:numPr>
          <w:ilvl w:val="0"/>
          <w:numId w:val="3"/>
        </w:numPr>
        <w:tabs>
          <w:tab w:val="clear" w:pos="1134"/>
          <w:tab w:val="left" w:pos="709" w:leader="none"/>
        </w:tabs>
        <w:bidi w:val="0"/>
        <w:spacing w:before="0" w:after="0"/>
        <w:ind w:left="709" w:hanging="283"/>
        <w:jc w:val="left"/>
        <w:rPr/>
      </w:pPr>
      <w:r>
        <w:rPr/>
        <w:t>Along with our partner Amoytop, ALG-170675 has begun IND-enabling studies. Current costs for development in China are being funded by Amoytop, who maintain rights in Greater China.</w:t>
      </w:r>
    </w:p>
    <w:p>
      <w:pPr>
        <w:pStyle w:val="TextBody"/>
        <w:numPr>
          <w:ilvl w:val="0"/>
          <w:numId w:val="3"/>
        </w:numPr>
        <w:tabs>
          <w:tab w:val="clear" w:pos="1134"/>
          <w:tab w:val="left" w:pos="709" w:leader="none"/>
        </w:tabs>
        <w:bidi w:val="0"/>
        <w:ind w:left="709" w:hanging="283"/>
        <w:jc w:val="left"/>
        <w:rPr/>
      </w:pPr>
      <w:r>
        <w:rPr/>
        <w:t>This next-generation ASO works via two mechanisms of action. It targets and destroys HBsAg-encoding mRNA and activates the immune response through TLR-8 agonism.</w:t>
      </w:r>
    </w:p>
    <w:p>
      <w:pPr>
        <w:pStyle w:val="TextBody"/>
        <w:bidi w:val="0"/>
        <w:spacing w:before="0" w:after="283"/>
        <w:jc w:val="left"/>
        <w:rPr/>
      </w:pPr>
      <w:r>
        <w:rPr>
          <w:rStyle w:val="StrongEmphasis"/>
          <w:u w:val="single"/>
        </w:rPr>
        <w:t>ALG-055009: Potential best-in-class small molecule THR-β for obesity, MASH</w:t>
      </w:r>
    </w:p>
    <w:p>
      <w:pPr>
        <w:pStyle w:val="TextBody"/>
        <w:numPr>
          <w:ilvl w:val="0"/>
          <w:numId w:val="4"/>
        </w:numPr>
        <w:tabs>
          <w:tab w:val="clear" w:pos="1134"/>
          <w:tab w:val="left" w:pos="709" w:leader="none"/>
        </w:tabs>
        <w:bidi w:val="0"/>
        <w:spacing w:before="0" w:after="0"/>
        <w:ind w:left="709" w:hanging="283"/>
        <w:jc w:val="left"/>
        <w:rPr/>
      </w:pPr>
      <w:r>
        <w:rPr/>
        <w:t>Additional nonclinical data demonstrating the potential synergies of ALG-055009 and incretin receptor agonists are expected to be presented at upcoming scientific conferences.</w:t>
      </w:r>
    </w:p>
    <w:p>
      <w:pPr>
        <w:pStyle w:val="TextBody"/>
        <w:numPr>
          <w:ilvl w:val="0"/>
          <w:numId w:val="4"/>
        </w:numPr>
        <w:tabs>
          <w:tab w:val="clear" w:pos="1134"/>
          <w:tab w:val="left" w:pos="709" w:leader="none"/>
        </w:tabs>
        <w:bidi w:val="0"/>
        <w:ind w:left="709" w:hanging="283"/>
        <w:jc w:val="left"/>
        <w:rPr/>
      </w:pPr>
      <w:r>
        <w:rPr/>
        <w:t>Evaluation of a variety of options to fund continued development, including potential out-licensing, is ongoing.</w:t>
      </w:r>
    </w:p>
    <w:p>
      <w:pPr>
        <w:pStyle w:val="TextBody"/>
        <w:bidi w:val="0"/>
        <w:spacing w:before="0" w:after="283"/>
        <w:jc w:val="left"/>
        <w:rPr/>
      </w:pPr>
      <w:r>
        <w:rPr>
          <w:rStyle w:val="StrongEmphasis"/>
        </w:rPr>
        <w:t>Financial Results for the Three Months Ended March 31, 2026</w:t>
      </w:r>
    </w:p>
    <w:p>
      <w:pPr>
        <w:pStyle w:val="TextBody"/>
        <w:bidi w:val="0"/>
        <w:spacing w:before="0" w:after="283"/>
        <w:jc w:val="left"/>
        <w:rPr/>
      </w:pPr>
      <w:r>
        <w:rPr/>
        <w:t>Cash, cash equivalents and investments totaled $54.9 million as of March 31, 2026, compared with $77.8 million as of December 31, 2025. Our cash, cash equivalents and investments are expected to provide sufficient funding of planned operations into the fourth quarter of 2026, inclusive of the $25M upfront expected from the Amoytop Greater China License deal for pevifoscorvir sodium.</w:t>
      </w:r>
    </w:p>
    <w:p>
      <w:pPr>
        <w:pStyle w:val="TextBody"/>
        <w:bidi w:val="0"/>
        <w:spacing w:before="0" w:after="283"/>
        <w:jc w:val="left"/>
        <w:rPr/>
      </w:pPr>
      <w:r>
        <w:rPr/>
        <w:t>Net loss for the three months ended March 31, 2026 was $23.0 million or basic and diluted net loss per common share of $(2.21), compared to net income of $43.1 million or basic net income per common share of $5.12, and diluted net loss per common share of $(2.11) for the three months ended March 31, 2025.</w:t>
      </w:r>
    </w:p>
    <w:p>
      <w:pPr>
        <w:pStyle w:val="TextBody"/>
        <w:bidi w:val="0"/>
        <w:spacing w:before="0" w:after="283"/>
        <w:jc w:val="left"/>
        <w:rPr/>
      </w:pPr>
      <w:r>
        <w:rPr/>
        <w:t>Research and development (R&amp;D) expenses for the three months ended March 31, 2026 were $23.4 million, compared with $14.5 million for the same period of 2025. The increase was primarily due to an increase in third-party expenses for the pevifoscorvir sodium Phase 2 clinical trial. Total R&amp;D stock-based compensation expense incurred for the three months ended March 31, 2026 was $0.7 million, compared with $0.5 million for the same period of 2025.</w:t>
      </w:r>
    </w:p>
    <w:p>
      <w:pPr>
        <w:pStyle w:val="TextBody"/>
        <w:bidi w:val="0"/>
        <w:spacing w:before="0" w:after="283"/>
        <w:jc w:val="left"/>
        <w:rPr/>
      </w:pPr>
      <w:r>
        <w:rPr/>
        <w:t>General and administrative (G&amp;A) expenses for the three months ended March 31, 2026 were $6.4 million, compared with $5.1 million for the same period of 2025. The decrease in G&amp;A expenses for this comparative period is primarily due to a decrease in legal and other related expenses. Total G&amp;A stock-based compensation expense incurred for the three months ended March 31, 2026 was $0.6 million, compared with $0.4 million for the same period of 2025.</w:t>
      </w:r>
    </w:p>
    <w:p>
      <w:pPr>
        <w:pStyle w:val="TextBody"/>
        <w:bidi w:val="0"/>
        <w:spacing w:before="0" w:after="283"/>
        <w:jc w:val="left"/>
        <w:rPr/>
      </w:pPr>
      <w:r>
        <w:rPr/>
        <w:t>Interest and other income, net, was income of $0.8 million for the three months ended March 31, 2026 compared with income of $0.9 million for the same period in 2025.</w:t>
      </w:r>
    </w:p>
    <w:p>
      <w:pPr>
        <w:pStyle w:val="TextBody"/>
        <w:bidi w:val="0"/>
        <w:spacing w:before="0" w:after="283"/>
        <w:jc w:val="left"/>
        <w:rPr/>
      </w:pPr>
      <w:r>
        <w:rPr/>
        <w:t>Change in fair value of 2023 common warrants for the three months ended March 31, 2026, was income of $3.4 million compared with income of $61.5 million for the same period of 2025.</w:t>
      </w:r>
    </w:p>
    <w:p>
      <w:pPr>
        <w:pStyle w:val="TextBody"/>
        <w:bidi w:val="0"/>
        <w:spacing w:before="0" w:after="283"/>
        <w:jc w:val="left"/>
        <w:rPr/>
      </w:pPr>
      <w:r>
        <w:rPr>
          <w:rStyle w:val="StrongEmphasis"/>
        </w:rPr>
        <w:t>About Aligos</w:t>
      </w:r>
    </w:p>
    <w:p>
      <w:pPr>
        <w:pStyle w:val="TextBody"/>
        <w:bidi w:val="0"/>
        <w:spacing w:before="0" w:after="283"/>
        <w:jc w:val="left"/>
        <w:rPr/>
      </w:pPr>
      <w:r>
        <w:rPr/>
        <w:t>Aligos Therapeutics, Inc. (NASDAQ: ALGS) is a clinical stage biotechnology company founded with the mission to improve patient outcomes by developing best-in-class therapies for the treatment of liver and viral diseases. Aligos applies its science driven approach and deep R&amp;D expertise to advance its purpose-built pipeline of therapeutics for high unmet medical needs such as chronic hepatitis B virus (HBV) infection, metabolic dysfunction-associated steatohepatitis (MASH), obesity, and coronaviruses.</w:t>
      </w:r>
    </w:p>
    <w:p>
      <w:pPr>
        <w:pStyle w:val="TextBody"/>
        <w:bidi w:val="0"/>
        <w:spacing w:before="0" w:after="283"/>
        <w:jc w:val="left"/>
        <w:rPr/>
      </w:pPr>
      <w:r>
        <w:rPr/>
        <w:t>For more information, please visit www.aligos.com or follow us on LinkedIn or X.</w:t>
      </w:r>
    </w:p>
    <w:p>
      <w:pPr>
        <w:pStyle w:val="TextBody"/>
        <w:bidi w:val="0"/>
        <w:spacing w:before="0" w:after="283"/>
        <w:jc w:val="left"/>
        <w:rPr/>
      </w:pPr>
      <w:r>
        <w:rPr>
          <w:rStyle w:val="StrongEmphasis"/>
        </w:rPr>
        <w:t xml:space="preserve">Forward-Looking Statement </w:t>
      </w:r>
    </w:p>
    <w:p>
      <w:pPr>
        <w:pStyle w:val="TextBody"/>
        <w:bidi w:val="0"/>
        <w:spacing w:before="0" w:after="283"/>
        <w:jc w:val="left"/>
        <w:rPr/>
      </w:pPr>
      <w:r>
        <w:rPr/>
        <w:t xml:space="preserve">This press release contains forward-looking statements within the meaning of the U.S. Private Securities Litigation Reform Act of 1995. Any statements in this press release that are not historical facts may be considered “forward-looking statements,” including without limitation, statements with respect to the expected data releases and data presentations for the Company’s ASO program in HBV and for the pevifoscorvir sodium Phase I study, and timing of data readouts for the pevifoscorvir sodium B-SUPREME study; the expected data presentations for ALG-055009; potential success of the Company’s development programs; statements regarding potential financial milestones being met and future royalties being earned by Aligos under the Amoytop license, and regarding Amoytop’s success in developing pevifoscorvir sodium in Greater China; and the company’s expectation that its cash, cash equivalents and investments provide sufficient funding of planned operations into the fourth quarter of 2026. Forward-looking statements are typically, but not always, identified by the use of words such as “may,” “will,” “would,” “believe,” “intend,” “plan,” “anticipate,” “estimate,” “expect,” and other similar terminology indicating future results. Such forward looking statements are subject to substantial risks and uncertainties that could cause our development programs, future results, performance, or achievements to differ materially from those anticipated in the forward-looking statements. Such risks and uncertainties include, without limitation, risks and uncertainties inherent in the drug development process, including Aligos’ clinical-stage of development, the process of designing and conducting clinical trials, the regulatory approval processes, the timing of regulatory filings, the challenges associated with manufacturing drug products, Aligos’ ability to successfully establish, protect and defend its intellectual property, other matters that could affect the sufficiency of Aligos’ capital resources to fund operations, reliance on third parties for manufacturing and development efforts, changes in the competitive landscape and the impact of global events and other macroeconomic conditions on Aligos’ business. For a further description of the risks and uncertainties that could cause actual results to differ from those anticipated in these forward-looking statements, as well as risks relating to the business of Aligos in general, see Aligos’ Quarterly Report on Form 10-Q to be filed with the Securities and Exchange Commission on May 7, 2026 and Aligos’ Annual Report on Form 10-K filed with the Securities and Exchange Commission on March 5, 2026 and its future periodic reports to be filed or submitted with the Securities and Exchange Commission. Except as required by law, Aligos undertakes no obligation to update any forward-looking statements to reflect new information, events or circumstances, or to reflect the occurrence of unanticipated events. </w:t>
      </w:r>
    </w:p>
    <w:p>
      <w:pPr>
        <w:pStyle w:val="TextBody"/>
        <w:bidi w:val="0"/>
        <w:spacing w:before="0" w:after="283"/>
        <w:jc w:val="left"/>
        <w:rPr/>
      </w:pPr>
      <w:r>
        <w:rPr>
          <w:rStyle w:val="StrongEmphasis"/>
        </w:rPr>
        <w:t>Investor Contact</w:t>
      </w:r>
      <w:r>
        <w:rPr/>
        <w:br/>
        <w:t>Jordyn Tarazi</w:t>
        <w:br/>
        <w:t>Vice President, Investor Relations &amp; Corporate Communications</w:t>
        <w:br/>
        <w:t>+1 (650) 910-0427</w:t>
        <w:br/>
        <w:t>jtarazi@aligos.com</w:t>
      </w:r>
    </w:p>
    <w:tbl>
      <w:tblPr>
        <w:tblW w:w="8062" w:type="dxa"/>
        <w:jc w:val="left"/>
        <w:tblInd w:w="0" w:type="dxa"/>
        <w:tblLayout w:type="fixed"/>
        <w:tblCellMar>
          <w:top w:w="28" w:type="dxa"/>
          <w:left w:w="28" w:type="dxa"/>
          <w:bottom w:w="28" w:type="dxa"/>
          <w:right w:w="28" w:type="dxa"/>
        </w:tblCellMar>
      </w:tblPr>
      <w:tblGrid>
        <w:gridCol w:w="4951"/>
        <w:gridCol w:w="226"/>
        <w:gridCol w:w="1186"/>
        <w:gridCol w:w="181"/>
        <w:gridCol w:w="226"/>
        <w:gridCol w:w="1066"/>
        <w:gridCol w:w="226"/>
      </w:tblGrid>
      <w:tr>
        <w:trPr/>
        <w:tc>
          <w:tcPr>
            <w:tcW w:w="8062" w:type="dxa"/>
            <w:gridSpan w:val="7"/>
            <w:tcBorders/>
            <w:vAlign w:val="center"/>
          </w:tcPr>
          <w:p>
            <w:pPr>
              <w:pStyle w:val="TableContents"/>
              <w:bidi w:val="0"/>
              <w:spacing w:before="0" w:after="283"/>
              <w:jc w:val="left"/>
              <w:rPr/>
            </w:pPr>
            <w:r>
              <w:rPr/>
              <w:t> </w:t>
            </w:r>
          </w:p>
        </w:tc>
      </w:tr>
      <w:tr>
        <w:trPr/>
        <w:tc>
          <w:tcPr>
            <w:tcW w:w="8062" w:type="dxa"/>
            <w:gridSpan w:val="7"/>
            <w:tcBorders/>
            <w:vAlign w:val="center"/>
          </w:tcPr>
          <w:p>
            <w:pPr>
              <w:pStyle w:val="TableContents"/>
              <w:bidi w:val="0"/>
              <w:spacing w:before="0" w:after="283"/>
              <w:jc w:val="center"/>
              <w:rPr/>
            </w:pPr>
            <w:r>
              <w:rPr>
                <w:rStyle w:val="StrongEmphasis"/>
              </w:rPr>
              <w:t>Aligos Therapeutics, Inc</w:t>
            </w:r>
          </w:p>
        </w:tc>
      </w:tr>
      <w:tr>
        <w:trPr/>
        <w:tc>
          <w:tcPr>
            <w:tcW w:w="8062" w:type="dxa"/>
            <w:gridSpan w:val="7"/>
            <w:tcBorders/>
            <w:vAlign w:val="center"/>
          </w:tcPr>
          <w:p>
            <w:pPr>
              <w:pStyle w:val="TableContents"/>
              <w:bidi w:val="0"/>
              <w:spacing w:before="0" w:after="283"/>
              <w:jc w:val="center"/>
              <w:rPr/>
            </w:pPr>
            <w:r>
              <w:rPr>
                <w:rStyle w:val="StrongEmphasis"/>
              </w:rPr>
              <w:t>Condensed Consolidated Statements of Operations</w:t>
            </w:r>
          </w:p>
        </w:tc>
      </w:tr>
      <w:tr>
        <w:trPr/>
        <w:tc>
          <w:tcPr>
            <w:tcW w:w="8062" w:type="dxa"/>
            <w:gridSpan w:val="7"/>
            <w:tcBorders/>
            <w:vAlign w:val="center"/>
          </w:tcPr>
          <w:p>
            <w:pPr>
              <w:pStyle w:val="TableContents"/>
              <w:bidi w:val="0"/>
              <w:spacing w:before="0" w:after="283"/>
              <w:jc w:val="center"/>
              <w:rPr/>
            </w:pPr>
            <w:r>
              <w:rPr>
                <w:rStyle w:val="StrongEmphasis"/>
              </w:rPr>
              <w:t>(In thousands, except share and per share amounts)</w:t>
            </w:r>
          </w:p>
        </w:tc>
      </w:tr>
      <w:tr>
        <w:trPr/>
        <w:tc>
          <w:tcPr>
            <w:tcW w:w="4951"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center"/>
              <w:rPr/>
            </w:pPr>
            <w:r>
              <w:rPr>
                <w:rStyle w:val="StrongEmphasis"/>
              </w:rPr>
              <w:t> </w:t>
            </w:r>
          </w:p>
        </w:tc>
        <w:tc>
          <w:tcPr>
            <w:tcW w:w="2885" w:type="dxa"/>
            <w:gridSpan w:val="5"/>
            <w:tcBorders/>
            <w:vAlign w:val="center"/>
          </w:tcPr>
          <w:p>
            <w:pPr>
              <w:pStyle w:val="TableContents"/>
              <w:bidi w:val="0"/>
              <w:spacing w:before="0" w:after="283"/>
              <w:jc w:val="center"/>
              <w:rPr/>
            </w:pPr>
            <w:r>
              <w:rPr>
                <w:rStyle w:val="StrongEmphasis"/>
              </w:rPr>
              <w:t>Three Months Ended </w:t>
            </w:r>
          </w:p>
        </w:tc>
      </w:tr>
      <w:tr>
        <w:trPr/>
        <w:tc>
          <w:tcPr>
            <w:tcW w:w="4951"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center"/>
              <w:rPr/>
            </w:pPr>
            <w:r>
              <w:rPr>
                <w:rStyle w:val="StrongEmphasis"/>
              </w:rPr>
              <w:t> </w:t>
            </w:r>
          </w:p>
        </w:tc>
        <w:tc>
          <w:tcPr>
            <w:tcW w:w="1367"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March 31,</w:t>
            </w:r>
          </w:p>
        </w:tc>
        <w:tc>
          <w:tcPr>
            <w:tcW w:w="1518" w:type="dxa"/>
            <w:gridSpan w:val="3"/>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March 31,</w:t>
            </w:r>
          </w:p>
        </w:tc>
      </w:tr>
      <w:tr>
        <w:trPr/>
        <w:tc>
          <w:tcPr>
            <w:tcW w:w="4951"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 </w:t>
            </w:r>
          </w:p>
        </w:tc>
        <w:tc>
          <w:tcPr>
            <w:tcW w:w="1367"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2026</w:t>
            </w:r>
          </w:p>
        </w:tc>
        <w:tc>
          <w:tcPr>
            <w:tcW w:w="1518" w:type="dxa"/>
            <w:gridSpan w:val="3"/>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2025</w:t>
            </w:r>
          </w:p>
        </w:tc>
      </w:tr>
      <w:tr>
        <w:trPr/>
        <w:tc>
          <w:tcPr>
            <w:tcW w:w="4951"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22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367" w:type="dxa"/>
            <w:gridSpan w:val="2"/>
            <w:tcBorders/>
            <w:vAlign w:val="center"/>
          </w:tcPr>
          <w:p>
            <w:pPr>
              <w:pStyle w:val="TableContents"/>
              <w:bidi w:val="0"/>
              <w:spacing w:before="0" w:after="283"/>
              <w:jc w:val="left"/>
              <w:rPr/>
            </w:pPr>
            <w:r>
              <w:rPr/>
              <w:t>(Unaudited)</w:t>
            </w:r>
          </w:p>
        </w:tc>
        <w:tc>
          <w:tcPr>
            <w:tcW w:w="1518" w:type="dxa"/>
            <w:gridSpan w:val="3"/>
            <w:tcBorders/>
            <w:vAlign w:val="center"/>
          </w:tcPr>
          <w:p>
            <w:pPr>
              <w:pStyle w:val="TableContents"/>
              <w:bidi w:val="0"/>
              <w:spacing w:before="0" w:after="283"/>
              <w:jc w:val="left"/>
              <w:rPr/>
            </w:pPr>
            <w:r>
              <w:rPr/>
              <w:t>(Unaudited)</w:t>
            </w:r>
          </w:p>
        </w:tc>
      </w:tr>
      <w:tr>
        <w:trPr/>
        <w:tc>
          <w:tcPr>
            <w:tcW w:w="4951"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1367" w:type="dxa"/>
            <w:gridSpan w:val="2"/>
            <w:tcBorders/>
            <w:vAlign w:val="center"/>
          </w:tcPr>
          <w:p>
            <w:pPr>
              <w:pStyle w:val="TableContents"/>
              <w:bidi w:val="0"/>
              <w:spacing w:before="0" w:after="283"/>
              <w:jc w:val="left"/>
              <w:rPr/>
            </w:pPr>
            <w:r>
              <w:rPr/>
              <w:t> </w:t>
            </w:r>
          </w:p>
        </w:tc>
        <w:tc>
          <w:tcPr>
            <w:tcW w:w="1518" w:type="dxa"/>
            <w:gridSpan w:val="3"/>
            <w:tcBorders/>
            <w:vAlign w:val="center"/>
          </w:tcPr>
          <w:p>
            <w:pPr>
              <w:pStyle w:val="TableContents"/>
              <w:bidi w:val="0"/>
              <w:spacing w:before="0" w:after="283"/>
              <w:jc w:val="left"/>
              <w:rPr/>
            </w:pPr>
            <w:r>
              <w:rPr/>
              <w:t> </w:t>
            </w:r>
          </w:p>
        </w:tc>
      </w:tr>
      <w:tr>
        <w:trPr/>
        <w:tc>
          <w:tcPr>
            <w:tcW w:w="4951" w:type="dxa"/>
            <w:tcBorders/>
            <w:vAlign w:val="center"/>
          </w:tcPr>
          <w:p>
            <w:pPr>
              <w:pStyle w:val="TableContents"/>
              <w:bidi w:val="0"/>
              <w:spacing w:before="0" w:after="283"/>
              <w:jc w:val="left"/>
              <w:rPr/>
            </w:pPr>
            <w:r>
              <w:rPr/>
              <w:t>Revenue from customers</w:t>
            </w:r>
          </w:p>
        </w:tc>
        <w:tc>
          <w:tcPr>
            <w:tcW w:w="226" w:type="dxa"/>
            <w:tcBorders/>
            <w:vAlign w:val="center"/>
          </w:tcPr>
          <w:p>
            <w:pPr>
              <w:pStyle w:val="TableContents"/>
              <w:bidi w:val="0"/>
              <w:spacing w:before="0" w:after="283"/>
              <w:jc w:val="right"/>
              <w:rPr/>
            </w:pPr>
            <w:r>
              <w:rPr/>
              <w:t>$</w:t>
            </w:r>
          </w:p>
        </w:tc>
        <w:tc>
          <w:tcPr>
            <w:tcW w:w="1186" w:type="dxa"/>
            <w:tcBorders/>
            <w:vAlign w:val="center"/>
          </w:tcPr>
          <w:p>
            <w:pPr>
              <w:pStyle w:val="TableContents"/>
              <w:bidi w:val="0"/>
              <w:spacing w:before="0" w:after="283"/>
              <w:jc w:val="right"/>
              <w:rPr/>
            </w:pPr>
            <w:r>
              <w:rPr/>
              <w:t>2,830</w:t>
            </w:r>
          </w:p>
        </w:tc>
        <w:tc>
          <w:tcPr>
            <w:tcW w:w="181"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311</w:t>
            </w:r>
          </w:p>
        </w:tc>
        <w:tc>
          <w:tcPr>
            <w:tcW w:w="226" w:type="dxa"/>
            <w:tcBorders/>
            <w:vAlign w:val="center"/>
          </w:tcPr>
          <w:p>
            <w:pPr>
              <w:pStyle w:val="TableContents"/>
              <w:bidi w:val="0"/>
              <w:spacing w:before="0" w:after="283"/>
              <w:jc w:val="left"/>
              <w:rPr/>
            </w:pPr>
            <w:r>
              <w:rPr/>
              <w:t> </w:t>
            </w:r>
          </w:p>
        </w:tc>
      </w:tr>
      <w:tr>
        <w:trPr/>
        <w:tc>
          <w:tcPr>
            <w:tcW w:w="4951" w:type="dxa"/>
            <w:tcBorders/>
            <w:vAlign w:val="center"/>
          </w:tcPr>
          <w:p>
            <w:pPr>
              <w:pStyle w:val="TableContents"/>
              <w:bidi w:val="0"/>
              <w:spacing w:before="0" w:after="283"/>
              <w:jc w:val="left"/>
              <w:rPr/>
            </w:pPr>
            <w:r>
              <w:rPr/>
              <w:t>Operating expenses:</w:t>
            </w:r>
          </w:p>
        </w:tc>
        <w:tc>
          <w:tcPr>
            <w:tcW w:w="226" w:type="dxa"/>
            <w:tcBorders/>
            <w:vAlign w:val="center"/>
          </w:tcPr>
          <w:p>
            <w:pPr>
              <w:pStyle w:val="TableContents"/>
              <w:bidi w:val="0"/>
              <w:spacing w:before="0" w:after="283"/>
              <w:jc w:val="right"/>
              <w:rPr/>
            </w:pPr>
            <w:r>
              <w:rPr/>
              <w:t> </w:t>
            </w:r>
          </w:p>
        </w:tc>
        <w:tc>
          <w:tcPr>
            <w:tcW w:w="1367" w:type="dxa"/>
            <w:gridSpan w:val="2"/>
            <w:tcBorders/>
            <w:vAlign w:val="center"/>
          </w:tcPr>
          <w:p>
            <w:pPr>
              <w:pStyle w:val="TableContents"/>
              <w:bidi w:val="0"/>
              <w:spacing w:before="0" w:after="283"/>
              <w:jc w:val="right"/>
              <w:rPr/>
            </w:pPr>
            <w:r>
              <w:rPr/>
              <w:t> </w:t>
            </w:r>
          </w:p>
        </w:tc>
        <w:tc>
          <w:tcPr>
            <w:tcW w:w="1518" w:type="dxa"/>
            <w:gridSpan w:val="3"/>
            <w:tcBorders/>
            <w:vAlign w:val="center"/>
          </w:tcPr>
          <w:p>
            <w:pPr>
              <w:pStyle w:val="TableContents"/>
              <w:bidi w:val="0"/>
              <w:spacing w:before="0" w:after="283"/>
              <w:jc w:val="left"/>
              <w:rPr/>
            </w:pPr>
            <w:r>
              <w:rPr/>
              <w:t> </w:t>
            </w:r>
          </w:p>
        </w:tc>
      </w:tr>
      <w:tr>
        <w:trPr/>
        <w:tc>
          <w:tcPr>
            <w:tcW w:w="4951" w:type="dxa"/>
            <w:tcBorders/>
            <w:vAlign w:val="center"/>
          </w:tcPr>
          <w:p>
            <w:pPr>
              <w:pStyle w:val="TableContents"/>
              <w:bidi w:val="0"/>
              <w:spacing w:before="0" w:after="283"/>
              <w:jc w:val="left"/>
              <w:rPr/>
            </w:pPr>
            <w:r>
              <w:rPr/>
              <w:t xml:space="preserve">     </w:t>
            </w:r>
            <w:r>
              <w:rPr/>
              <w:t>Research and development</w:t>
            </w:r>
          </w:p>
        </w:tc>
        <w:tc>
          <w:tcPr>
            <w:tcW w:w="226" w:type="dxa"/>
            <w:tcBorders/>
            <w:vAlign w:val="center"/>
          </w:tcPr>
          <w:p>
            <w:pPr>
              <w:pStyle w:val="TableContents"/>
              <w:bidi w:val="0"/>
              <w:spacing w:before="0" w:after="283"/>
              <w:jc w:val="right"/>
              <w:rPr/>
            </w:pPr>
            <w:r>
              <w:rPr/>
              <w:t> </w:t>
            </w:r>
          </w:p>
        </w:tc>
        <w:tc>
          <w:tcPr>
            <w:tcW w:w="1186" w:type="dxa"/>
            <w:tcBorders/>
            <w:vAlign w:val="center"/>
          </w:tcPr>
          <w:p>
            <w:pPr>
              <w:pStyle w:val="TableContents"/>
              <w:bidi w:val="0"/>
              <w:spacing w:before="0" w:after="283"/>
              <w:jc w:val="right"/>
              <w:rPr/>
            </w:pPr>
            <w:r>
              <w:rPr/>
              <w:t>23,352</w:t>
            </w:r>
          </w:p>
        </w:tc>
        <w:tc>
          <w:tcPr>
            <w:tcW w:w="181"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066" w:type="dxa"/>
            <w:tcBorders/>
            <w:vAlign w:val="center"/>
          </w:tcPr>
          <w:p>
            <w:pPr>
              <w:pStyle w:val="TableContents"/>
              <w:bidi w:val="0"/>
              <w:spacing w:before="0" w:after="283"/>
              <w:jc w:val="right"/>
              <w:rPr/>
            </w:pPr>
            <w:r>
              <w:rPr/>
              <w:t>14,502</w:t>
            </w:r>
          </w:p>
        </w:tc>
        <w:tc>
          <w:tcPr>
            <w:tcW w:w="226" w:type="dxa"/>
            <w:tcBorders/>
            <w:vAlign w:val="center"/>
          </w:tcPr>
          <w:p>
            <w:pPr>
              <w:pStyle w:val="TableContents"/>
              <w:bidi w:val="0"/>
              <w:spacing w:before="0" w:after="283"/>
              <w:jc w:val="left"/>
              <w:rPr/>
            </w:pPr>
            <w:r>
              <w:rPr/>
              <w:t> </w:t>
            </w:r>
          </w:p>
        </w:tc>
      </w:tr>
      <w:tr>
        <w:trPr/>
        <w:tc>
          <w:tcPr>
            <w:tcW w:w="4951" w:type="dxa"/>
            <w:tcBorders/>
            <w:vAlign w:val="center"/>
          </w:tcPr>
          <w:p>
            <w:pPr>
              <w:pStyle w:val="TableContents"/>
              <w:bidi w:val="0"/>
              <w:spacing w:before="0" w:after="283"/>
              <w:jc w:val="left"/>
              <w:rPr/>
            </w:pPr>
            <w:r>
              <w:rPr/>
              <w:t xml:space="preserve">     </w:t>
            </w:r>
            <w:r>
              <w:rPr/>
              <w:t>General and administrative</w:t>
            </w:r>
          </w:p>
        </w:tc>
        <w:tc>
          <w:tcPr>
            <w:tcW w:w="226" w:type="dxa"/>
            <w:tcBorders/>
            <w:vAlign w:val="center"/>
          </w:tcPr>
          <w:p>
            <w:pPr>
              <w:pStyle w:val="TableContents"/>
              <w:bidi w:val="0"/>
              <w:spacing w:before="0" w:after="283"/>
              <w:jc w:val="right"/>
              <w:rPr/>
            </w:pPr>
            <w:r>
              <w:rPr/>
              <w:t> </w:t>
            </w:r>
          </w:p>
        </w:tc>
        <w:tc>
          <w:tcPr>
            <w:tcW w:w="118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6,407</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06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5,052</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951" w:type="dxa"/>
            <w:tcBorders/>
            <w:vAlign w:val="center"/>
          </w:tcPr>
          <w:p>
            <w:pPr>
              <w:pStyle w:val="TableContents"/>
              <w:bidi w:val="0"/>
              <w:spacing w:before="0" w:after="283"/>
              <w:jc w:val="left"/>
              <w:rPr/>
            </w:pPr>
            <w:r>
              <w:rPr/>
              <w:t xml:space="preserve">         </w:t>
            </w:r>
            <w:r>
              <w:rPr/>
              <w:t>Total operating expenses</w:t>
            </w:r>
          </w:p>
        </w:tc>
        <w:tc>
          <w:tcPr>
            <w:tcW w:w="226" w:type="dxa"/>
            <w:tcBorders/>
            <w:vAlign w:val="center"/>
          </w:tcPr>
          <w:p>
            <w:pPr>
              <w:pStyle w:val="TableContents"/>
              <w:bidi w:val="0"/>
              <w:spacing w:before="0" w:after="283"/>
              <w:jc w:val="right"/>
              <w:rPr/>
            </w:pPr>
            <w:r>
              <w:rPr/>
              <w:t> </w:t>
            </w:r>
          </w:p>
        </w:tc>
        <w:tc>
          <w:tcPr>
            <w:tcW w:w="118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29,759</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06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19,554</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951" w:type="dxa"/>
            <w:tcBorders/>
            <w:vAlign w:val="center"/>
          </w:tcPr>
          <w:p>
            <w:pPr>
              <w:pStyle w:val="TableContents"/>
              <w:bidi w:val="0"/>
              <w:spacing w:before="0" w:after="283"/>
              <w:jc w:val="left"/>
              <w:rPr/>
            </w:pPr>
            <w:r>
              <w:rPr/>
              <w:t xml:space="preserve">         </w:t>
            </w:r>
            <w:r>
              <w:rPr/>
              <w:t>Loss from operations</w:t>
            </w:r>
          </w:p>
        </w:tc>
        <w:tc>
          <w:tcPr>
            <w:tcW w:w="226" w:type="dxa"/>
            <w:tcBorders/>
            <w:vAlign w:val="center"/>
          </w:tcPr>
          <w:p>
            <w:pPr>
              <w:pStyle w:val="TableContents"/>
              <w:bidi w:val="0"/>
              <w:spacing w:before="0" w:after="283"/>
              <w:jc w:val="right"/>
              <w:rPr/>
            </w:pPr>
            <w:r>
              <w:rPr/>
              <w:t> </w:t>
            </w:r>
          </w:p>
        </w:tc>
        <w:tc>
          <w:tcPr>
            <w:tcW w:w="1186" w:type="dxa"/>
            <w:tcBorders/>
            <w:vAlign w:val="center"/>
          </w:tcPr>
          <w:p>
            <w:pPr>
              <w:pStyle w:val="TableContents"/>
              <w:bidi w:val="0"/>
              <w:spacing w:before="0" w:after="283"/>
              <w:jc w:val="right"/>
              <w:rPr/>
            </w:pPr>
            <w:r>
              <w:rPr/>
              <w:t>(26,929</w:t>
            </w:r>
          </w:p>
        </w:tc>
        <w:tc>
          <w:tcPr>
            <w:tcW w:w="181"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 </w:t>
            </w:r>
          </w:p>
        </w:tc>
        <w:tc>
          <w:tcPr>
            <w:tcW w:w="1066" w:type="dxa"/>
            <w:tcBorders/>
            <w:vAlign w:val="center"/>
          </w:tcPr>
          <w:p>
            <w:pPr>
              <w:pStyle w:val="TableContents"/>
              <w:bidi w:val="0"/>
              <w:spacing w:before="0" w:after="283"/>
              <w:jc w:val="right"/>
              <w:rPr/>
            </w:pPr>
            <w:r>
              <w:rPr/>
              <w:t>(19,243</w:t>
            </w:r>
          </w:p>
        </w:tc>
        <w:tc>
          <w:tcPr>
            <w:tcW w:w="226" w:type="dxa"/>
            <w:tcBorders/>
            <w:vAlign w:val="center"/>
          </w:tcPr>
          <w:p>
            <w:pPr>
              <w:pStyle w:val="TableContents"/>
              <w:bidi w:val="0"/>
              <w:spacing w:before="0" w:after="283"/>
              <w:jc w:val="left"/>
              <w:rPr/>
            </w:pPr>
            <w:r>
              <w:rPr/>
              <w:t>)</w:t>
            </w:r>
          </w:p>
        </w:tc>
      </w:tr>
      <w:tr>
        <w:trPr/>
        <w:tc>
          <w:tcPr>
            <w:tcW w:w="4951" w:type="dxa"/>
            <w:tcBorders/>
            <w:vAlign w:val="center"/>
          </w:tcPr>
          <w:p>
            <w:pPr>
              <w:pStyle w:val="TableContents"/>
              <w:bidi w:val="0"/>
              <w:spacing w:before="0" w:after="283"/>
              <w:jc w:val="left"/>
              <w:rPr/>
            </w:pPr>
            <w:r>
              <w:rPr/>
              <w:t>Interest and other income, net</w:t>
            </w:r>
          </w:p>
        </w:tc>
        <w:tc>
          <w:tcPr>
            <w:tcW w:w="226" w:type="dxa"/>
            <w:tcBorders/>
            <w:vAlign w:val="center"/>
          </w:tcPr>
          <w:p>
            <w:pPr>
              <w:pStyle w:val="TableContents"/>
              <w:bidi w:val="0"/>
              <w:spacing w:before="0" w:after="283"/>
              <w:jc w:val="right"/>
              <w:rPr/>
            </w:pPr>
            <w:r>
              <w:rPr/>
              <w:t> </w:t>
            </w:r>
          </w:p>
        </w:tc>
        <w:tc>
          <w:tcPr>
            <w:tcW w:w="1186" w:type="dxa"/>
            <w:tcBorders/>
            <w:vAlign w:val="center"/>
          </w:tcPr>
          <w:p>
            <w:pPr>
              <w:pStyle w:val="TableContents"/>
              <w:bidi w:val="0"/>
              <w:spacing w:before="0" w:after="283"/>
              <w:jc w:val="right"/>
              <w:rPr/>
            </w:pPr>
            <w:r>
              <w:rPr/>
              <w:t>811</w:t>
            </w:r>
          </w:p>
        </w:tc>
        <w:tc>
          <w:tcPr>
            <w:tcW w:w="181"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066" w:type="dxa"/>
            <w:tcBorders/>
            <w:vAlign w:val="center"/>
          </w:tcPr>
          <w:p>
            <w:pPr>
              <w:pStyle w:val="TableContents"/>
              <w:bidi w:val="0"/>
              <w:spacing w:before="0" w:after="283"/>
              <w:jc w:val="right"/>
              <w:rPr/>
            </w:pPr>
            <w:r>
              <w:rPr/>
              <w:t>880</w:t>
            </w:r>
          </w:p>
        </w:tc>
        <w:tc>
          <w:tcPr>
            <w:tcW w:w="226" w:type="dxa"/>
            <w:tcBorders/>
            <w:vAlign w:val="center"/>
          </w:tcPr>
          <w:p>
            <w:pPr>
              <w:pStyle w:val="TableContents"/>
              <w:bidi w:val="0"/>
              <w:spacing w:before="0" w:after="283"/>
              <w:jc w:val="left"/>
              <w:rPr/>
            </w:pPr>
            <w:r>
              <w:rPr/>
              <w:t> </w:t>
            </w:r>
          </w:p>
        </w:tc>
      </w:tr>
      <w:tr>
        <w:trPr/>
        <w:tc>
          <w:tcPr>
            <w:tcW w:w="4951" w:type="dxa"/>
            <w:tcBorders/>
            <w:vAlign w:val="center"/>
          </w:tcPr>
          <w:p>
            <w:pPr>
              <w:pStyle w:val="TableContents"/>
              <w:bidi w:val="0"/>
              <w:spacing w:before="0" w:after="283"/>
              <w:jc w:val="left"/>
              <w:rPr/>
            </w:pPr>
            <w:r>
              <w:rPr/>
              <w:t>Change in fair value of 2023 common warrants</w:t>
            </w:r>
          </w:p>
        </w:tc>
        <w:tc>
          <w:tcPr>
            <w:tcW w:w="226" w:type="dxa"/>
            <w:tcBorders/>
            <w:vAlign w:val="center"/>
          </w:tcPr>
          <w:p>
            <w:pPr>
              <w:pStyle w:val="TableContents"/>
              <w:bidi w:val="0"/>
              <w:spacing w:before="0" w:after="283"/>
              <w:jc w:val="right"/>
              <w:rPr/>
            </w:pPr>
            <w:r>
              <w:rPr/>
              <w:t> </w:t>
            </w:r>
          </w:p>
        </w:tc>
        <w:tc>
          <w:tcPr>
            <w:tcW w:w="118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3,395</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06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61,494</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951" w:type="dxa"/>
            <w:tcBorders/>
            <w:vAlign w:val="center"/>
          </w:tcPr>
          <w:p>
            <w:pPr>
              <w:pStyle w:val="TableContents"/>
              <w:bidi w:val="0"/>
              <w:spacing w:before="0" w:after="283"/>
              <w:jc w:val="left"/>
              <w:rPr/>
            </w:pPr>
            <w:r>
              <w:rPr/>
              <w:t xml:space="preserve">         </w:t>
            </w:r>
            <w:r>
              <w:rPr/>
              <w:t>(Loss) income before income tax</w:t>
            </w:r>
          </w:p>
        </w:tc>
        <w:tc>
          <w:tcPr>
            <w:tcW w:w="226" w:type="dxa"/>
            <w:tcBorders/>
            <w:vAlign w:val="center"/>
          </w:tcPr>
          <w:p>
            <w:pPr>
              <w:pStyle w:val="TableContents"/>
              <w:bidi w:val="0"/>
              <w:spacing w:before="0" w:after="283"/>
              <w:jc w:val="right"/>
              <w:rPr/>
            </w:pPr>
            <w:r>
              <w:rPr/>
              <w:t> </w:t>
            </w:r>
          </w:p>
        </w:tc>
        <w:tc>
          <w:tcPr>
            <w:tcW w:w="118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(22,723</w:t>
            </w:r>
          </w:p>
        </w:tc>
        <w:tc>
          <w:tcPr>
            <w:tcW w:w="181"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w:t>
            </w:r>
          </w:p>
        </w:tc>
        <w:tc>
          <w:tcPr>
            <w:tcW w:w="22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106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43,131</w:t>
            </w:r>
          </w:p>
        </w:tc>
        <w:tc>
          <w:tcPr>
            <w:tcW w:w="22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r>
      <w:tr>
        <w:trPr/>
        <w:tc>
          <w:tcPr>
            <w:tcW w:w="4951" w:type="dxa"/>
            <w:tcBorders/>
            <w:vAlign w:val="center"/>
          </w:tcPr>
          <w:p>
            <w:pPr>
              <w:pStyle w:val="TableContents"/>
              <w:bidi w:val="0"/>
              <w:spacing w:before="0" w:after="283"/>
              <w:jc w:val="left"/>
              <w:rPr/>
            </w:pPr>
            <w:r>
              <w:rPr/>
              <w:t>Income tax provision</w:t>
            </w:r>
          </w:p>
        </w:tc>
        <w:tc>
          <w:tcPr>
            <w:tcW w:w="226" w:type="dxa"/>
            <w:tcBorders/>
            <w:vAlign w:val="center"/>
          </w:tcPr>
          <w:p>
            <w:pPr>
              <w:pStyle w:val="TableContents"/>
              <w:bidi w:val="0"/>
              <w:spacing w:before="0" w:after="283"/>
              <w:jc w:val="right"/>
              <w:rPr/>
            </w:pPr>
            <w:r>
              <w:rPr/>
              <w:t> </w:t>
            </w:r>
          </w:p>
        </w:tc>
        <w:tc>
          <w:tcPr>
            <w:tcW w:w="118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(317</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06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(43</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r>
      <w:tr>
        <w:trPr/>
        <w:tc>
          <w:tcPr>
            <w:tcW w:w="4951" w:type="dxa"/>
            <w:tcBorders/>
            <w:vAlign w:val="center"/>
          </w:tcPr>
          <w:p>
            <w:pPr>
              <w:pStyle w:val="TableContents"/>
              <w:bidi w:val="0"/>
              <w:spacing w:before="0" w:after="283"/>
              <w:jc w:val="left"/>
              <w:rPr/>
            </w:pPr>
            <w:r>
              <w:rPr/>
              <w:t xml:space="preserve">         </w:t>
            </w:r>
            <w:r>
              <w:rPr/>
              <w:t>Net (loss) income</w:t>
            </w:r>
          </w:p>
        </w:tc>
        <w:tc>
          <w:tcPr>
            <w:tcW w:w="226" w:type="dxa"/>
            <w:tcBorders/>
            <w:vAlign w:val="center"/>
          </w:tcPr>
          <w:p>
            <w:pPr>
              <w:pStyle w:val="TableContents"/>
              <w:bidi w:val="0"/>
              <w:spacing w:before="0" w:after="283"/>
              <w:jc w:val="right"/>
              <w:rPr/>
            </w:pPr>
            <w:r>
              <w:rPr/>
              <w:t>$</w:t>
            </w:r>
          </w:p>
        </w:tc>
        <w:tc>
          <w:tcPr>
            <w:tcW w:w="118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(23,040</w:t>
            </w:r>
          </w:p>
        </w:tc>
        <w:tc>
          <w:tcPr>
            <w:tcW w:w="181"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w:t>
            </w:r>
          </w:p>
        </w:tc>
        <w:tc>
          <w:tcPr>
            <w:tcW w:w="106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43,088</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951" w:type="dxa"/>
            <w:tcBorders/>
            <w:vAlign w:val="center"/>
          </w:tcPr>
          <w:p>
            <w:pPr>
              <w:pStyle w:val="TableContents"/>
              <w:bidi w:val="0"/>
              <w:spacing w:before="0" w:after="283"/>
              <w:jc w:val="left"/>
              <w:rPr/>
            </w:pPr>
            <w:r>
              <w:rPr/>
              <w:t>Net (loss) income per share, basic</w:t>
            </w:r>
          </w:p>
        </w:tc>
        <w:tc>
          <w:tcPr>
            <w:tcW w:w="226" w:type="dxa"/>
            <w:tcBorders/>
            <w:vAlign w:val="center"/>
          </w:tcPr>
          <w:p>
            <w:pPr>
              <w:pStyle w:val="TableContents"/>
              <w:bidi w:val="0"/>
              <w:spacing w:before="0" w:after="283"/>
              <w:jc w:val="right"/>
              <w:rPr/>
            </w:pPr>
            <w:r>
              <w:rPr/>
              <w:t>$</w:t>
            </w:r>
          </w:p>
        </w:tc>
        <w:tc>
          <w:tcPr>
            <w:tcW w:w="1186" w:type="dxa"/>
            <w:tcBorders/>
            <w:vAlign w:val="center"/>
          </w:tcPr>
          <w:p>
            <w:pPr>
              <w:pStyle w:val="TableContents"/>
              <w:bidi w:val="0"/>
              <w:spacing w:before="0" w:after="283"/>
              <w:jc w:val="right"/>
              <w:rPr/>
            </w:pPr>
            <w:r>
              <w:rPr/>
              <w:t>(2.21</w:t>
            </w:r>
          </w:p>
        </w:tc>
        <w:tc>
          <w:tcPr>
            <w:tcW w:w="181"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5.12</w:t>
            </w:r>
          </w:p>
        </w:tc>
        <w:tc>
          <w:tcPr>
            <w:tcW w:w="226" w:type="dxa"/>
            <w:tcBorders/>
            <w:vAlign w:val="center"/>
          </w:tcPr>
          <w:p>
            <w:pPr>
              <w:pStyle w:val="TableContents"/>
              <w:bidi w:val="0"/>
              <w:spacing w:before="0" w:after="283"/>
              <w:jc w:val="left"/>
              <w:rPr/>
            </w:pPr>
            <w:r>
              <w:rPr/>
              <w:t> </w:t>
            </w:r>
          </w:p>
        </w:tc>
      </w:tr>
      <w:tr>
        <w:trPr/>
        <w:tc>
          <w:tcPr>
            <w:tcW w:w="4951" w:type="dxa"/>
            <w:tcBorders/>
            <w:vAlign w:val="center"/>
          </w:tcPr>
          <w:p>
            <w:pPr>
              <w:pStyle w:val="TableContents"/>
              <w:bidi w:val="0"/>
              <w:spacing w:before="0" w:after="283"/>
              <w:jc w:val="left"/>
              <w:rPr/>
            </w:pPr>
            <w:r>
              <w:rPr/>
              <w:t>Net loss per share, diluted</w:t>
            </w:r>
          </w:p>
        </w:tc>
        <w:tc>
          <w:tcPr>
            <w:tcW w:w="226" w:type="dxa"/>
            <w:tcBorders/>
            <w:vAlign w:val="center"/>
          </w:tcPr>
          <w:p>
            <w:pPr>
              <w:pStyle w:val="TableContents"/>
              <w:bidi w:val="0"/>
              <w:spacing w:before="0" w:after="283"/>
              <w:jc w:val="right"/>
              <w:rPr/>
            </w:pPr>
            <w:r>
              <w:rPr/>
              <w:t>$</w:t>
            </w:r>
          </w:p>
        </w:tc>
        <w:tc>
          <w:tcPr>
            <w:tcW w:w="1186" w:type="dxa"/>
            <w:tcBorders/>
            <w:vAlign w:val="center"/>
          </w:tcPr>
          <w:p>
            <w:pPr>
              <w:pStyle w:val="TableContents"/>
              <w:bidi w:val="0"/>
              <w:spacing w:before="0" w:after="283"/>
              <w:jc w:val="right"/>
              <w:rPr/>
            </w:pPr>
            <w:r>
              <w:rPr/>
              <w:t>(2.21</w:t>
            </w:r>
          </w:p>
        </w:tc>
        <w:tc>
          <w:tcPr>
            <w:tcW w:w="181"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 xml:space="preserve">    </w:t>
            </w:r>
            <w:r>
              <w:rPr/>
              <w:t>(2.11</w:t>
            </w:r>
          </w:p>
        </w:tc>
        <w:tc>
          <w:tcPr>
            <w:tcW w:w="226" w:type="dxa"/>
            <w:tcBorders/>
            <w:vAlign w:val="center"/>
          </w:tcPr>
          <w:p>
            <w:pPr>
              <w:pStyle w:val="TableContents"/>
              <w:bidi w:val="0"/>
              <w:spacing w:before="0" w:after="283"/>
              <w:jc w:val="left"/>
              <w:rPr/>
            </w:pPr>
            <w:r>
              <w:rPr/>
              <w:t>)</w:t>
            </w:r>
          </w:p>
        </w:tc>
      </w:tr>
      <w:tr>
        <w:trPr/>
        <w:tc>
          <w:tcPr>
            <w:tcW w:w="4951" w:type="dxa"/>
            <w:tcBorders/>
            <w:vAlign w:val="center"/>
          </w:tcPr>
          <w:p>
            <w:pPr>
              <w:pStyle w:val="TableContents"/>
              <w:bidi w:val="0"/>
              <w:spacing w:before="0" w:after="283"/>
              <w:jc w:val="left"/>
              <w:rPr/>
            </w:pPr>
            <w:r>
              <w:rPr/>
              <w:t>Weighted-average shares of common stock, basic</w:t>
            </w:r>
          </w:p>
        </w:tc>
        <w:tc>
          <w:tcPr>
            <w:tcW w:w="226" w:type="dxa"/>
            <w:tcBorders/>
            <w:vAlign w:val="center"/>
          </w:tcPr>
          <w:p>
            <w:pPr>
              <w:pStyle w:val="TableContents"/>
              <w:bidi w:val="0"/>
              <w:spacing w:before="0" w:after="283"/>
              <w:jc w:val="right"/>
              <w:rPr/>
            </w:pPr>
            <w:r>
              <w:rPr/>
              <w:t> </w:t>
            </w:r>
          </w:p>
        </w:tc>
        <w:tc>
          <w:tcPr>
            <w:tcW w:w="1186" w:type="dxa"/>
            <w:tcBorders/>
            <w:vAlign w:val="center"/>
          </w:tcPr>
          <w:p>
            <w:pPr>
              <w:pStyle w:val="TableContents"/>
              <w:bidi w:val="0"/>
              <w:spacing w:before="0" w:after="283"/>
              <w:jc w:val="right"/>
              <w:rPr/>
            </w:pPr>
            <w:r>
              <w:rPr/>
              <w:t>10,402,967</w:t>
            </w:r>
          </w:p>
        </w:tc>
        <w:tc>
          <w:tcPr>
            <w:tcW w:w="181"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066" w:type="dxa"/>
            <w:tcBorders/>
            <w:vAlign w:val="center"/>
          </w:tcPr>
          <w:p>
            <w:pPr>
              <w:pStyle w:val="TableContents"/>
              <w:bidi w:val="0"/>
              <w:spacing w:before="0" w:after="283"/>
              <w:jc w:val="right"/>
              <w:rPr/>
            </w:pPr>
            <w:r>
              <w:rPr/>
              <w:t>8,408,481</w:t>
            </w:r>
          </w:p>
        </w:tc>
        <w:tc>
          <w:tcPr>
            <w:tcW w:w="226" w:type="dxa"/>
            <w:tcBorders/>
            <w:vAlign w:val="center"/>
          </w:tcPr>
          <w:p>
            <w:pPr>
              <w:pStyle w:val="TableContents"/>
              <w:bidi w:val="0"/>
              <w:spacing w:before="0" w:after="283"/>
              <w:jc w:val="left"/>
              <w:rPr/>
            </w:pPr>
            <w:r>
              <w:rPr/>
              <w:t> </w:t>
            </w:r>
          </w:p>
        </w:tc>
      </w:tr>
      <w:tr>
        <w:trPr/>
        <w:tc>
          <w:tcPr>
            <w:tcW w:w="4951" w:type="dxa"/>
            <w:tcBorders/>
            <w:vAlign w:val="center"/>
          </w:tcPr>
          <w:p>
            <w:pPr>
              <w:pStyle w:val="TableContents"/>
              <w:bidi w:val="0"/>
              <w:spacing w:before="0" w:after="283"/>
              <w:jc w:val="left"/>
              <w:rPr/>
            </w:pPr>
            <w:r>
              <w:rPr/>
              <w:t>Weighted-average shares of common stock, diluted</w:t>
            </w:r>
          </w:p>
        </w:tc>
        <w:tc>
          <w:tcPr>
            <w:tcW w:w="226" w:type="dxa"/>
            <w:tcBorders/>
            <w:vAlign w:val="center"/>
          </w:tcPr>
          <w:p>
            <w:pPr>
              <w:pStyle w:val="TableContents"/>
              <w:bidi w:val="0"/>
              <w:spacing w:before="0" w:after="283"/>
              <w:jc w:val="right"/>
              <w:rPr/>
            </w:pPr>
            <w:r>
              <w:rPr/>
              <w:t> </w:t>
            </w:r>
          </w:p>
        </w:tc>
        <w:tc>
          <w:tcPr>
            <w:tcW w:w="1186" w:type="dxa"/>
            <w:tcBorders/>
            <w:vAlign w:val="center"/>
          </w:tcPr>
          <w:p>
            <w:pPr>
              <w:pStyle w:val="TableContents"/>
              <w:bidi w:val="0"/>
              <w:spacing w:before="0" w:after="283"/>
              <w:jc w:val="right"/>
              <w:rPr/>
            </w:pPr>
            <w:r>
              <w:rPr/>
              <w:t>10,402,967</w:t>
            </w:r>
          </w:p>
        </w:tc>
        <w:tc>
          <w:tcPr>
            <w:tcW w:w="181"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066" w:type="dxa"/>
            <w:tcBorders/>
            <w:vAlign w:val="center"/>
          </w:tcPr>
          <w:p>
            <w:pPr>
              <w:pStyle w:val="TableContents"/>
              <w:bidi w:val="0"/>
              <w:spacing w:before="0" w:after="283"/>
              <w:jc w:val="right"/>
              <w:rPr/>
            </w:pPr>
            <w:r>
              <w:rPr/>
              <w:t>8,709,693</w:t>
            </w:r>
          </w:p>
        </w:tc>
        <w:tc>
          <w:tcPr>
            <w:tcW w:w="226" w:type="dxa"/>
            <w:tcBorders/>
            <w:vAlign w:val="center"/>
          </w:tcPr>
          <w:p>
            <w:pPr>
              <w:pStyle w:val="TableContents"/>
              <w:bidi w:val="0"/>
              <w:spacing w:before="0" w:after="283"/>
              <w:jc w:val="left"/>
              <w:rPr/>
            </w:pPr>
            <w:r>
              <w:rPr/>
              <w:t> </w:t>
            </w:r>
          </w:p>
        </w:tc>
      </w:tr>
      <w:tr>
        <w:trPr/>
        <w:tc>
          <w:tcPr>
            <w:tcW w:w="4951"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1367" w:type="dxa"/>
            <w:gridSpan w:val="2"/>
            <w:tcBorders/>
            <w:vAlign w:val="center"/>
          </w:tcPr>
          <w:p>
            <w:pPr>
              <w:pStyle w:val="TableContents"/>
              <w:bidi w:val="0"/>
              <w:spacing w:before="0" w:after="283"/>
              <w:jc w:val="left"/>
              <w:rPr/>
            </w:pPr>
            <w:r>
              <w:rPr/>
              <w:t> </w:t>
            </w:r>
          </w:p>
        </w:tc>
        <w:tc>
          <w:tcPr>
            <w:tcW w:w="1518" w:type="dxa"/>
            <w:gridSpan w:val="3"/>
            <w:tcBorders/>
            <w:vAlign w:val="center"/>
          </w:tcPr>
          <w:p>
            <w:pPr>
              <w:pStyle w:val="TableContents"/>
              <w:bidi w:val="0"/>
              <w:spacing w:before="0" w:after="283"/>
              <w:jc w:val="left"/>
              <w:rPr/>
            </w:pPr>
            <w:r>
              <w:rPr/>
              <w:t> </w:t>
            </w:r>
          </w:p>
        </w:tc>
      </w:tr>
    </w:tbl>
    <w:p>
      <w:pPr>
        <w:pStyle w:val="TextBody"/>
        <w:bidi w:val="0"/>
        <w:spacing w:before="0" w:after="283"/>
        <w:jc w:val="left"/>
        <w:rPr/>
      </w:pPr>
      <w:r>
        <w:rPr/>
      </w:r>
    </w:p>
    <w:tbl>
      <w:tblPr>
        <w:tblW w:w="8266" w:type="dxa"/>
        <w:jc w:val="left"/>
        <w:tblInd w:w="0" w:type="dxa"/>
        <w:tblLayout w:type="fixed"/>
        <w:tblCellMar>
          <w:top w:w="28" w:type="dxa"/>
          <w:left w:w="28" w:type="dxa"/>
          <w:bottom w:w="28" w:type="dxa"/>
          <w:right w:w="28" w:type="dxa"/>
        </w:tblCellMar>
      </w:tblPr>
      <w:tblGrid>
        <w:gridCol w:w="3886"/>
        <w:gridCol w:w="226"/>
        <w:gridCol w:w="1696"/>
        <w:gridCol w:w="146"/>
        <w:gridCol w:w="226"/>
        <w:gridCol w:w="2086"/>
      </w:tblGrid>
      <w:tr>
        <w:trPr/>
        <w:tc>
          <w:tcPr>
            <w:tcW w:w="8266" w:type="dxa"/>
            <w:gridSpan w:val="6"/>
            <w:tcBorders/>
            <w:vAlign w:val="center"/>
          </w:tcPr>
          <w:p>
            <w:pPr>
              <w:pStyle w:val="TableContents"/>
              <w:bidi w:val="0"/>
              <w:spacing w:before="0" w:after="283"/>
              <w:jc w:val="center"/>
              <w:rPr/>
            </w:pPr>
            <w:r>
              <w:rPr>
                <w:rStyle w:val="StrongEmphasis"/>
              </w:rPr>
              <w:t>Aligos Therapeutics, Inc.  </w:t>
            </w:r>
            <w:r>
              <w:rPr/>
              <w:br/>
            </w:r>
            <w:r>
              <w:rPr>
                <w:rStyle w:val="StrongEmphasis"/>
              </w:rPr>
              <w:t>Condensed Consolidated Balance Sheets</w:t>
            </w:r>
            <w:r>
              <w:rPr/>
              <w:br/>
            </w:r>
            <w:r>
              <w:rPr>
                <w:rStyle w:val="StrongEmphasis"/>
              </w:rPr>
              <w:t xml:space="preserve">(In thousands) </w:t>
            </w:r>
          </w:p>
        </w:tc>
      </w:tr>
      <w:tr>
        <w:trPr/>
        <w:tc>
          <w:tcPr>
            <w:tcW w:w="388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center"/>
              <w:rPr/>
            </w:pPr>
            <w:r>
              <w:rPr/>
              <w:t> </w:t>
            </w:r>
          </w:p>
        </w:tc>
        <w:tc>
          <w:tcPr>
            <w:tcW w:w="1696"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March 31, 2026</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2086"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December 31, 2025</w:t>
            </w:r>
          </w:p>
        </w:tc>
      </w:tr>
      <w:tr>
        <w:trPr/>
        <w:tc>
          <w:tcPr>
            <w:tcW w:w="388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center"/>
              <w:rPr/>
            </w:pPr>
            <w:r>
              <w:rPr/>
              <w:t> </w:t>
            </w:r>
          </w:p>
        </w:tc>
        <w:tc>
          <w:tcPr>
            <w:tcW w:w="1696" w:type="dxa"/>
            <w:tcBorders/>
            <w:vAlign w:val="center"/>
          </w:tcPr>
          <w:p>
            <w:pPr>
              <w:pStyle w:val="TableContents"/>
              <w:bidi w:val="0"/>
              <w:spacing w:before="0" w:after="283"/>
              <w:jc w:val="center"/>
              <w:rPr/>
            </w:pPr>
            <w:r>
              <w:rPr/>
              <w:t>(Unaudited)</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2086" w:type="dxa"/>
            <w:tcBorders>
              <w:top w:val="single" w:sz="8" w:space="0" w:color="000000"/>
            </w:tcBorders>
            <w:tcMar>
              <w:left w:w="0" w:type="dxa"/>
              <w:bottom w:w="0" w:type="dxa"/>
              <w:right w:w="0" w:type="dxa"/>
            </w:tcMar>
            <w:vAlign w:val="center"/>
          </w:tcPr>
          <w:p>
            <w:pPr>
              <w:pStyle w:val="TableContents"/>
              <w:bidi w:val="0"/>
              <w:spacing w:before="0" w:after="283"/>
              <w:jc w:val="center"/>
              <w:rPr/>
            </w:pPr>
            <w:r>
              <w:rPr/>
              <w:t>(Audited)</w:t>
            </w:r>
            <w:r>
              <w:rPr>
                <w:position w:val="8"/>
                <w:sz w:val="19"/>
              </w:rPr>
              <w:t>(1)</w:t>
            </w:r>
          </w:p>
        </w:tc>
      </w:tr>
      <w:tr>
        <w:trPr/>
        <w:tc>
          <w:tcPr>
            <w:tcW w:w="3886" w:type="dxa"/>
            <w:tcBorders/>
            <w:vAlign w:val="center"/>
          </w:tcPr>
          <w:p>
            <w:pPr>
              <w:pStyle w:val="TableContents"/>
              <w:bidi w:val="0"/>
              <w:spacing w:before="0" w:after="283"/>
              <w:jc w:val="left"/>
              <w:rPr/>
            </w:pPr>
            <w:r>
              <w:rPr>
                <w:rStyle w:val="StrongEmphasis"/>
              </w:rPr>
              <w:t>Assets</w:t>
            </w:r>
          </w:p>
        </w:tc>
        <w:tc>
          <w:tcPr>
            <w:tcW w:w="226" w:type="dxa"/>
            <w:tcBorders/>
            <w:vAlign w:val="center"/>
          </w:tcPr>
          <w:p>
            <w:pPr>
              <w:pStyle w:val="TableContents"/>
              <w:bidi w:val="0"/>
              <w:spacing w:before="0" w:after="283"/>
              <w:jc w:val="center"/>
              <w:rPr/>
            </w:pPr>
            <w:r>
              <w:rPr/>
              <w:t> </w:t>
            </w:r>
          </w:p>
        </w:tc>
        <w:tc>
          <w:tcPr>
            <w:tcW w:w="169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2086" w:type="dxa"/>
            <w:tcBorders/>
            <w:vAlign w:val="center"/>
          </w:tcPr>
          <w:p>
            <w:pPr>
              <w:pStyle w:val="TableContents"/>
              <w:bidi w:val="0"/>
              <w:spacing w:before="0" w:after="283"/>
              <w:jc w:val="right"/>
              <w:rPr/>
            </w:pPr>
            <w:r>
              <w:rPr/>
              <w:t> </w:t>
            </w:r>
          </w:p>
        </w:tc>
      </w:tr>
      <w:tr>
        <w:trPr/>
        <w:tc>
          <w:tcPr>
            <w:tcW w:w="3886" w:type="dxa"/>
            <w:tcBorders/>
            <w:vAlign w:val="center"/>
          </w:tcPr>
          <w:p>
            <w:pPr>
              <w:pStyle w:val="TableContents"/>
              <w:bidi w:val="0"/>
              <w:spacing w:before="0" w:after="283"/>
              <w:jc w:val="left"/>
              <w:rPr/>
            </w:pPr>
            <w:r>
              <w:rPr/>
              <w:t>Current assets:</w:t>
            </w:r>
          </w:p>
        </w:tc>
        <w:tc>
          <w:tcPr>
            <w:tcW w:w="226" w:type="dxa"/>
            <w:tcBorders/>
            <w:vAlign w:val="center"/>
          </w:tcPr>
          <w:p>
            <w:pPr>
              <w:pStyle w:val="TableContents"/>
              <w:bidi w:val="0"/>
              <w:spacing w:before="0" w:after="283"/>
              <w:jc w:val="center"/>
              <w:rPr/>
            </w:pPr>
            <w:r>
              <w:rPr/>
              <w:t> </w:t>
            </w:r>
          </w:p>
        </w:tc>
        <w:tc>
          <w:tcPr>
            <w:tcW w:w="169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2086" w:type="dxa"/>
            <w:tcBorders/>
            <w:vAlign w:val="center"/>
          </w:tcPr>
          <w:p>
            <w:pPr>
              <w:pStyle w:val="TableContents"/>
              <w:bidi w:val="0"/>
              <w:spacing w:before="0" w:after="283"/>
              <w:jc w:val="right"/>
              <w:rPr/>
            </w:pPr>
            <w:r>
              <w:rPr/>
              <w:t> </w:t>
            </w:r>
          </w:p>
        </w:tc>
      </w:tr>
      <w:tr>
        <w:trPr/>
        <w:tc>
          <w:tcPr>
            <w:tcW w:w="3886" w:type="dxa"/>
            <w:tcBorders/>
            <w:vAlign w:val="center"/>
          </w:tcPr>
          <w:p>
            <w:pPr>
              <w:pStyle w:val="TableContents"/>
              <w:bidi w:val="0"/>
              <w:spacing w:before="0" w:after="283"/>
              <w:jc w:val="left"/>
              <w:rPr/>
            </w:pPr>
            <w:r>
              <w:rPr/>
              <w:t xml:space="preserve">     </w:t>
            </w:r>
            <w:r>
              <w:rPr/>
              <w:t>Cash and cash equivalents</w:t>
            </w:r>
          </w:p>
        </w:tc>
        <w:tc>
          <w:tcPr>
            <w:tcW w:w="226" w:type="dxa"/>
            <w:tcBorders/>
            <w:vAlign w:val="center"/>
          </w:tcPr>
          <w:p>
            <w:pPr>
              <w:pStyle w:val="TableContents"/>
              <w:bidi w:val="0"/>
              <w:spacing w:before="0" w:after="283"/>
              <w:jc w:val="left"/>
              <w:rPr/>
            </w:pPr>
            <w:r>
              <w:rPr/>
              <w:t>$</w:t>
            </w:r>
          </w:p>
        </w:tc>
        <w:tc>
          <w:tcPr>
            <w:tcW w:w="1696" w:type="dxa"/>
            <w:tcBorders/>
            <w:vAlign w:val="center"/>
          </w:tcPr>
          <w:p>
            <w:pPr>
              <w:pStyle w:val="TableContents"/>
              <w:bidi w:val="0"/>
              <w:spacing w:before="0" w:after="283"/>
              <w:jc w:val="right"/>
              <w:rPr/>
            </w:pPr>
            <w:r>
              <w:rPr/>
              <w:t>29,980</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w:t>
            </w:r>
          </w:p>
        </w:tc>
        <w:tc>
          <w:tcPr>
            <w:tcW w:w="2086" w:type="dxa"/>
            <w:tcBorders/>
            <w:vAlign w:val="center"/>
          </w:tcPr>
          <w:p>
            <w:pPr>
              <w:pStyle w:val="TableContents"/>
              <w:bidi w:val="0"/>
              <w:spacing w:before="0" w:after="283"/>
              <w:jc w:val="right"/>
              <w:rPr/>
            </w:pPr>
            <w:r>
              <w:rPr/>
              <w:t>18,303</w:t>
            </w:r>
          </w:p>
        </w:tc>
      </w:tr>
      <w:tr>
        <w:trPr/>
        <w:tc>
          <w:tcPr>
            <w:tcW w:w="3886" w:type="dxa"/>
            <w:tcBorders/>
            <w:vAlign w:val="center"/>
          </w:tcPr>
          <w:p>
            <w:pPr>
              <w:pStyle w:val="TableContents"/>
              <w:bidi w:val="0"/>
              <w:spacing w:before="0" w:after="283"/>
              <w:jc w:val="left"/>
              <w:rPr/>
            </w:pPr>
            <w:r>
              <w:rPr/>
              <w:t xml:space="preserve">     </w:t>
            </w:r>
            <w:r>
              <w:rPr/>
              <w:t>Short-term investments</w:t>
            </w:r>
          </w:p>
        </w:tc>
        <w:tc>
          <w:tcPr>
            <w:tcW w:w="226" w:type="dxa"/>
            <w:tcBorders/>
            <w:vAlign w:val="center"/>
          </w:tcPr>
          <w:p>
            <w:pPr>
              <w:pStyle w:val="TableContents"/>
              <w:bidi w:val="0"/>
              <w:spacing w:before="0" w:after="283"/>
              <w:jc w:val="left"/>
              <w:rPr/>
            </w:pPr>
            <w:r>
              <w:rPr/>
              <w:t> </w:t>
            </w:r>
          </w:p>
        </w:tc>
        <w:tc>
          <w:tcPr>
            <w:tcW w:w="1696" w:type="dxa"/>
            <w:tcBorders/>
            <w:vAlign w:val="center"/>
          </w:tcPr>
          <w:p>
            <w:pPr>
              <w:pStyle w:val="TableContents"/>
              <w:bidi w:val="0"/>
              <w:spacing w:before="0" w:after="283"/>
              <w:jc w:val="right"/>
              <w:rPr/>
            </w:pPr>
            <w:r>
              <w:rPr/>
              <w:t>24,929</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2086" w:type="dxa"/>
            <w:tcBorders/>
            <w:vAlign w:val="center"/>
          </w:tcPr>
          <w:p>
            <w:pPr>
              <w:pStyle w:val="TableContents"/>
              <w:bidi w:val="0"/>
              <w:spacing w:before="0" w:after="283"/>
              <w:jc w:val="right"/>
              <w:rPr/>
            </w:pPr>
            <w:r>
              <w:rPr/>
              <w:t>59,541</w:t>
            </w:r>
          </w:p>
        </w:tc>
      </w:tr>
      <w:tr>
        <w:trPr/>
        <w:tc>
          <w:tcPr>
            <w:tcW w:w="3886" w:type="dxa"/>
            <w:tcBorders/>
            <w:vAlign w:val="center"/>
          </w:tcPr>
          <w:p>
            <w:pPr>
              <w:pStyle w:val="TableContents"/>
              <w:bidi w:val="0"/>
              <w:spacing w:before="0" w:after="283"/>
              <w:jc w:val="left"/>
              <w:rPr/>
            </w:pPr>
            <w:r>
              <w:rPr/>
              <w:t xml:space="preserve">     </w:t>
            </w:r>
            <w:r>
              <w:rPr/>
              <w:t>Other current assets</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69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4,720</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208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5,018</w:t>
            </w:r>
          </w:p>
        </w:tc>
      </w:tr>
      <w:tr>
        <w:trPr/>
        <w:tc>
          <w:tcPr>
            <w:tcW w:w="3886" w:type="dxa"/>
            <w:tcBorders/>
            <w:vAlign w:val="center"/>
          </w:tcPr>
          <w:p>
            <w:pPr>
              <w:pStyle w:val="TableContents"/>
              <w:bidi w:val="0"/>
              <w:spacing w:before="0" w:after="283"/>
              <w:jc w:val="left"/>
              <w:rPr/>
            </w:pPr>
            <w:r>
              <w:rPr/>
              <w:t>Total current assets</w:t>
            </w:r>
          </w:p>
        </w:tc>
        <w:tc>
          <w:tcPr>
            <w:tcW w:w="226" w:type="dxa"/>
            <w:tcBorders/>
            <w:vAlign w:val="center"/>
          </w:tcPr>
          <w:p>
            <w:pPr>
              <w:pStyle w:val="TableContents"/>
              <w:bidi w:val="0"/>
              <w:spacing w:before="0" w:after="283"/>
              <w:jc w:val="left"/>
              <w:rPr/>
            </w:pPr>
            <w:r>
              <w:rPr/>
              <w:t> </w:t>
            </w:r>
          </w:p>
        </w:tc>
        <w:tc>
          <w:tcPr>
            <w:tcW w:w="1696" w:type="dxa"/>
            <w:tcBorders/>
            <w:vAlign w:val="center"/>
          </w:tcPr>
          <w:p>
            <w:pPr>
              <w:pStyle w:val="TableContents"/>
              <w:bidi w:val="0"/>
              <w:spacing w:before="0" w:after="283"/>
              <w:jc w:val="right"/>
              <w:rPr/>
            </w:pPr>
            <w:r>
              <w:rPr/>
              <w:t>59,629</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2086" w:type="dxa"/>
            <w:tcBorders/>
            <w:vAlign w:val="center"/>
          </w:tcPr>
          <w:p>
            <w:pPr>
              <w:pStyle w:val="TableContents"/>
              <w:bidi w:val="0"/>
              <w:spacing w:before="0" w:after="283"/>
              <w:jc w:val="right"/>
              <w:rPr/>
            </w:pPr>
            <w:r>
              <w:rPr/>
              <w:t>82,862</w:t>
            </w:r>
          </w:p>
        </w:tc>
      </w:tr>
      <w:tr>
        <w:trPr/>
        <w:tc>
          <w:tcPr>
            <w:tcW w:w="3886" w:type="dxa"/>
            <w:tcBorders/>
            <w:vAlign w:val="center"/>
          </w:tcPr>
          <w:p>
            <w:pPr>
              <w:pStyle w:val="TableContents"/>
              <w:bidi w:val="0"/>
              <w:spacing w:before="0" w:after="283"/>
              <w:jc w:val="left"/>
              <w:rPr/>
            </w:pPr>
            <w:r>
              <w:rPr/>
              <w:t xml:space="preserve">     </w:t>
            </w:r>
            <w:r>
              <w:rPr/>
              <w:t>Other assets</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69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4,929</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208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5,671</w:t>
            </w:r>
          </w:p>
        </w:tc>
      </w:tr>
      <w:tr>
        <w:trPr/>
        <w:tc>
          <w:tcPr>
            <w:tcW w:w="3886" w:type="dxa"/>
            <w:tcBorders/>
            <w:vAlign w:val="center"/>
          </w:tcPr>
          <w:p>
            <w:pPr>
              <w:pStyle w:val="TableContents"/>
              <w:bidi w:val="0"/>
              <w:spacing w:before="0" w:after="283"/>
              <w:jc w:val="left"/>
              <w:rPr/>
            </w:pPr>
            <w:r>
              <w:rPr/>
              <w:t>Total assets</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w:t>
            </w:r>
          </w:p>
        </w:tc>
        <w:tc>
          <w:tcPr>
            <w:tcW w:w="169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64,558</w:t>
            </w:r>
          </w:p>
        </w:tc>
        <w:tc>
          <w:tcPr>
            <w:tcW w:w="146" w:type="dxa"/>
            <w:tcBorders/>
            <w:vAlign w:val="center"/>
          </w:tcPr>
          <w:p>
            <w:pPr>
              <w:pStyle w:val="TableContents"/>
              <w:bidi w:val="0"/>
              <w:spacing w:before="0" w:after="283"/>
              <w:jc w:val="left"/>
              <w:rPr/>
            </w:pPr>
            <w:r>
              <w:rPr/>
              <w:t> </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w:t>
            </w:r>
          </w:p>
        </w:tc>
        <w:tc>
          <w:tcPr>
            <w:tcW w:w="208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88,533</w:t>
            </w:r>
          </w:p>
        </w:tc>
      </w:tr>
      <w:tr>
        <w:trPr/>
        <w:tc>
          <w:tcPr>
            <w:tcW w:w="388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169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2086" w:type="dxa"/>
            <w:tcBorders/>
            <w:vAlign w:val="center"/>
          </w:tcPr>
          <w:p>
            <w:pPr>
              <w:pStyle w:val="TableContents"/>
              <w:bidi w:val="0"/>
              <w:spacing w:before="0" w:after="283"/>
              <w:jc w:val="right"/>
              <w:rPr/>
            </w:pPr>
            <w:r>
              <w:rPr/>
              <w:t> </w:t>
            </w:r>
          </w:p>
        </w:tc>
      </w:tr>
      <w:tr>
        <w:trPr/>
        <w:tc>
          <w:tcPr>
            <w:tcW w:w="3886" w:type="dxa"/>
            <w:tcBorders/>
            <w:vAlign w:val="center"/>
          </w:tcPr>
          <w:p>
            <w:pPr>
              <w:pStyle w:val="TableContents"/>
              <w:bidi w:val="0"/>
              <w:spacing w:before="0" w:after="283"/>
              <w:jc w:val="left"/>
              <w:rPr/>
            </w:pPr>
            <w:r>
              <w:rPr>
                <w:rStyle w:val="StrongEmphasis"/>
              </w:rPr>
              <w:t>Liabilities and Stockholders’ Equity</w:t>
            </w:r>
          </w:p>
        </w:tc>
        <w:tc>
          <w:tcPr>
            <w:tcW w:w="226" w:type="dxa"/>
            <w:tcBorders/>
            <w:vAlign w:val="center"/>
          </w:tcPr>
          <w:p>
            <w:pPr>
              <w:pStyle w:val="TableContents"/>
              <w:bidi w:val="0"/>
              <w:spacing w:before="0" w:after="283"/>
              <w:jc w:val="left"/>
              <w:rPr/>
            </w:pPr>
            <w:r>
              <w:rPr/>
              <w:t> </w:t>
            </w:r>
          </w:p>
        </w:tc>
        <w:tc>
          <w:tcPr>
            <w:tcW w:w="169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2086" w:type="dxa"/>
            <w:tcBorders/>
            <w:vAlign w:val="center"/>
          </w:tcPr>
          <w:p>
            <w:pPr>
              <w:pStyle w:val="TableContents"/>
              <w:bidi w:val="0"/>
              <w:spacing w:before="0" w:after="283"/>
              <w:jc w:val="left"/>
              <w:rPr/>
            </w:pPr>
            <w:r>
              <w:rPr/>
              <w:t> </w:t>
            </w:r>
          </w:p>
        </w:tc>
      </w:tr>
      <w:tr>
        <w:trPr/>
        <w:tc>
          <w:tcPr>
            <w:tcW w:w="3886" w:type="dxa"/>
            <w:tcBorders/>
            <w:vAlign w:val="center"/>
          </w:tcPr>
          <w:p>
            <w:pPr>
              <w:pStyle w:val="TableContents"/>
              <w:bidi w:val="0"/>
              <w:spacing w:before="0" w:after="283"/>
              <w:jc w:val="left"/>
              <w:rPr/>
            </w:pPr>
            <w:r>
              <w:rPr/>
              <w:t xml:space="preserve">     </w:t>
            </w:r>
            <w:r>
              <w:rPr/>
              <w:t>Current liabilities</w:t>
            </w:r>
          </w:p>
        </w:tc>
        <w:tc>
          <w:tcPr>
            <w:tcW w:w="226" w:type="dxa"/>
            <w:tcBorders/>
            <w:vAlign w:val="center"/>
          </w:tcPr>
          <w:p>
            <w:pPr>
              <w:pStyle w:val="TableContents"/>
              <w:bidi w:val="0"/>
              <w:spacing w:before="0" w:after="283"/>
              <w:jc w:val="left"/>
              <w:rPr/>
            </w:pPr>
            <w:r>
              <w:rPr/>
              <w:t>$</w:t>
            </w:r>
          </w:p>
        </w:tc>
        <w:tc>
          <w:tcPr>
            <w:tcW w:w="1696" w:type="dxa"/>
            <w:tcBorders/>
            <w:vAlign w:val="center"/>
          </w:tcPr>
          <w:p>
            <w:pPr>
              <w:pStyle w:val="TableContents"/>
              <w:bidi w:val="0"/>
              <w:spacing w:before="0" w:after="283"/>
              <w:jc w:val="right"/>
              <w:rPr/>
            </w:pPr>
            <w:r>
              <w:rPr/>
              <w:t>23,322</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w:t>
            </w:r>
          </w:p>
        </w:tc>
        <w:tc>
          <w:tcPr>
            <w:tcW w:w="2086" w:type="dxa"/>
            <w:tcBorders/>
            <w:vAlign w:val="center"/>
          </w:tcPr>
          <w:p>
            <w:pPr>
              <w:pStyle w:val="TableContents"/>
              <w:bidi w:val="0"/>
              <w:spacing w:before="0" w:after="283"/>
              <w:jc w:val="right"/>
              <w:rPr/>
            </w:pPr>
            <w:r>
              <w:rPr/>
              <w:t>21,233</w:t>
            </w:r>
          </w:p>
        </w:tc>
      </w:tr>
      <w:tr>
        <w:trPr/>
        <w:tc>
          <w:tcPr>
            <w:tcW w:w="3886" w:type="dxa"/>
            <w:tcBorders/>
            <w:vAlign w:val="center"/>
          </w:tcPr>
          <w:p>
            <w:pPr>
              <w:pStyle w:val="TableContents"/>
              <w:bidi w:val="0"/>
              <w:spacing w:before="0" w:after="283"/>
              <w:jc w:val="left"/>
              <w:rPr/>
            </w:pPr>
            <w:r>
              <w:rPr/>
              <w:t xml:space="preserve">     </w:t>
            </w:r>
            <w:r>
              <w:rPr/>
              <w:t>Other liabilities, noncurrent</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69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9,447</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208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13,755</w:t>
            </w:r>
          </w:p>
        </w:tc>
      </w:tr>
      <w:tr>
        <w:trPr/>
        <w:tc>
          <w:tcPr>
            <w:tcW w:w="3886" w:type="dxa"/>
            <w:tcBorders/>
            <w:vAlign w:val="center"/>
          </w:tcPr>
          <w:p>
            <w:pPr>
              <w:pStyle w:val="TableContents"/>
              <w:bidi w:val="0"/>
              <w:spacing w:before="0" w:after="283"/>
              <w:jc w:val="left"/>
              <w:rPr/>
            </w:pPr>
            <w:r>
              <w:rPr/>
              <w:t>Total liabilities</w:t>
            </w:r>
          </w:p>
        </w:tc>
        <w:tc>
          <w:tcPr>
            <w:tcW w:w="226" w:type="dxa"/>
            <w:tcBorders/>
            <w:vAlign w:val="center"/>
          </w:tcPr>
          <w:p>
            <w:pPr>
              <w:pStyle w:val="TableContents"/>
              <w:bidi w:val="0"/>
              <w:spacing w:before="0" w:after="283"/>
              <w:jc w:val="left"/>
              <w:rPr/>
            </w:pPr>
            <w:r>
              <w:rPr/>
              <w:t> </w:t>
            </w:r>
          </w:p>
        </w:tc>
        <w:tc>
          <w:tcPr>
            <w:tcW w:w="1696" w:type="dxa"/>
            <w:tcBorders/>
            <w:vAlign w:val="center"/>
          </w:tcPr>
          <w:p>
            <w:pPr>
              <w:pStyle w:val="TableContents"/>
              <w:bidi w:val="0"/>
              <w:spacing w:before="0" w:after="283"/>
              <w:jc w:val="right"/>
              <w:rPr/>
            </w:pPr>
            <w:r>
              <w:rPr/>
              <w:t>32,769</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2086" w:type="dxa"/>
            <w:tcBorders/>
            <w:vAlign w:val="center"/>
          </w:tcPr>
          <w:p>
            <w:pPr>
              <w:pStyle w:val="TableContents"/>
              <w:bidi w:val="0"/>
              <w:spacing w:before="0" w:after="283"/>
              <w:jc w:val="right"/>
              <w:rPr/>
            </w:pPr>
            <w:r>
              <w:rPr/>
              <w:t>34,988</w:t>
            </w:r>
          </w:p>
        </w:tc>
      </w:tr>
      <w:tr>
        <w:trPr/>
        <w:tc>
          <w:tcPr>
            <w:tcW w:w="3886" w:type="dxa"/>
            <w:tcBorders/>
            <w:vAlign w:val="center"/>
          </w:tcPr>
          <w:p>
            <w:pPr>
              <w:pStyle w:val="TableContents"/>
              <w:bidi w:val="0"/>
              <w:spacing w:before="0" w:after="283"/>
              <w:jc w:val="left"/>
              <w:rPr/>
            </w:pPr>
            <w:r>
              <w:rPr/>
              <w:t>Total stockholders’ equity</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69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31,789</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208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53,545</w:t>
            </w:r>
          </w:p>
        </w:tc>
      </w:tr>
      <w:tr>
        <w:trPr/>
        <w:tc>
          <w:tcPr>
            <w:tcW w:w="3886" w:type="dxa"/>
            <w:tcBorders/>
            <w:vAlign w:val="center"/>
          </w:tcPr>
          <w:p>
            <w:pPr>
              <w:pStyle w:val="TableContents"/>
              <w:bidi w:val="0"/>
              <w:spacing w:before="0" w:after="283"/>
              <w:jc w:val="left"/>
              <w:rPr/>
            </w:pPr>
            <w:r>
              <w:rPr/>
              <w:t>Total liabilities and stockholders’ equity</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w:t>
            </w:r>
          </w:p>
        </w:tc>
        <w:tc>
          <w:tcPr>
            <w:tcW w:w="169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64,558 </w:t>
            </w:r>
          </w:p>
        </w:tc>
        <w:tc>
          <w:tcPr>
            <w:tcW w:w="146" w:type="dxa"/>
            <w:tcBorders/>
            <w:vAlign w:val="center"/>
          </w:tcPr>
          <w:p>
            <w:pPr>
              <w:pStyle w:val="TableContents"/>
              <w:bidi w:val="0"/>
              <w:spacing w:before="0" w:after="283"/>
              <w:jc w:val="left"/>
              <w:rPr/>
            </w:pPr>
            <w:r>
              <w:rPr/>
              <w:t> </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w:t>
            </w:r>
          </w:p>
        </w:tc>
        <w:tc>
          <w:tcPr>
            <w:tcW w:w="208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88,533</w:t>
            </w:r>
          </w:p>
        </w:tc>
      </w:tr>
    </w:tbl>
    <w:p>
      <w:pPr>
        <w:pStyle w:val="TextBody"/>
        <w:bidi w:val="0"/>
        <w:spacing w:before="0" w:after="283"/>
        <w:jc w:val="left"/>
        <w:rPr/>
      </w:pPr>
      <w:r>
        <w:rPr/>
        <w:t>_____________________________________________</w:t>
      </w:r>
    </w:p>
    <w:p>
      <w:pPr>
        <w:pStyle w:val="TextBody"/>
        <w:bidi w:val="0"/>
        <w:spacing w:before="0" w:after="283"/>
        <w:jc w:val="left"/>
        <w:rPr>
          <w:position w:val="-2"/>
          <w:sz w:val="19"/>
        </w:rPr>
      </w:pPr>
      <w:r>
        <w:rPr>
          <w:position w:val="8"/>
          <w:sz w:val="19"/>
        </w:rPr>
        <w:t>(1)</w:t>
      </w:r>
      <w:r>
        <w:rPr>
          <w:position w:val="-2"/>
          <w:sz w:val="19"/>
        </w:rPr>
        <w:t>  The condensed consolidated balance sheet as of December 31, 2025 has been derived from the audited consolidated financial statements at that date included in the Company’s Annual Report on Form 10-K for the year ended December 31, 2025.</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OpenSymbol">
    <w:altName w:val="Arial Unicode MS"/>
    <w:charset w:val="02"/>
    <w:family w:val="auto"/>
    <w:pitch w:val="default"/>
  </w:font>
  <w:font w:name="Liberation Sans">
    <w:altName w:val="Arial"/>
    <w:charset w:val="01"/>
    <w:family w:val="swiss"/>
    <w:pitch w:val="variable"/>
  </w:font>
  <w:font w:name="Wingdings">
    <w:charset w:val="02"/>
    <w:family w:val="auto"/>
    <w:pitch w:val="default"/>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1"/>
      <w:lvlJc w:val="left"/>
      <w:pPr>
        <w:tabs>
          <w:tab w:val="num" w:pos="0"/>
        </w:tabs>
        <w:ind w:left="0" w:hanging="0"/>
      </w:pPr>
    </w:lvl>
    <w:lvl w:ilvl="1">
      <w:start w:val="1"/>
      <w:numFmt w:val="none"/>
      <w:suff w:val="nothing"/>
      <w:lvlText w:val="%2"/>
      <w:lvlJc w:val="left"/>
      <w:pPr>
        <w:tabs>
          <w:tab w:val="num" w:pos="0"/>
        </w:tabs>
        <w:ind w:left="0" w:hanging="0"/>
      </w:pPr>
    </w:lvl>
    <w:lvl w:ilvl="2">
      <w:start w:val="1"/>
      <w:numFmt w:val="none"/>
      <w:suff w:val="nothing"/>
      <w:lvlText w:val="%3"/>
      <w:lvlJc w:val="left"/>
      <w:pPr>
        <w:tabs>
          <w:tab w:val="num" w:pos="0"/>
        </w:tabs>
        <w:ind w:left="0" w:hanging="0"/>
      </w:pPr>
    </w:lvl>
    <w:lvl w:ilvl="3">
      <w:start w:val="1"/>
      <w:numFmt w:val="none"/>
      <w:suff w:val="nothing"/>
      <w:lvlText w:val="%4"/>
      <w:lvlJc w:val="left"/>
      <w:pPr>
        <w:tabs>
          <w:tab w:val="num" w:pos="0"/>
        </w:tabs>
        <w:ind w:left="0" w:hanging="0"/>
      </w:pPr>
    </w:lvl>
    <w:lvl w:ilvl="4">
      <w:start w:val="1"/>
      <w:numFmt w:val="none"/>
      <w:suff w:val="nothing"/>
      <w:lvlText w:val="%5"/>
      <w:lvlJc w:val="left"/>
      <w:pPr>
        <w:tabs>
          <w:tab w:val="num" w:pos="0"/>
        </w:tabs>
        <w:ind w:left="0" w:hanging="0"/>
      </w:pPr>
    </w:lvl>
    <w:lvl w:ilvl="5">
      <w:start w:val="1"/>
      <w:numFmt w:val="none"/>
      <w:suff w:val="nothing"/>
      <w:lvlText w:val="%6"/>
      <w:lvlJc w:val="left"/>
      <w:pPr>
        <w:tabs>
          <w:tab w:val="num" w:pos="0"/>
        </w:tabs>
        <w:ind w:left="0" w:hanging="0"/>
      </w:pPr>
    </w:lvl>
    <w:lvl w:ilvl="6">
      <w:start w:val="1"/>
      <w:numFmt w:val="none"/>
      <w:suff w:val="nothing"/>
      <w:lvlText w:val="%7"/>
      <w:lvlJc w:val="left"/>
      <w:pPr>
        <w:tabs>
          <w:tab w:val="num" w:pos="0"/>
        </w:tabs>
        <w:ind w:left="0" w:hanging="0"/>
      </w:pPr>
    </w:lvl>
    <w:lvl w:ilvl="7">
      <w:start w:val="1"/>
      <w:numFmt w:val="none"/>
      <w:suff w:val="nothing"/>
      <w:lvlText w:val="%8"/>
      <w:lvlJc w:val="left"/>
      <w:pPr>
        <w:tabs>
          <w:tab w:val="num" w:pos="0"/>
        </w:tabs>
        <w:ind w:left="0" w:hanging="0"/>
      </w:pPr>
    </w:lvl>
    <w:lvl w:ilvl="8">
      <w:start w:val="1"/>
      <w:numFmt w:val="none"/>
      <w:suff w:val="nothing"/>
      <w:lvlText w:val="%9"/>
      <w:lvlJc w:val="left"/>
      <w:pPr>
        <w:tabs>
          <w:tab w:val="num" w:pos="0"/>
        </w:tabs>
        <w:ind w:left="0" w:hanging="0"/>
      </w:pPr>
    </w:lvl>
  </w:abstractNum>
  <w:abstractNum w:abstractNumId="2">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Wingdings" w:hAnsi="Wingdings" w:cs="Wingdings"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3">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4">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StrongEmphasis">
    <w:name w:val="Strong Emphasis"/>
    <w:qFormat/>
    <w:rPr>
      <w:b/>
      <w:bCs/>
    </w:rPr>
  </w:style>
  <w:style w:type="character" w:styleId="Bullets">
    <w:name w:val="Bullets"/>
    <w:qFormat/>
    <w:rPr>
      <w:rFonts w:ascii="OpenSymbol" w:hAnsi="OpenSymbol" w:eastAsia="OpenSymbol" w:cs="OpenSymbol"/>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2471</Words>
  <Characters>14041</Characters>
  <CharactersWithSpaces>16530</CharactersWithSpaces>
  <Paragraphs>359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