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34"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ind w:left="2600" w:right="820" w:hanging="2603"/>
        <w:spacing w:after="0" w:line="336"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jc w:val="center"/>
        <w:ind w:right="80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2140"/>
        <w:spacing w:after="0"/>
        <w:tabs>
          <w:tab w:leader="none" w:pos="5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7"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1884045</wp:posOffset>
            </wp:positionH>
            <wp:positionV relativeFrom="paragraph">
              <wp:posOffset>74295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31" w:lineRule="exact"/>
        <w:rPr>
          <w:sz w:val="24"/>
          <w:szCs w:val="24"/>
          <w:color w:val="auto"/>
        </w:rPr>
      </w:pPr>
    </w:p>
    <w:p>
      <w:pPr>
        <w:jc w:val="center"/>
        <w:ind w:right="1260"/>
        <w:spacing w:after="0"/>
        <w:rPr>
          <w:sz w:val="20"/>
          <w:szCs w:val="20"/>
          <w:color w:val="auto"/>
        </w:rPr>
      </w:pPr>
      <w:r>
        <w:rPr>
          <w:rFonts w:ascii="Arial" w:cs="Arial" w:eastAsia="Arial" w:hAnsi="Arial"/>
          <w:sz w:val="42"/>
          <w:szCs w:val="42"/>
          <w:b w:val="1"/>
          <w:bCs w:val="1"/>
          <w:color w:val="auto"/>
        </w:rPr>
        <w:t>Aligos Therapeutics, Inc.</w:t>
      </w:r>
    </w:p>
    <w:p>
      <w:pPr>
        <w:spacing w:after="0" w:line="52"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44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82-4724808</w:t>
            </w:r>
          </w:p>
        </w:tc>
      </w:tr>
      <w:tr>
        <w:trPr>
          <w:trHeight w:val="135"/>
        </w:trPr>
        <w:tc>
          <w:tcPr>
            <w:tcW w:w="4420" w:type="dxa"/>
            <w:vAlign w:val="bottom"/>
          </w:tcPr>
          <w:p>
            <w:pPr>
              <w:jc w:val="center"/>
              <w:ind w:right="18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20" w:type="dxa"/>
            <w:vAlign w:val="bottom"/>
          </w:tcPr>
          <w:p>
            <w:pPr>
              <w:jc w:val="center"/>
              <w:ind w:left="18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4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8"/>
              </w:rPr>
              <w:t>incorporation or organization)</w:t>
            </w:r>
          </w:p>
        </w:tc>
        <w:tc>
          <w:tcPr>
            <w:tcW w:w="2920" w:type="dxa"/>
            <w:vAlign w:val="bottom"/>
          </w:tcPr>
          <w:p>
            <w:pPr>
              <w:jc w:val="center"/>
              <w:ind w:left="1866"/>
              <w:spacing w:after="0"/>
              <w:rPr>
                <w:sz w:val="20"/>
                <w:szCs w:val="20"/>
                <w:color w:val="auto"/>
              </w:rPr>
            </w:pPr>
            <w:r>
              <w:rPr>
                <w:rFonts w:ascii="Arial" w:cs="Arial" w:eastAsia="Arial" w:hAnsi="Arial"/>
                <w:sz w:val="13"/>
                <w:szCs w:val="13"/>
                <w:b w:val="1"/>
                <w:bCs w:val="1"/>
                <w:color w:val="auto"/>
                <w:w w:val="89"/>
              </w:rPr>
              <w:t>Identification No.)</w:t>
            </w:r>
          </w:p>
        </w:tc>
      </w:tr>
      <w:tr>
        <w:trPr>
          <w:trHeight w:val="268"/>
        </w:trPr>
        <w:tc>
          <w:tcPr>
            <w:tcW w:w="44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2"/>
              </w:rPr>
              <w:t>One Corporate Drive, 2nd Floor</w:t>
            </w:r>
          </w:p>
        </w:tc>
        <w:tc>
          <w:tcPr>
            <w:tcW w:w="2920" w:type="dxa"/>
            <w:vAlign w:val="bottom"/>
          </w:tcPr>
          <w:p>
            <w:pPr>
              <w:spacing w:after="0"/>
              <w:rPr>
                <w:sz w:val="23"/>
                <w:szCs w:val="23"/>
                <w:color w:val="auto"/>
              </w:rPr>
            </w:pPr>
          </w:p>
        </w:tc>
      </w:tr>
      <w:tr>
        <w:trPr>
          <w:trHeight w:val="230"/>
        </w:trPr>
        <w:tc>
          <w:tcPr>
            <w:tcW w:w="4420" w:type="dxa"/>
            <w:vAlign w:val="bottom"/>
          </w:tcPr>
          <w:p>
            <w:pPr>
              <w:jc w:val="center"/>
              <w:ind w:right="1884"/>
              <w:spacing w:after="0"/>
              <w:rPr>
                <w:sz w:val="20"/>
                <w:szCs w:val="20"/>
                <w:color w:val="auto"/>
              </w:rPr>
            </w:pPr>
            <w:r>
              <w:rPr>
                <w:rFonts w:ascii="Arial" w:cs="Arial" w:eastAsia="Arial" w:hAnsi="Arial"/>
                <w:sz w:val="18"/>
                <w:szCs w:val="18"/>
                <w:b w:val="1"/>
                <w:bCs w:val="1"/>
                <w:color w:val="auto"/>
                <w:w w:val="90"/>
              </w:rPr>
              <w:t>South San Francisco, California</w:t>
            </w:r>
          </w:p>
        </w:tc>
        <w:tc>
          <w:tcPr>
            <w:tcW w:w="2920" w:type="dxa"/>
            <w:vAlign w:val="bottom"/>
          </w:tcPr>
          <w:p>
            <w:pPr>
              <w:jc w:val="right"/>
              <w:ind w:right="186"/>
              <w:spacing w:after="0"/>
              <w:rPr>
                <w:sz w:val="20"/>
                <w:szCs w:val="20"/>
                <w:color w:val="auto"/>
              </w:rPr>
            </w:pPr>
            <w:r>
              <w:rPr>
                <w:rFonts w:ascii="Arial" w:cs="Arial" w:eastAsia="Arial" w:hAnsi="Arial"/>
                <w:sz w:val="18"/>
                <w:szCs w:val="18"/>
                <w:b w:val="1"/>
                <w:bCs w:val="1"/>
                <w:color w:val="auto"/>
              </w:rPr>
              <w:t>94080</w:t>
            </w:r>
          </w:p>
        </w:tc>
      </w:tr>
      <w:tr>
        <w:trPr>
          <w:trHeight w:val="164"/>
        </w:trPr>
        <w:tc>
          <w:tcPr>
            <w:tcW w:w="44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20" w:type="dxa"/>
            <w:vAlign w:val="bottom"/>
          </w:tcPr>
          <w:p>
            <w:pPr>
              <w:jc w:val="center"/>
              <w:ind w:left="186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1884045</wp:posOffset>
            </wp:positionH>
            <wp:positionV relativeFrom="paragraph">
              <wp:posOffset>102870</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5"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0" w:lineRule="exact"/>
        <w:rPr>
          <w:sz w:val="24"/>
          <w:szCs w:val="24"/>
          <w:color w:val="auto"/>
        </w:rPr>
      </w:pPr>
    </w:p>
    <w:p>
      <w:pPr>
        <w:sectPr>
          <w:pgSz w:w="11900" w:h="16838" w:orient="portrait"/>
          <w:cols w:equalWidth="0" w:num="2">
            <w:col w:w="940" w:space="340"/>
            <w:col w:w="9960"/>
          </w:cols>
          <w:pgMar w:left="320" w:top="336" w:right="33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4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Title of each class</w:t>
            </w:r>
          </w:p>
        </w:tc>
        <w:tc>
          <w:tcPr>
            <w:tcW w:w="2360" w:type="dxa"/>
            <w:vAlign w:val="bottom"/>
            <w:gridSpan w:val="2"/>
          </w:tcPr>
          <w:p>
            <w:pPr>
              <w:ind w:left="680"/>
              <w:spacing w:after="0"/>
              <w:rPr>
                <w:sz w:val="20"/>
                <w:szCs w:val="20"/>
                <w:color w:val="auto"/>
              </w:rPr>
            </w:pPr>
            <w:r>
              <w:rPr>
                <w:rFonts w:ascii="Arial" w:cs="Arial" w:eastAsia="Arial" w:hAnsi="Arial"/>
                <w:sz w:val="13"/>
                <w:szCs w:val="13"/>
                <w:b w:val="1"/>
                <w:bCs w:val="1"/>
                <w:color w:val="auto"/>
              </w:rPr>
              <w:t>Trading Symbol(s)</w:t>
            </w:r>
          </w:p>
        </w:tc>
        <w:tc>
          <w:tcPr>
            <w:tcW w:w="4360" w:type="dxa"/>
            <w:vAlign w:val="bottom"/>
          </w:tcPr>
          <w:p>
            <w:pPr>
              <w:jc w:val="right"/>
              <w:ind w:right="879"/>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91"/>
        </w:trPr>
        <w:tc>
          <w:tcPr>
            <w:tcW w:w="4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6"/>
                <w:szCs w:val="16"/>
                <w:color w:val="auto"/>
              </w:rPr>
            </w:pPr>
          </w:p>
        </w:tc>
        <w:tc>
          <w:tcPr>
            <w:tcW w:w="2260" w:type="dxa"/>
            <w:vAlign w:val="bottom"/>
            <w:tcBorders>
              <w:top w:val="single" w:sz="8" w:color="auto"/>
            </w:tcBorders>
          </w:tcPr>
          <w:p>
            <w:pPr>
              <w:ind w:left="880"/>
              <w:spacing w:after="0" w:line="191" w:lineRule="exact"/>
              <w:rPr>
                <w:sz w:val="20"/>
                <w:szCs w:val="20"/>
                <w:color w:val="auto"/>
              </w:rPr>
            </w:pPr>
            <w:r>
              <w:rPr>
                <w:rFonts w:ascii="Arial" w:cs="Arial" w:eastAsia="Arial" w:hAnsi="Arial"/>
                <w:sz w:val="18"/>
                <w:szCs w:val="18"/>
                <w:b w:val="1"/>
                <w:bCs w:val="1"/>
                <w:color w:val="auto"/>
              </w:rPr>
              <w:t>ALGS</w:t>
            </w:r>
          </w:p>
        </w:tc>
        <w:tc>
          <w:tcPr>
            <w:tcW w:w="100" w:type="dxa"/>
            <w:vAlign w:val="bottom"/>
          </w:tcPr>
          <w:p>
            <w:pPr>
              <w:spacing w:after="0"/>
              <w:rPr>
                <w:sz w:val="16"/>
                <w:szCs w:val="16"/>
                <w:color w:val="auto"/>
              </w:rPr>
            </w:pPr>
          </w:p>
        </w:tc>
        <w:tc>
          <w:tcPr>
            <w:tcW w:w="4360" w:type="dxa"/>
            <w:vAlign w:val="bottom"/>
            <w:tcBorders>
              <w:top w:val="single" w:sz="8" w:color="auto"/>
            </w:tcBorders>
          </w:tcPr>
          <w:p>
            <w:pPr>
              <w:jc w:val="right"/>
              <w:ind w:right="879"/>
              <w:spacing w:after="0" w:line="191" w:lineRule="exact"/>
              <w:rPr>
                <w:sz w:val="20"/>
                <w:szCs w:val="20"/>
                <w:color w:val="auto"/>
              </w:rPr>
            </w:pPr>
            <w:r>
              <w:rPr>
                <w:rFonts w:ascii="Arial" w:cs="Arial" w:eastAsia="Arial" w:hAnsi="Arial"/>
                <w:sz w:val="18"/>
                <w:szCs w:val="18"/>
                <w:b w:val="1"/>
                <w:bCs w:val="1"/>
                <w:color w:val="auto"/>
              </w:rPr>
              <w:t>The Nasdaq Stock Market LLC</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right"/>
              <w:ind w:right="899"/>
              <w:spacing w:after="0"/>
              <w:rPr>
                <w:sz w:val="20"/>
                <w:szCs w:val="20"/>
                <w:color w:val="auto"/>
              </w:rPr>
            </w:pPr>
            <w:r>
              <w:rPr>
                <w:rFonts w:ascii="Arial" w:cs="Arial" w:eastAsia="Arial" w:hAnsi="Arial"/>
                <w:sz w:val="18"/>
                <w:szCs w:val="18"/>
                <w:b w:val="1"/>
                <w:bCs w:val="1"/>
                <w:color w:val="auto"/>
              </w:rPr>
              <w:t>(Nasdaq Global Select Market)</w:t>
            </w:r>
          </w:p>
        </w:tc>
      </w:tr>
    </w:tbl>
    <w:p>
      <w:pPr>
        <w:spacing w:after="0" w:line="6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8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jc w:val="both"/>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spacing w:after="0" w:line="207" w:lineRule="exact"/>
        <w:tabs>
          <w:tab w:leader="none" w:pos="8900" w:val="left"/>
          <w:tab w:leader="none" w:pos="95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9" w:lineRule="exact"/>
        <w:rPr>
          <w:sz w:val="24"/>
          <w:szCs w:val="24"/>
          <w:color w:val="auto"/>
        </w:rPr>
      </w:pPr>
    </w:p>
    <w:p>
      <w:pPr>
        <w:ind w:right="300" w:firstLine="510"/>
        <w:spacing w:after="0" w:line="342" w:lineRule="auto"/>
        <w:rPr>
          <w:sz w:val="20"/>
          <w:szCs w:val="20"/>
          <w:color w:val="auto"/>
        </w:rPr>
      </w:pPr>
      <w:r>
        <w:rPr>
          <w:rFonts w:ascii="Arial" w:cs="Arial" w:eastAsia="Arial" w:hAnsi="Arial"/>
          <w:sz w:val="16"/>
          <w:szCs w:val="16"/>
          <w:color w:val="auto"/>
        </w:rPr>
        <w:t>As of August 4, 2021, the registrant had 42,608,792 shares of common stock, $0.0001 par value per share, outstanding, comprised of 39,516,454 shares of voting common stock, $0.0001 par value per share and 3,092,338 shares of non-voting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63" w:lineRule="exact"/>
        <w:rPr>
          <w:sz w:val="20"/>
          <w:szCs w:val="20"/>
          <w:color w:val="auto"/>
        </w:rPr>
      </w:pPr>
    </w:p>
    <w:p>
      <w:pPr>
        <w:ind w:left="1000" w:right="460" w:hanging="493"/>
        <w:spacing w:after="0" w:line="223" w:lineRule="exact"/>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drug candidates or any other future drug candidates, and conducting nonclinical studies and clinical trials, including our ALG</w:t>
      </w:r>
      <w:r>
        <w:rPr>
          <w:rFonts w:ascii="MS PGothic" w:cs="MS PGothic" w:eastAsia="MS PGothic" w:hAnsi="MS PGothic"/>
          <w:sz w:val="18"/>
          <w:szCs w:val="18"/>
          <w:color w:val="auto"/>
        </w:rPr>
        <w:t>‑</w:t>
      </w:r>
      <w:r>
        <w:rPr>
          <w:rFonts w:ascii="Arial" w:cs="Arial" w:eastAsia="Arial" w:hAnsi="Arial"/>
          <w:sz w:val="18"/>
          <w:szCs w:val="18"/>
          <w:color w:val="auto"/>
        </w:rPr>
        <w:t>010133 and ALG</w:t>
      </w:r>
      <w:r>
        <w:rPr>
          <w:rFonts w:ascii="MS PGothic" w:cs="MS PGothic" w:eastAsia="MS PGothic" w:hAnsi="MS PGothic"/>
          <w:sz w:val="18"/>
          <w:szCs w:val="18"/>
          <w:color w:val="auto"/>
        </w:rPr>
        <w:t>‑</w:t>
      </w:r>
      <w:r>
        <w:rPr>
          <w:rFonts w:ascii="Arial" w:cs="Arial" w:eastAsia="Arial" w:hAnsi="Arial"/>
          <w:sz w:val="18"/>
          <w:szCs w:val="18"/>
          <w:color w:val="auto"/>
        </w:rPr>
        <w:t>000184 Phase 1 clinical trials;</w:t>
      </w:r>
    </w:p>
    <w:p>
      <w:pPr>
        <w:spacing w:after="0" w:line="94"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44"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our current or future drug candidates, and any related restrictions or limitations;</w:t>
      </w:r>
    </w:p>
    <w:p>
      <w:pPr>
        <w:spacing w:after="0" w:line="62"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developments related to COVID-19 on our business and operations, including clinical trials, manufacturing suppliers, collaborators, use of contract research organizations and employees;</w:t>
      </w:r>
    </w:p>
    <w:p>
      <w:pPr>
        <w:spacing w:after="0" w:line="62" w:lineRule="exact"/>
        <w:rPr>
          <w:rFonts w:ascii="Arial" w:cs="Arial" w:eastAsia="Arial" w:hAnsi="Arial"/>
          <w:sz w:val="18"/>
          <w:szCs w:val="18"/>
          <w:color w:val="auto"/>
        </w:rPr>
      </w:pPr>
    </w:p>
    <w:p>
      <w:pPr>
        <w:ind w:left="1000" w:right="380" w:hanging="493"/>
        <w:spacing w:after="0" w:line="223" w:lineRule="exact"/>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ALG</w:t>
      </w:r>
      <w:r>
        <w:rPr>
          <w:rFonts w:ascii="MS PGothic" w:cs="MS PGothic" w:eastAsia="MS PGothic" w:hAnsi="MS PGothic"/>
          <w:sz w:val="18"/>
          <w:szCs w:val="18"/>
          <w:color w:val="auto"/>
        </w:rPr>
        <w:t>‑</w:t>
      </w:r>
      <w:r>
        <w:rPr>
          <w:rFonts w:ascii="Arial" w:cs="Arial" w:eastAsia="Arial" w:hAnsi="Arial"/>
          <w:sz w:val="18"/>
          <w:szCs w:val="18"/>
          <w:color w:val="auto"/>
        </w:rPr>
        <w:t>010133 and ALG</w:t>
      </w:r>
      <w:r>
        <w:rPr>
          <w:rFonts w:ascii="MS PGothic" w:cs="MS PGothic" w:eastAsia="MS PGothic" w:hAnsi="MS PGothic"/>
          <w:sz w:val="18"/>
          <w:szCs w:val="18"/>
          <w:color w:val="auto"/>
        </w:rPr>
        <w:t>‑</w:t>
      </w:r>
      <w:r>
        <w:rPr>
          <w:rFonts w:ascii="Arial" w:cs="Arial" w:eastAsia="Arial" w:hAnsi="Arial"/>
          <w:sz w:val="18"/>
          <w:szCs w:val="18"/>
          <w:color w:val="auto"/>
        </w:rPr>
        <w:t>000184, our other drug candidates and any future drug candidates, if approved for commercial use;</w:t>
      </w:r>
    </w:p>
    <w:p>
      <w:pPr>
        <w:spacing w:after="0" w:line="94"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44"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rate and degree of market acceptance of our drug candidates, as well as the pricing and reimbursement of our drug candidates, if approved;</w:t>
      </w:r>
    </w:p>
    <w:p>
      <w:pPr>
        <w:spacing w:after="0" w:line="62"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 candidates and technology, including additional indications for which we may pursue;</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including the projected term of patent protection;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key management, scientific and medical personnel;</w:t>
      </w:r>
    </w:p>
    <w:p>
      <w:pPr>
        <w:spacing w:after="0" w:line="144"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drug candidates; and</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5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ind w:right="20" w:firstLine="510"/>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225" w:lineRule="exact"/>
        <w:rPr>
          <w:sz w:val="20"/>
          <w:szCs w:val="20"/>
          <w:color w:val="auto"/>
        </w:rPr>
      </w:pPr>
    </w:p>
    <w:p>
      <w:pPr>
        <w:ind w:left="1500" w:hanging="750"/>
        <w:spacing w:after="0" w:line="311" w:lineRule="auto"/>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148" w:lineRule="exact"/>
        <w:rPr>
          <w:rFonts w:ascii="Arial" w:cs="Arial" w:eastAsia="Arial" w:hAnsi="Arial"/>
          <w:sz w:val="16"/>
          <w:szCs w:val="16"/>
          <w:color w:val="auto"/>
        </w:rPr>
      </w:pPr>
    </w:p>
    <w:p>
      <w:pPr>
        <w:ind w:left="1500" w:hanging="750"/>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252" w:lineRule="exact"/>
        <w:rPr>
          <w:rFonts w:ascii="Arial" w:cs="Arial" w:eastAsia="Arial" w:hAnsi="Arial"/>
          <w:sz w:val="18"/>
          <w:szCs w:val="18"/>
          <w:color w:val="auto"/>
        </w:rPr>
      </w:pPr>
    </w:p>
    <w:p>
      <w:pPr>
        <w:jc w:val="both"/>
        <w:ind w:left="1500" w:right="380" w:hanging="750"/>
        <w:spacing w:after="0" w:line="263"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83" w:lineRule="exact"/>
        <w:rPr>
          <w:rFonts w:ascii="Arial" w:cs="Arial" w:eastAsia="Arial" w:hAnsi="Arial"/>
          <w:sz w:val="18"/>
          <w:szCs w:val="18"/>
          <w:color w:val="auto"/>
        </w:rPr>
      </w:pPr>
    </w:p>
    <w:p>
      <w:pPr>
        <w:ind w:left="1500" w:right="20" w:hanging="750"/>
        <w:spacing w:after="0" w:line="259"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186" w:lineRule="exact"/>
        <w:rPr>
          <w:rFonts w:ascii="Arial" w:cs="Arial" w:eastAsia="Arial" w:hAnsi="Arial"/>
          <w:sz w:val="18"/>
          <w:szCs w:val="18"/>
          <w:color w:val="auto"/>
        </w:rPr>
      </w:pPr>
    </w:p>
    <w:p>
      <w:pPr>
        <w:ind w:left="1500" w:right="120" w:hanging="750"/>
        <w:spacing w:after="0" w:line="286" w:lineRule="auto"/>
        <w:tabs>
          <w:tab w:leader="none" w:pos="1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165" w:lineRule="exact"/>
        <w:rPr>
          <w:rFonts w:ascii="Arial" w:cs="Arial" w:eastAsia="Arial" w:hAnsi="Arial"/>
          <w:sz w:val="17"/>
          <w:szCs w:val="17"/>
          <w:color w:val="auto"/>
        </w:rPr>
      </w:pPr>
    </w:p>
    <w:p>
      <w:pPr>
        <w:ind w:left="1500" w:right="60" w:hanging="750"/>
        <w:spacing w:after="0" w:line="311" w:lineRule="auto"/>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148" w:lineRule="exact"/>
        <w:rPr>
          <w:rFonts w:ascii="Arial" w:cs="Arial" w:eastAsia="Arial" w:hAnsi="Arial"/>
          <w:sz w:val="16"/>
          <w:szCs w:val="16"/>
          <w:color w:val="auto"/>
        </w:rPr>
      </w:pPr>
    </w:p>
    <w:p>
      <w:pPr>
        <w:ind w:left="1500" w:right="500" w:hanging="750"/>
        <w:spacing w:after="0" w:line="277"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intend to develop our current drug candidates, and expect to develop other future drug candidates, in combination with other therapies, which exposes us to additional risks.</w:t>
      </w:r>
    </w:p>
    <w:p>
      <w:pPr>
        <w:spacing w:after="0" w:line="170" w:lineRule="exact"/>
        <w:rPr>
          <w:rFonts w:ascii="Arial" w:cs="Arial" w:eastAsia="Arial" w:hAnsi="Arial"/>
          <w:sz w:val="18"/>
          <w:szCs w:val="18"/>
          <w:color w:val="auto"/>
        </w:rPr>
      </w:pPr>
    </w:p>
    <w:p>
      <w:pPr>
        <w:ind w:left="1500" w:right="240" w:hanging="750"/>
        <w:spacing w:after="0" w:line="277"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170" w:lineRule="exact"/>
        <w:rPr>
          <w:rFonts w:ascii="Arial" w:cs="Arial" w:eastAsia="Arial" w:hAnsi="Arial"/>
          <w:sz w:val="18"/>
          <w:szCs w:val="18"/>
          <w:color w:val="auto"/>
        </w:rPr>
      </w:pPr>
    </w:p>
    <w:p>
      <w:pPr>
        <w:ind w:left="1500" w:right="100" w:hanging="750"/>
        <w:spacing w:after="0" w:line="259" w:lineRule="auto"/>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186" w:lineRule="exact"/>
        <w:rPr>
          <w:rFonts w:ascii="Arial" w:cs="Arial" w:eastAsia="Arial" w:hAnsi="Arial"/>
          <w:sz w:val="18"/>
          <w:szCs w:val="18"/>
          <w:color w:val="auto"/>
        </w:rPr>
      </w:pPr>
    </w:p>
    <w:p>
      <w:pPr>
        <w:ind w:left="1500" w:right="200" w:hanging="750"/>
        <w:spacing w:after="0" w:line="308" w:lineRule="auto"/>
        <w:tabs>
          <w:tab w:leader="none" w:pos="1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ind w:left="1500" w:right="380" w:hanging="750"/>
        <w:spacing w:after="0" w:line="279" w:lineRule="auto"/>
        <w:tabs>
          <w:tab w:leader="none" w:pos="1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171" w:lineRule="exact"/>
        <w:rPr>
          <w:rFonts w:ascii="Arial" w:cs="Arial" w:eastAsia="Arial" w:hAnsi="Arial"/>
          <w:sz w:val="17"/>
          <w:szCs w:val="17"/>
          <w:color w:val="auto"/>
        </w:rPr>
      </w:pPr>
    </w:p>
    <w:p>
      <w:pPr>
        <w:ind w:left="1500" w:right="280" w:hanging="750"/>
        <w:spacing w:after="0" w:line="277"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p>
        </w:tc>
        <w:tc>
          <w:tcPr>
            <w:tcW w:w="22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FINANCIAL INFORMATION</w:t>
              </w:r>
            </w:hyperlink>
          </w:p>
        </w:tc>
        <w:tc>
          <w:tcPr>
            <w:tcW w:w="7080" w:type="dxa"/>
            <w:vAlign w:val="bottom"/>
            <w:gridSpan w:val="12"/>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Balance Sheets as of June 30, 2021 and December 31, 2020</w:t>
              </w:r>
            </w:hyperlink>
          </w:p>
        </w:tc>
        <w:tc>
          <w:tcPr>
            <w:tcW w:w="320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40" w:type="dxa"/>
            <w:vAlign w:val="bottom"/>
            <w:gridSpan w:val="22"/>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Operations and Comprehensive Loss for the Three and Six Months Ended June 30,</w:t>
              </w:r>
            </w:hyperlink>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6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2021 and 2020</w:t>
              </w:r>
            </w:hyperlink>
          </w:p>
        </w:tc>
        <w:tc>
          <w:tcPr>
            <w:tcW w:w="500" w:type="dxa"/>
            <w:vAlign w:val="bottom"/>
            <w:gridSpan w:val="2"/>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0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Consolidated Statements of Redeemable Convertible Preferred Stock and Stockholders’ Equity (Deficit) for the Three and Six</w:t>
              </w:r>
            </w:hyperlink>
          </w:p>
        </w:tc>
        <w:tc>
          <w:tcPr>
            <w:tcW w:w="24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Months Ended June 30, 2021 and 2020</w:t>
              </w:r>
            </w:hyperlink>
          </w:p>
        </w:tc>
        <w:tc>
          <w:tcPr>
            <w:tcW w:w="6300" w:type="dxa"/>
            <w:vAlign w:val="bottom"/>
            <w:gridSpan w:val="9"/>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 for the Six Months Ended June 30, 2021 and 2020</w:t>
              </w:r>
            </w:hyperlink>
          </w:p>
        </w:tc>
        <w:tc>
          <w:tcPr>
            <w:tcW w:w="196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40" w:type="dxa"/>
            <w:vAlign w:val="bottom"/>
            <w:gridSpan w:val="2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Unaudited Condensed Consolidated Financial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498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Controls and Procedures</w:t>
              </w:r>
            </w:hyperlink>
          </w:p>
        </w:tc>
        <w:tc>
          <w:tcPr>
            <w:tcW w:w="7540" w:type="dxa"/>
            <w:vAlign w:val="bottom"/>
            <w:gridSpan w:val="1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4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746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4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2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Defaults Upon Senior Securities</w:t>
              </w:r>
            </w:hyperlink>
          </w:p>
        </w:tc>
        <w:tc>
          <w:tcPr>
            <w:tcW w:w="500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24"/>
                <w:szCs w:val="24"/>
                <w:color w:val="auto"/>
              </w:rPr>
            </w:pPr>
          </w:p>
        </w:tc>
        <w:tc>
          <w:tcPr>
            <w:tcW w:w="7020" w:type="dxa"/>
            <w:vAlign w:val="bottom"/>
            <w:gridSpan w:val="1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8">
              <w:r>
                <w:rPr>
                  <w:rFonts w:ascii="Arial" w:cs="Arial" w:eastAsia="Arial" w:hAnsi="Arial"/>
                  <w:sz w:val="18"/>
                  <w:szCs w:val="18"/>
                  <w:color w:val="0000EE"/>
                  <w:w w:val="92"/>
                </w:rPr>
                <w:t>Other Information</w:t>
              </w:r>
            </w:hyperlink>
          </w:p>
        </w:tc>
        <w:tc>
          <w:tcPr>
            <w:tcW w:w="8020" w:type="dxa"/>
            <w:vAlign w:val="bottom"/>
            <w:gridSpan w:val="1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40" w:type="dxa"/>
            <w:vAlign w:val="bottom"/>
            <w:gridSpan w:val="2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Exhibits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7"/>
        </w:trPr>
        <w:tc>
          <w:tcPr>
            <w:tcW w:w="1140" w:type="dxa"/>
            <w:vAlign w:val="bottom"/>
            <w:gridSpan w:val="2"/>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ALIGOS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6"/>
        </w:trPr>
        <w:tc>
          <w:tcPr>
            <w:tcW w:w="7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220,383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23,130</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196,642</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250,017</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6,901</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211,876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265,302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PREFERRED STOCK,</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b w:val="1"/>
                <w:bCs w:val="1"/>
                <w:color w:val="auto"/>
              </w:rPr>
              <w:t>AND STOCKHOLDERS’ EQUITY</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1,593</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16,564</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liabilities, current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from collaborations, current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30,098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30,274</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10,371</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 net of current portion</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from collaborations, net of current portion</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42,992</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45,263</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Preferred Stock, $0.0001 par value; 10,000,000 shares authorized as of June 30, 2021 (unaudited) and</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December 31, 2020, respectively; no shares issued and outstanding as of June 30, 2021 (unaudited)</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December 31, 2020, respectively</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w w:val="91"/>
              </w:rPr>
              <w:t>Common stock, $0.0001 par value; 320,000,000 shares authorized as of June 30, 2021 (unaudited) and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tcPr>
          <w:p>
            <w:pPr>
              <w:ind w:left="260"/>
              <w:spacing w:after="0"/>
              <w:rPr>
                <w:sz w:val="20"/>
                <w:szCs w:val="20"/>
                <w:color w:val="auto"/>
              </w:rPr>
            </w:pPr>
            <w:r>
              <w:rPr>
                <w:rFonts w:ascii="Arial" w:cs="Arial" w:eastAsia="Arial" w:hAnsi="Arial"/>
                <w:sz w:val="18"/>
                <w:szCs w:val="18"/>
                <w:color w:val="auto"/>
                <w:w w:val="91"/>
              </w:rPr>
              <w:t>December 31, 2020, respectively; 38,200,121 and 38,120,606 shares issued and outstanding as of June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30, 2021 (unaudited) and December 31, 2020, respectively</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401,363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394,963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(232,232)</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(174,740)</w:t>
            </w: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w:t>
            </w:r>
          </w:p>
        </w:tc>
      </w:tr>
      <w:tr>
        <w:trPr>
          <w:trHeight w:val="223"/>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168,884</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220,039</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preferred stock,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211,876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265,302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6"/>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Revenue from collaborations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Loss from operations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(expense), net</w:t>
            </w:r>
          </w:p>
        </w:tc>
        <w:tc>
          <w:tcPr>
            <w:tcW w:w="7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500"/>
              <w:spacing w:after="0"/>
              <w:rPr>
                <w:sz w:val="20"/>
                <w:szCs w:val="20"/>
                <w:color w:val="auto"/>
              </w:rPr>
            </w:pPr>
            <w:r>
              <w:rPr>
                <w:rFonts w:ascii="Arial" w:cs="Arial" w:eastAsia="Arial" w:hAnsi="Arial"/>
                <w:sz w:val="18"/>
                <w:szCs w:val="18"/>
                <w:color w:val="auto"/>
              </w:rPr>
              <w:t>Loss before income tax expense</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Income tax income (expense)</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(20,797)</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Arial" w:cs="Arial" w:eastAsia="Arial" w:hAnsi="Arial"/>
                <w:sz w:val="18"/>
                <w:szCs w:val="18"/>
                <w:color w:val="auto"/>
              </w:rPr>
              <w:t>Unrealized gain (loss) on available-for-sale securities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pension plans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Comprehensive loss</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(57,555)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basic and diluted</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37,619,039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2,810,854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37,526,650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left="480" w:right="420"/>
        <w:spacing w:after="0" w:line="282" w:lineRule="auto"/>
        <w:rPr>
          <w:sz w:val="20"/>
          <w:szCs w:val="20"/>
          <w:color w:val="auto"/>
        </w:rPr>
      </w:pPr>
      <w:r>
        <w:rPr>
          <w:rFonts w:ascii="Arial" w:cs="Arial" w:eastAsia="Arial" w:hAnsi="Arial"/>
          <w:sz w:val="18"/>
          <w:szCs w:val="18"/>
          <w:b w:val="1"/>
          <w:bCs w:val="1"/>
          <w:color w:val="auto"/>
        </w:rPr>
        <w:t>CONDENSED CONSOLIDATED STATEMENTS OF CHANGES IN REDEEMABLE CONVERTIBLE PREFERRED STOCK AND STOCKHOLDERS’ EQUITY (DEFICIT)</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180"/>
          </w:cols>
          <w:pgMar w:left="320" w:top="78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40" w:type="dxa"/>
            <w:vAlign w:val="bottom"/>
          </w:tcPr>
          <w:p>
            <w:pPr>
              <w:spacing w:after="0"/>
              <w:rPr>
                <w:sz w:val="13"/>
                <w:szCs w:val="13"/>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42"/>
        </w:trPr>
        <w:tc>
          <w:tcPr>
            <w:tcW w:w="2740" w:type="dxa"/>
            <w:vAlign w:val="bottom"/>
          </w:tcPr>
          <w:p>
            <w:pPr>
              <w:spacing w:after="0"/>
              <w:rPr>
                <w:sz w:val="12"/>
                <w:szCs w:val="12"/>
                <w:color w:val="auto"/>
              </w:rPr>
            </w:pPr>
          </w:p>
        </w:tc>
        <w:tc>
          <w:tcPr>
            <w:tcW w:w="1420" w:type="dxa"/>
            <w:vAlign w:val="bottom"/>
            <w:gridSpan w:val="2"/>
          </w:tcPr>
          <w:p>
            <w:pPr>
              <w:ind w:left="400"/>
              <w:spacing w:after="0" w:line="142" w:lineRule="exact"/>
              <w:rPr>
                <w:sz w:val="20"/>
                <w:szCs w:val="20"/>
                <w:color w:val="auto"/>
              </w:rPr>
            </w:pPr>
            <w:r>
              <w:rPr>
                <w:rFonts w:ascii="Arial" w:cs="Arial" w:eastAsia="Arial" w:hAnsi="Arial"/>
                <w:sz w:val="13"/>
                <w:szCs w:val="13"/>
                <w:b w:val="1"/>
                <w:bCs w:val="1"/>
                <w:color w:val="auto"/>
              </w:rPr>
              <w:t>Shares</w:t>
            </w:r>
          </w:p>
        </w:tc>
        <w:tc>
          <w:tcPr>
            <w:tcW w:w="340" w:type="dxa"/>
            <w:vAlign w:val="bottom"/>
          </w:tcPr>
          <w:p>
            <w:pPr>
              <w:spacing w:after="0"/>
              <w:rPr>
                <w:sz w:val="12"/>
                <w:szCs w:val="12"/>
                <w:color w:val="auto"/>
              </w:rPr>
            </w:pPr>
          </w:p>
        </w:tc>
        <w:tc>
          <w:tcPr>
            <w:tcW w:w="860" w:type="dxa"/>
            <w:vAlign w:val="bottom"/>
          </w:tcPr>
          <w:p>
            <w:pPr>
              <w:jc w:val="right"/>
              <w:ind w:right="301"/>
              <w:spacing w:after="0" w:line="142" w:lineRule="exact"/>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spacing w:after="0"/>
              <w:rPr>
                <w:sz w:val="12"/>
                <w:szCs w:val="12"/>
                <w:color w:val="auto"/>
              </w:rPr>
            </w:pPr>
          </w:p>
        </w:tc>
      </w:tr>
      <w:tr>
        <w:trPr>
          <w:trHeight w:val="204"/>
        </w:trPr>
        <w:tc>
          <w:tcPr>
            <w:tcW w:w="2740" w:type="dxa"/>
            <w:vAlign w:val="bottom"/>
          </w:tcPr>
          <w:p>
            <w:pPr>
              <w:spacing w:after="0"/>
              <w:rPr>
                <w:sz w:val="20"/>
                <w:szCs w:val="20"/>
                <w:color w:val="auto"/>
              </w:rPr>
            </w:pPr>
            <w:r>
              <w:rPr>
                <w:rFonts w:ascii="Arial" w:cs="Arial" w:eastAsia="Arial" w:hAnsi="Arial"/>
                <w:sz w:val="16"/>
                <w:szCs w:val="16"/>
                <w:color w:val="auto"/>
              </w:rPr>
              <w:t>Balance as of March 31, 2021</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38,147,205</w:t>
            </w: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7"/>
                <w:szCs w:val="17"/>
                <w:color w:val="auto"/>
              </w:rPr>
            </w:pPr>
          </w:p>
        </w:tc>
      </w:tr>
      <w:tr>
        <w:trPr>
          <w:trHeight w:val="212"/>
        </w:trPr>
        <w:tc>
          <w:tcPr>
            <w:tcW w:w="2740" w:type="dxa"/>
            <w:vAlign w:val="bottom"/>
          </w:tcPr>
          <w:p>
            <w:pPr>
              <w:spacing w:after="0"/>
              <w:rPr>
                <w:sz w:val="20"/>
                <w:szCs w:val="20"/>
                <w:color w:val="auto"/>
              </w:rPr>
            </w:pPr>
            <w:r>
              <w:rPr>
                <w:rFonts w:ascii="Arial" w:cs="Arial" w:eastAsia="Arial" w:hAnsi="Arial"/>
                <w:sz w:val="16"/>
                <w:szCs w:val="16"/>
                <w:color w:val="auto"/>
              </w:rPr>
              <w:t>Issuance of common stock upon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exercise of</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6"/>
        </w:trPr>
        <w:tc>
          <w:tcPr>
            <w:tcW w:w="274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52,916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r>
      <w:tr>
        <w:trPr>
          <w:trHeight w:val="212"/>
        </w:trPr>
        <w:tc>
          <w:tcPr>
            <w:tcW w:w="2740" w:type="dxa"/>
            <w:vAlign w:val="bottom"/>
          </w:tcPr>
          <w:p>
            <w:pPr>
              <w:spacing w:after="0"/>
              <w:rPr>
                <w:sz w:val="20"/>
                <w:szCs w:val="20"/>
                <w:color w:val="auto"/>
              </w:rPr>
            </w:pPr>
            <w:r>
              <w:rPr>
                <w:rFonts w:ascii="Arial" w:cs="Arial" w:eastAsia="Arial" w:hAnsi="Arial"/>
                <w:sz w:val="16"/>
                <w:szCs w:val="16"/>
                <w:color w:val="auto"/>
              </w:rPr>
              <w:t>Vesting of early exercised common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6"/>
        </w:trPr>
        <w:tc>
          <w:tcPr>
            <w:tcW w:w="274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Balance as of June 30,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38,200,121</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658"/>
        </w:trPr>
        <w:tc>
          <w:tcPr>
            <w:tcW w:w="2740" w:type="dxa"/>
            <w:vAlign w:val="bottom"/>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142"/>
        </w:trPr>
        <w:tc>
          <w:tcPr>
            <w:tcW w:w="2740" w:type="dxa"/>
            <w:vAlign w:val="bottom"/>
          </w:tcPr>
          <w:p>
            <w:pPr>
              <w:spacing w:after="0"/>
              <w:rPr>
                <w:sz w:val="12"/>
                <w:szCs w:val="12"/>
                <w:color w:val="auto"/>
              </w:rPr>
            </w:pPr>
          </w:p>
        </w:tc>
        <w:tc>
          <w:tcPr>
            <w:tcW w:w="1420" w:type="dxa"/>
            <w:vAlign w:val="bottom"/>
            <w:gridSpan w:val="2"/>
          </w:tcPr>
          <w:p>
            <w:pPr>
              <w:ind w:left="400"/>
              <w:spacing w:after="0" w:line="142" w:lineRule="exact"/>
              <w:rPr>
                <w:sz w:val="20"/>
                <w:szCs w:val="20"/>
                <w:color w:val="auto"/>
              </w:rPr>
            </w:pPr>
            <w:r>
              <w:rPr>
                <w:rFonts w:ascii="Arial" w:cs="Arial" w:eastAsia="Arial" w:hAnsi="Arial"/>
                <w:sz w:val="13"/>
                <w:szCs w:val="13"/>
                <w:b w:val="1"/>
                <w:bCs w:val="1"/>
                <w:color w:val="auto"/>
              </w:rPr>
              <w:t>Shares</w:t>
            </w:r>
          </w:p>
        </w:tc>
        <w:tc>
          <w:tcPr>
            <w:tcW w:w="340" w:type="dxa"/>
            <w:vAlign w:val="bottom"/>
          </w:tcPr>
          <w:p>
            <w:pPr>
              <w:spacing w:after="0"/>
              <w:rPr>
                <w:sz w:val="12"/>
                <w:szCs w:val="12"/>
                <w:color w:val="auto"/>
              </w:rPr>
            </w:pPr>
          </w:p>
        </w:tc>
        <w:tc>
          <w:tcPr>
            <w:tcW w:w="860" w:type="dxa"/>
            <w:vAlign w:val="bottom"/>
          </w:tcPr>
          <w:p>
            <w:pPr>
              <w:jc w:val="right"/>
              <w:ind w:right="301"/>
              <w:spacing w:after="0" w:line="142" w:lineRule="exact"/>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spacing w:after="0"/>
              <w:rPr>
                <w:sz w:val="12"/>
                <w:szCs w:val="12"/>
                <w:color w:val="auto"/>
              </w:rPr>
            </w:pP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Balance as of December 31, 2020</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38,120,606</w:t>
            </w: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7"/>
                <w:szCs w:val="17"/>
                <w:color w:val="auto"/>
              </w:rPr>
            </w:pPr>
          </w:p>
        </w:tc>
      </w:tr>
      <w:tr>
        <w:trPr>
          <w:trHeight w:val="212"/>
        </w:trPr>
        <w:tc>
          <w:tcPr>
            <w:tcW w:w="2740" w:type="dxa"/>
            <w:vAlign w:val="bottom"/>
          </w:tcPr>
          <w:p>
            <w:pPr>
              <w:spacing w:after="0"/>
              <w:rPr>
                <w:sz w:val="20"/>
                <w:szCs w:val="20"/>
                <w:color w:val="auto"/>
              </w:rPr>
            </w:pPr>
            <w:r>
              <w:rPr>
                <w:rFonts w:ascii="Arial" w:cs="Arial" w:eastAsia="Arial" w:hAnsi="Arial"/>
                <w:sz w:val="16"/>
                <w:szCs w:val="16"/>
                <w:color w:val="auto"/>
              </w:rPr>
              <w:t>Issuance of common stock upon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exercise of</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6"/>
        </w:trPr>
        <w:tc>
          <w:tcPr>
            <w:tcW w:w="274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79,515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r>
      <w:tr>
        <w:trPr>
          <w:trHeight w:val="212"/>
        </w:trPr>
        <w:tc>
          <w:tcPr>
            <w:tcW w:w="2740" w:type="dxa"/>
            <w:vAlign w:val="bottom"/>
          </w:tcPr>
          <w:p>
            <w:pPr>
              <w:spacing w:after="0"/>
              <w:rPr>
                <w:sz w:val="20"/>
                <w:szCs w:val="20"/>
                <w:color w:val="auto"/>
              </w:rPr>
            </w:pPr>
            <w:r>
              <w:rPr>
                <w:rFonts w:ascii="Arial" w:cs="Arial" w:eastAsia="Arial" w:hAnsi="Arial"/>
                <w:sz w:val="16"/>
                <w:szCs w:val="16"/>
                <w:color w:val="auto"/>
              </w:rPr>
              <w:t>Vesting of early exercised common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6"/>
        </w:trPr>
        <w:tc>
          <w:tcPr>
            <w:tcW w:w="274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Balance as of June 30,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38,200,121</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-2767965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48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w w:val="90"/>
              </w:rPr>
              <w:t>Three Months Ended June 30, 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20" w:type="dxa"/>
            <w:vAlign w:val="bottom"/>
          </w:tcPr>
          <w:p>
            <w:pPr>
              <w:jc w:val="center"/>
              <w:ind w:right="466"/>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1120" w:type="dxa"/>
            <w:vAlign w:val="bottom"/>
          </w:tcPr>
          <w:p>
            <w:pPr>
              <w:jc w:val="center"/>
              <w:ind w:right="486"/>
              <w:spacing w:after="0"/>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1120" w:type="dxa"/>
            <w:vAlign w:val="bottom"/>
          </w:tcPr>
          <w:p>
            <w:pPr>
              <w:jc w:val="center"/>
              <w:ind w:right="486"/>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78"/>
              </w:rPr>
              <w:t>Loss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397,857</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(202,414)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(227)</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195,220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213</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3,209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(29,818)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(29,818)</w:t>
            </w: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166"/>
              <w:spacing w:after="0"/>
              <w:rPr>
                <w:sz w:val="20"/>
                <w:szCs w:val="20"/>
                <w:color w:val="auto"/>
              </w:rPr>
            </w:pPr>
            <w:r>
              <w:rPr>
                <w:rFonts w:ascii="Arial" w:cs="Arial" w:eastAsia="Arial" w:hAnsi="Arial"/>
                <w:sz w:val="16"/>
                <w:szCs w:val="16"/>
                <w:color w:val="auto"/>
              </w:rPr>
              <w:t>401,363</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(232,232)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(251)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168,884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48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w w:val="93"/>
              </w:rPr>
              <w:t>Six Months Ended June 30, 2021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20" w:type="dxa"/>
            <w:vAlign w:val="bottom"/>
          </w:tcPr>
          <w:p>
            <w:pPr>
              <w:jc w:val="center"/>
              <w:ind w:right="466"/>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1120" w:type="dxa"/>
            <w:vAlign w:val="bottom"/>
          </w:tcPr>
          <w:p>
            <w:pPr>
              <w:jc w:val="center"/>
              <w:ind w:right="486"/>
              <w:spacing w:after="0"/>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1120" w:type="dxa"/>
            <w:vAlign w:val="bottom"/>
          </w:tcPr>
          <w:p>
            <w:pPr>
              <w:jc w:val="center"/>
              <w:ind w:right="486"/>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78"/>
              </w:rPr>
              <w:t>Loss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0"/>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394,963</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(174,740)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(188)</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220,039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309</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5,965</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126</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6"/>
        </w:trPr>
        <w:tc>
          <w:tcPr>
            <w:tcW w:w="112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(57,492)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(57,492)</w:t>
            </w: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166"/>
              <w:spacing w:after="0"/>
              <w:rPr>
                <w:sz w:val="20"/>
                <w:szCs w:val="20"/>
                <w:color w:val="auto"/>
              </w:rPr>
            </w:pPr>
            <w:r>
              <w:rPr>
                <w:rFonts w:ascii="Arial" w:cs="Arial" w:eastAsia="Arial" w:hAnsi="Arial"/>
                <w:sz w:val="16"/>
                <w:szCs w:val="16"/>
                <w:color w:val="auto"/>
              </w:rPr>
              <w:t>401,363</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20" w:type="dxa"/>
            <w:vAlign w:val="bottom"/>
            <w:vMerge w:val="continue"/>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(232,232)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(251)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168,884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-8255</wp:posOffset>
            </wp:positionV>
            <wp:extent cx="7543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-1928495</wp:posOffset>
            </wp:positionV>
            <wp:extent cx="7543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220"/>
            <w:col w:w="5280"/>
          </w:cols>
          <w:pgMar w:left="320" w:top="783" w:right="399" w:bottom="1440" w:gutter="0" w:footer="0" w:header="0"/>
          <w:type w:val="continuous"/>
        </w:sectPr>
      </w:pP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3" w:right="39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4"/>
        </w:trPr>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60" w:type="dxa"/>
            <w:vAlign w:val="bottom"/>
            <w:gridSpan w:val="7"/>
          </w:tcPr>
          <w:p>
            <w:pPr>
              <w:jc w:val="center"/>
              <w:spacing w:after="0"/>
              <w:rPr>
                <w:sz w:val="20"/>
                <w:szCs w:val="20"/>
                <w:color w:val="auto"/>
              </w:rPr>
            </w:pPr>
            <w:r>
              <w:rPr>
                <w:rFonts w:ascii="Arial" w:cs="Arial" w:eastAsia="Arial" w:hAnsi="Arial"/>
                <w:sz w:val="13"/>
                <w:szCs w:val="13"/>
                <w:b w:val="1"/>
                <w:bCs w:val="1"/>
                <w:color w:val="auto"/>
                <w:w w:val="87"/>
              </w:rPr>
              <w:t>Three Months Ended June 30, 2020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2000" w:type="dxa"/>
            <w:vAlign w:val="bottom"/>
            <w:gridSpan w:val="5"/>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Series A Redeemable</w:t>
            </w:r>
          </w:p>
        </w:tc>
        <w:tc>
          <w:tcPr>
            <w:tcW w:w="16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Series B-1 Redeemable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8"/>
              </w:rPr>
              <w:t>Convertible Preferred Stock</w:t>
            </w:r>
          </w:p>
        </w:tc>
        <w:tc>
          <w:tcPr>
            <w:tcW w:w="16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Convertible Preferred Stock</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7"/>
              <w:spacing w:after="0"/>
              <w:rPr>
                <w:sz w:val="20"/>
                <w:szCs w:val="20"/>
                <w:color w:val="auto"/>
              </w:rPr>
            </w:pPr>
            <w:r>
              <w:rPr>
                <w:rFonts w:ascii="Arial" w:cs="Arial" w:eastAsia="Arial" w:hAnsi="Arial"/>
                <w:sz w:val="13"/>
                <w:szCs w:val="13"/>
                <w:b w:val="1"/>
                <w:bCs w:val="1"/>
                <w:color w:val="auto"/>
                <w:w w:val="92"/>
              </w:rPr>
              <w:t>Paid-in</w:t>
            </w:r>
          </w:p>
        </w:tc>
        <w:tc>
          <w:tcPr>
            <w:tcW w:w="2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6"/>
              </w:rPr>
              <w:t>Comprehensive</w:t>
            </w: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100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2"/>
                <w:szCs w:val="12"/>
                <w:color w:val="auto"/>
              </w:rPr>
            </w:pPr>
          </w:p>
        </w:tc>
        <w:tc>
          <w:tcPr>
            <w:tcW w:w="9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7"/>
              <w:spacing w:after="0" w:line="142" w:lineRule="exact"/>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2" w:lineRule="exact"/>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2"/>
                <w:szCs w:val="12"/>
                <w:color w:val="auto"/>
              </w:rPr>
            </w:pPr>
          </w:p>
        </w:tc>
        <w:tc>
          <w:tcPr>
            <w:tcW w:w="72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6"/>
        </w:trPr>
        <w:tc>
          <w:tcPr>
            <w:tcW w:w="16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Balance as of March 31,</w:t>
            </w: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2020</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10,857,395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101,182</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8,344,034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81,384</w:t>
            </w:r>
          </w:p>
        </w:tc>
        <w:tc>
          <w:tcPr>
            <w:tcW w:w="180" w:type="dxa"/>
            <w:vAlign w:val="bottom"/>
            <w:tcBorders>
              <w:right w:val="single" w:sz="8" w:color="auto"/>
            </w:tcBorders>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3,941,476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1,833</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(86,226)</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452</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(83,941)</w:t>
            </w: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Stock-based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20"/>
                <w:szCs w:val="20"/>
                <w:color w:val="auto"/>
              </w:rPr>
            </w:pPr>
            <w:r>
              <w:rPr>
                <w:rFonts w:ascii="Arial" w:cs="Arial" w:eastAsia="Arial" w:hAnsi="Arial"/>
                <w:sz w:val="15"/>
                <w:szCs w:val="15"/>
                <w:color w:val="auto"/>
              </w:rPr>
              <w:t>compensation</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327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Vesting of early</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exercised</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common stock</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Issuance of common</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stock</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120"/>
              <w:spacing w:after="0" w:line="162" w:lineRule="exact"/>
              <w:rPr>
                <w:sz w:val="20"/>
                <w:szCs w:val="20"/>
                <w:color w:val="auto"/>
              </w:rPr>
            </w:pPr>
            <w:r>
              <w:rPr>
                <w:rFonts w:ascii="Arial" w:cs="Arial" w:eastAsia="Arial" w:hAnsi="Arial"/>
                <w:sz w:val="15"/>
                <w:szCs w:val="15"/>
                <w:color w:val="auto"/>
              </w:rPr>
              <w:t>upon exercise of stock</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20"/>
                <w:szCs w:val="20"/>
                <w:color w:val="auto"/>
              </w:rPr>
            </w:pPr>
            <w:r>
              <w:rPr>
                <w:rFonts w:ascii="Arial" w:cs="Arial" w:eastAsia="Arial" w:hAnsi="Arial"/>
                <w:sz w:val="15"/>
                <w:szCs w:val="15"/>
                <w:color w:val="auto"/>
              </w:rPr>
              <w:t>options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34,951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Issuance of common</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upon early exercise of</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stock options</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59,551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Other comprehensive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20"/>
                <w:szCs w:val="20"/>
                <w:color w:val="auto"/>
              </w:rPr>
            </w:pPr>
            <w:r>
              <w:rPr>
                <w:rFonts w:ascii="Arial" w:cs="Arial" w:eastAsia="Arial" w:hAnsi="Arial"/>
                <w:sz w:val="15"/>
                <w:szCs w:val="15"/>
                <w:color w:val="auto"/>
              </w:rPr>
              <w:t>loss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(302)</w:t>
            </w: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(302)</w:t>
            </w: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(20,797)</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(20,797)</w:t>
            </w:r>
          </w:p>
        </w:tc>
        <w:tc>
          <w:tcPr>
            <w:tcW w:w="0" w:type="dxa"/>
            <w:vAlign w:val="bottom"/>
          </w:tcPr>
          <w:p>
            <w:pPr>
              <w:spacing w:after="0"/>
              <w:rPr>
                <w:sz w:val="1"/>
                <w:szCs w:val="1"/>
                <w:color w:val="auto"/>
              </w:rPr>
            </w:pPr>
          </w:p>
        </w:tc>
      </w:tr>
      <w:tr>
        <w:trPr>
          <w:trHeight w:val="156"/>
        </w:trPr>
        <w:tc>
          <w:tcPr>
            <w:tcW w:w="1660" w:type="dxa"/>
            <w:vAlign w:val="bottom"/>
          </w:tcPr>
          <w:p>
            <w:pPr>
              <w:spacing w:after="0" w:line="156" w:lineRule="exact"/>
              <w:rPr>
                <w:sz w:val="20"/>
                <w:szCs w:val="20"/>
                <w:color w:val="auto"/>
              </w:rPr>
            </w:pPr>
            <w:r>
              <w:rPr>
                <w:rFonts w:ascii="Arial" w:cs="Arial" w:eastAsia="Arial" w:hAnsi="Arial"/>
                <w:sz w:val="15"/>
                <w:szCs w:val="15"/>
                <w:color w:val="auto"/>
              </w:rPr>
              <w:t>Balance as of June 30,</w:t>
            </w: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Arial" w:cs="Arial" w:eastAsia="Arial" w:hAnsi="Arial"/>
                <w:sz w:val="15"/>
                <w:szCs w:val="15"/>
                <w:color w:val="auto"/>
              </w:rPr>
              <w:t>2020</w:t>
            </w:r>
          </w:p>
        </w:tc>
        <w:tc>
          <w:tcPr>
            <w:tcW w:w="800" w:type="dxa"/>
            <w:vAlign w:val="bottom"/>
          </w:tcPr>
          <w:p>
            <w:pPr>
              <w:jc w:val="right"/>
              <w:spacing w:after="0"/>
              <w:rPr>
                <w:sz w:val="20"/>
                <w:szCs w:val="20"/>
                <w:color w:val="auto"/>
              </w:rPr>
            </w:pPr>
            <w:r>
              <w:rPr>
                <w:rFonts w:ascii="Arial" w:cs="Arial" w:eastAsia="Arial" w:hAnsi="Arial"/>
                <w:sz w:val="15"/>
                <w:szCs w:val="15"/>
                <w:color w:val="auto"/>
              </w:rPr>
              <w:t>10,857,395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101,182</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8,344,034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81,384</w:t>
            </w:r>
          </w:p>
        </w:tc>
        <w:tc>
          <w:tcPr>
            <w:tcW w:w="1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4,035,978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2,300</w:t>
            </w:r>
          </w:p>
        </w:tc>
        <w:tc>
          <w:tcPr>
            <w:tcW w:w="32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(107,023)</w:t>
            </w:r>
          </w:p>
        </w:tc>
        <w:tc>
          <w:tcPr>
            <w:tcW w:w="240" w:type="dxa"/>
            <w:vAlign w:val="bottom"/>
            <w:gridSpan w:val="2"/>
          </w:tcPr>
          <w:p>
            <w:pPr>
              <w:jc w:val="right"/>
              <w:ind w:right="17"/>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150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w w:val="99"/>
              </w:rPr>
              <w:t>(104,573)</w:t>
            </w:r>
          </w:p>
        </w:tc>
        <w:tc>
          <w:tcPr>
            <w:tcW w:w="0" w:type="dxa"/>
            <w:vAlign w:val="bottom"/>
          </w:tcPr>
          <w:p>
            <w:pPr>
              <w:spacing w:after="0"/>
              <w:rPr>
                <w:sz w:val="1"/>
                <w:szCs w:val="1"/>
                <w:color w:val="auto"/>
              </w:rPr>
            </w:pPr>
          </w:p>
        </w:tc>
      </w:tr>
      <w:tr>
        <w:trPr>
          <w:trHeight w:val="129"/>
        </w:trPr>
        <w:tc>
          <w:tcPr>
            <w:tcW w:w="166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right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86"/>
              </w:rPr>
              <w:t>Six Months Ended June 30, 2020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2000" w:type="dxa"/>
            <w:vAlign w:val="bottom"/>
            <w:gridSpan w:val="5"/>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Series A Redeemable</w:t>
            </w:r>
          </w:p>
        </w:tc>
        <w:tc>
          <w:tcPr>
            <w:tcW w:w="16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Series B-1 Redeemable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8"/>
              </w:rPr>
              <w:t>Convertible Preferred Stock</w:t>
            </w:r>
          </w:p>
        </w:tc>
        <w:tc>
          <w:tcPr>
            <w:tcW w:w="16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Convertible Preferred Stock</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7"/>
              <w:spacing w:after="0"/>
              <w:rPr>
                <w:sz w:val="20"/>
                <w:szCs w:val="20"/>
                <w:color w:val="auto"/>
              </w:rPr>
            </w:pPr>
            <w:r>
              <w:rPr>
                <w:rFonts w:ascii="Arial" w:cs="Arial" w:eastAsia="Arial" w:hAnsi="Arial"/>
                <w:sz w:val="13"/>
                <w:szCs w:val="13"/>
                <w:b w:val="1"/>
                <w:bCs w:val="1"/>
                <w:color w:val="auto"/>
                <w:w w:val="92"/>
              </w:rPr>
              <w:t>Paid-in</w:t>
            </w:r>
          </w:p>
        </w:tc>
        <w:tc>
          <w:tcPr>
            <w:tcW w:w="2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6"/>
              </w:rPr>
              <w:t>Comprehensive</w:t>
            </w: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100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2"/>
                <w:szCs w:val="12"/>
                <w:color w:val="auto"/>
              </w:rPr>
            </w:pPr>
          </w:p>
        </w:tc>
        <w:tc>
          <w:tcPr>
            <w:tcW w:w="9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7"/>
              <w:spacing w:after="0" w:line="142" w:lineRule="exact"/>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2" w:lineRule="exact"/>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2"/>
                <w:szCs w:val="12"/>
                <w:color w:val="auto"/>
              </w:rPr>
            </w:pPr>
          </w:p>
        </w:tc>
        <w:tc>
          <w:tcPr>
            <w:tcW w:w="72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6"/>
        </w:trPr>
        <w:tc>
          <w:tcPr>
            <w:tcW w:w="16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w w:val="99"/>
              </w:rPr>
              <w:t>Balance as of December</w:t>
            </w: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31, 2019</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10,819,843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100,695</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8,344,034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81,384</w:t>
            </w:r>
          </w:p>
        </w:tc>
        <w:tc>
          <w:tcPr>
            <w:tcW w:w="180" w:type="dxa"/>
            <w:vAlign w:val="bottom"/>
            <w:tcBorders>
              <w:right w:val="single" w:sz="8" w:color="auto"/>
            </w:tcBorders>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3,927,803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1,421</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(66,197)</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(115)</w:t>
            </w: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(64,891)</w:t>
            </w: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Issuance of Series A</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stock</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120"/>
              <w:spacing w:after="0" w:line="162" w:lineRule="exact"/>
              <w:rPr>
                <w:sz w:val="20"/>
                <w:szCs w:val="20"/>
                <w:color w:val="auto"/>
              </w:rPr>
            </w:pPr>
            <w:r>
              <w:rPr>
                <w:rFonts w:ascii="Arial" w:cs="Arial" w:eastAsia="Arial" w:hAnsi="Arial"/>
                <w:sz w:val="15"/>
                <w:szCs w:val="15"/>
                <w:color w:val="auto"/>
                <w:w w:val="96"/>
              </w:rPr>
              <w:t>upon exercise of Series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A</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120"/>
              <w:spacing w:after="0"/>
              <w:rPr>
                <w:sz w:val="20"/>
                <w:szCs w:val="20"/>
                <w:color w:val="auto"/>
              </w:rPr>
            </w:pPr>
            <w:r>
              <w:rPr>
                <w:rFonts w:ascii="Arial" w:cs="Arial" w:eastAsia="Arial" w:hAnsi="Arial"/>
                <w:sz w:val="15"/>
                <w:szCs w:val="15"/>
                <w:color w:val="auto"/>
              </w:rPr>
              <w:t>warrants</w:t>
            </w:r>
          </w:p>
        </w:tc>
        <w:tc>
          <w:tcPr>
            <w:tcW w:w="800" w:type="dxa"/>
            <w:vAlign w:val="bottom"/>
          </w:tcPr>
          <w:p>
            <w:pPr>
              <w:jc w:val="right"/>
              <w:spacing w:after="0"/>
              <w:rPr>
                <w:sz w:val="20"/>
                <w:szCs w:val="20"/>
                <w:color w:val="auto"/>
              </w:rPr>
            </w:pPr>
            <w:r>
              <w:rPr>
                <w:rFonts w:ascii="Arial" w:cs="Arial" w:eastAsia="Arial" w:hAnsi="Arial"/>
                <w:sz w:val="15"/>
                <w:szCs w:val="15"/>
                <w:color w:val="auto"/>
              </w:rPr>
              <w:t>37,552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487</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compensation</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Vesting of early</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exercised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120"/>
              <w:spacing w:after="0"/>
              <w:rPr>
                <w:sz w:val="20"/>
                <w:szCs w:val="20"/>
                <w:color w:val="auto"/>
              </w:rPr>
            </w:pPr>
            <w:r>
              <w:rPr>
                <w:rFonts w:ascii="Arial" w:cs="Arial" w:eastAsia="Arial" w:hAnsi="Arial"/>
                <w:sz w:val="15"/>
                <w:szCs w:val="15"/>
                <w:color w:val="auto"/>
              </w:rPr>
              <w:t>common stock</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Issuance of common</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upon exercise of stock</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options</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48,624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Issuance of common</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stock</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120"/>
              <w:spacing w:after="0" w:line="162" w:lineRule="exact"/>
              <w:rPr>
                <w:sz w:val="20"/>
                <w:szCs w:val="20"/>
                <w:color w:val="auto"/>
              </w:rPr>
            </w:pPr>
            <w:r>
              <w:rPr>
                <w:rFonts w:ascii="Arial" w:cs="Arial" w:eastAsia="Arial" w:hAnsi="Arial"/>
                <w:sz w:val="15"/>
                <w:szCs w:val="15"/>
                <w:color w:val="auto"/>
              </w:rPr>
              <w:t>upon early exercise of</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20"/>
                <w:szCs w:val="20"/>
                <w:color w:val="auto"/>
              </w:rPr>
            </w:pPr>
            <w:r>
              <w:rPr>
                <w:rFonts w:ascii="Arial" w:cs="Arial" w:eastAsia="Arial" w:hAnsi="Arial"/>
                <w:sz w:val="15"/>
                <w:szCs w:val="15"/>
                <w:color w:val="auto"/>
              </w:rPr>
              <w:t>stock options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59,551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Other comprehensive</w:t>
            </w: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income</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265</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20"/>
                <w:szCs w:val="20"/>
                <w:color w:val="auto"/>
              </w:rPr>
            </w:pPr>
            <w:r>
              <w:rPr>
                <w:rFonts w:ascii="Arial" w:cs="Arial" w:eastAsia="Arial" w:hAnsi="Arial"/>
                <w:sz w:val="15"/>
                <w:szCs w:val="15"/>
                <w:color w:val="auto"/>
              </w:rPr>
              <w:t>Net loss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(40,826)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(40,826)</w:t>
            </w:r>
          </w:p>
        </w:tc>
        <w:tc>
          <w:tcPr>
            <w:tcW w:w="0" w:type="dxa"/>
            <w:vAlign w:val="bottom"/>
          </w:tcPr>
          <w:p>
            <w:pPr>
              <w:spacing w:after="0"/>
              <w:rPr>
                <w:sz w:val="1"/>
                <w:szCs w:val="1"/>
                <w:color w:val="auto"/>
              </w:rPr>
            </w:pPr>
          </w:p>
        </w:tc>
      </w:tr>
      <w:tr>
        <w:trPr>
          <w:trHeight w:val="156"/>
        </w:trPr>
        <w:tc>
          <w:tcPr>
            <w:tcW w:w="16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Balance as of June 30,</w:t>
            </w: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2020</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10,857,395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101,182</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8,344,034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81,384</w:t>
            </w:r>
          </w:p>
        </w:tc>
        <w:tc>
          <w:tcPr>
            <w:tcW w:w="180" w:type="dxa"/>
            <w:vAlign w:val="bottom"/>
            <w:tcBorders>
              <w:right w:val="single" w:sz="8" w:color="auto"/>
            </w:tcBorders>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4,035,978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2,300</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(107,023)</w:t>
            </w: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99"/>
              </w:rPr>
              <w:t>(104,573)</w:t>
            </w:r>
          </w:p>
        </w:tc>
        <w:tc>
          <w:tcPr>
            <w:tcW w:w="0" w:type="dxa"/>
            <w:vAlign w:val="bottom"/>
          </w:tcPr>
          <w:p>
            <w:pPr>
              <w:spacing w:after="0"/>
              <w:rPr>
                <w:sz w:val="1"/>
                <w:szCs w:val="1"/>
                <w:color w:val="auto"/>
              </w:rPr>
            </w:pPr>
          </w:p>
        </w:tc>
      </w:tr>
      <w:tr>
        <w:trPr>
          <w:trHeight w:val="20"/>
        </w:trPr>
        <w:tc>
          <w:tcPr>
            <w:tcW w:w="16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20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(57,492)</w:t>
            </w:r>
          </w:p>
        </w:tc>
        <w:tc>
          <w:tcPr>
            <w:tcW w:w="960" w:type="dxa"/>
            <w:vAlign w:val="bottom"/>
            <w:gridSpan w:val="2"/>
          </w:tcPr>
          <w:p>
            <w:pPr>
              <w:jc w:val="right"/>
              <w:ind w:right="829"/>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(40,826)</w:t>
            </w: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Accretion of discount on investments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right of use assets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Depreciation expense</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including ESPP</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redeemable convertible preferred stock liabilities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(364)</w:t>
            </w:r>
          </w:p>
        </w:tc>
      </w:tr>
      <w:tr>
        <w:trPr>
          <w:trHeight w:val="229"/>
        </w:trPr>
        <w:tc>
          <w:tcPr>
            <w:tcW w:w="694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(564)</w:t>
            </w:r>
          </w:p>
        </w:tc>
      </w:tr>
      <w:tr>
        <w:trPr>
          <w:trHeight w:val="230"/>
        </w:trPr>
        <w:tc>
          <w:tcPr>
            <w:tcW w:w="694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(1,834)</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29"/>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liabilities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r>
      <w:tr>
        <w:trPr>
          <w:trHeight w:val="229"/>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liabilities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740"/>
              <w:spacing w:after="0"/>
              <w:rPr>
                <w:sz w:val="20"/>
                <w:szCs w:val="20"/>
                <w:color w:val="auto"/>
              </w:rPr>
            </w:pPr>
            <w:r>
              <w:rPr>
                <w:rFonts w:ascii="Arial" w:cs="Arial" w:eastAsia="Arial" w:hAnsi="Arial"/>
                <w:sz w:val="18"/>
                <w:szCs w:val="18"/>
                <w:color w:val="auto"/>
              </w:rPr>
              <w:t>Deferred revenue from collaborations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(2,455)</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69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and cash equivalents used in operating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(52,814)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(38,013)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Activities in available-for-sale investments: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520"/>
              <w:spacing w:after="0"/>
              <w:rPr>
                <w:sz w:val="20"/>
                <w:szCs w:val="20"/>
                <w:color w:val="auto"/>
              </w:rPr>
            </w:pPr>
            <w:r>
              <w:rPr>
                <w:rFonts w:ascii="Arial" w:cs="Arial" w:eastAsia="Arial" w:hAnsi="Arial"/>
                <w:sz w:val="18"/>
                <w:szCs w:val="18"/>
                <w:color w:val="auto"/>
              </w:rPr>
              <w:t>Maturities of investments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 of short-term investments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(32,096)</w:t>
            </w: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Purchase of long-term investments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(13,183)</w:t>
            </w: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Activities in held-to-maturity investments: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500"/>
              <w:spacing w:after="0"/>
              <w:rPr>
                <w:sz w:val="20"/>
                <w:szCs w:val="20"/>
                <w:color w:val="auto"/>
              </w:rPr>
            </w:pPr>
            <w:r>
              <w:rPr>
                <w:rFonts w:ascii="Arial" w:cs="Arial" w:eastAsia="Arial" w:hAnsi="Arial"/>
                <w:sz w:val="18"/>
                <w:szCs w:val="18"/>
                <w:color w:val="auto"/>
              </w:rPr>
              <w:t>Maturities of investments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33,100</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(1,659)</w:t>
            </w:r>
          </w:p>
        </w:tc>
      </w:tr>
      <w:tr>
        <w:trPr>
          <w:trHeight w:val="223"/>
        </w:trPr>
        <w:tc>
          <w:tcPr>
            <w:tcW w:w="69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and cash equivalents provided by (used in) investing activities</w:t>
            </w:r>
          </w:p>
        </w:tc>
        <w:tc>
          <w:tcPr>
            <w:tcW w:w="7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(8,838)</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Proceeds from exercise of warrants for series A convertible preferred stock</w:t>
            </w:r>
          </w:p>
        </w:tc>
        <w:tc>
          <w:tcPr>
            <w:tcW w:w="17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gridSpan w:val="2"/>
          </w:tcPr>
          <w:p>
            <w:pPr>
              <w:jc w:val="right"/>
              <w:ind w:right="82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Series B-1 redeemable convertible preferred stock issuance cost</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(405)</w:t>
            </w: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Payments of deferred offering costs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finance lease</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r>
      <w:tr>
        <w:trPr>
          <w:trHeight w:val="229"/>
        </w:trPr>
        <w:tc>
          <w:tcPr>
            <w:tcW w:w="6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the exercise of common stock option</w:t>
            </w:r>
          </w:p>
        </w:tc>
        <w:tc>
          <w:tcPr>
            <w:tcW w:w="7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and cash equivalents provided by (used in) financing activities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1000"/>
              <w:spacing w:after="0"/>
              <w:rPr>
                <w:sz w:val="20"/>
                <w:szCs w:val="20"/>
                <w:color w:val="auto"/>
              </w:rPr>
            </w:pPr>
            <w:r>
              <w:rPr>
                <w:rFonts w:ascii="Arial" w:cs="Arial" w:eastAsia="Arial" w:hAnsi="Arial"/>
                <w:sz w:val="18"/>
                <w:szCs w:val="18"/>
                <w:color w:val="auto"/>
              </w:rPr>
              <w:t>Net decrease in cash, cash equivalents, and restricted cash</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(33,100)</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(46,872)</w:t>
            </w: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7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220,943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780" w:type="dxa"/>
            <w:vAlign w:val="bottom"/>
          </w:tcPr>
          <w:p>
            <w:pPr>
              <w:spacing w:after="0"/>
              <w:rPr>
                <w:sz w:val="19"/>
                <w:szCs w:val="19"/>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187,843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23,231</w:t>
            </w:r>
          </w:p>
        </w:tc>
        <w:tc>
          <w:tcPr>
            <w:tcW w:w="120" w:type="dxa"/>
            <w:vAlign w:val="bottom"/>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to amounts on the consolidated balance sheet: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187,650</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22,678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187,843</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23,231</w:t>
            </w:r>
          </w:p>
        </w:tc>
        <w:tc>
          <w:tcPr>
            <w:tcW w:w="12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Interest paid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noncash financing and investing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Leasehold improvement directly paid by landlord</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Mark to market adjustment for available-for-sale investments</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(66)</w:t>
            </w: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Acquisition of right of use asset through operating lease obligation</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 upon exercise of warrants</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Vesting of early exercised options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Receivable from exercise of common stock options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 in pension obligation</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Deferred offering costs in AP and accrued liabilities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637</w:t>
            </w:r>
          </w:p>
        </w:tc>
        <w:tc>
          <w:tcPr>
            <w:tcW w:w="280" w:type="dxa"/>
            <w:vAlign w:val="bottom"/>
          </w:tcPr>
          <w:p>
            <w:pPr>
              <w:spacing w:after="0"/>
              <w:rPr>
                <w:sz w:val="21"/>
                <w:szCs w:val="21"/>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ALIGOS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271780</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right="9120" w:hanging="372"/>
        <w:spacing w:after="0" w:line="453" w:lineRule="auto"/>
        <w:tabs>
          <w:tab w:leader="none" w:pos="3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Organization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188" w:lineRule="exact"/>
        <w:rPr>
          <w:sz w:val="20"/>
          <w:szCs w:val="20"/>
          <w:color w:val="auto"/>
        </w:rPr>
      </w:pPr>
    </w:p>
    <w:p>
      <w:pPr>
        <w:ind w:right="540" w:firstLine="382"/>
        <w:spacing w:after="0" w:line="277" w:lineRule="auto"/>
        <w:rPr>
          <w:sz w:val="20"/>
          <w:szCs w:val="20"/>
          <w:color w:val="auto"/>
        </w:rPr>
      </w:pPr>
      <w:r>
        <w:rPr>
          <w:rFonts w:ascii="Arial" w:cs="Arial" w:eastAsia="Arial" w:hAnsi="Arial"/>
          <w:sz w:val="18"/>
          <w:szCs w:val="18"/>
          <w:color w:val="auto"/>
        </w:rPr>
        <w:t>Aligos is a clinical-stage biopharmaceutical company developing novel therapeutics to address unmet medical needs in viral and liver diseases, including for chronic hepatitis B, coronaviruses and non-alcoholic steatohepatitis (NASH).</w:t>
      </w:r>
    </w:p>
    <w:p>
      <w:pPr>
        <w:spacing w:after="0" w:line="170" w:lineRule="exact"/>
        <w:rPr>
          <w:sz w:val="20"/>
          <w:szCs w:val="20"/>
          <w:color w:val="auto"/>
        </w:rPr>
      </w:pPr>
    </w:p>
    <w:p>
      <w:pPr>
        <w:ind w:right="80" w:firstLine="382"/>
        <w:spacing w:after="0" w:line="275" w:lineRule="auto"/>
        <w:rPr>
          <w:sz w:val="20"/>
          <w:szCs w:val="20"/>
          <w:color w:val="auto"/>
        </w:rPr>
      </w:pPr>
      <w:r>
        <w:rPr>
          <w:rFonts w:ascii="Arial" w:cs="Arial" w:eastAsia="Arial" w:hAnsi="Arial"/>
          <w:sz w:val="17"/>
          <w:szCs w:val="17"/>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80" w:firstLine="382"/>
        <w:spacing w:after="0" w:line="293" w:lineRule="auto"/>
        <w:rPr>
          <w:sz w:val="20"/>
          <w:szCs w:val="20"/>
          <w:color w:val="auto"/>
        </w:rPr>
      </w:pPr>
      <w:r>
        <w:rPr>
          <w:rFonts w:ascii="Arial" w:cs="Arial" w:eastAsia="Arial" w:hAnsi="Arial"/>
          <w:sz w:val="16"/>
          <w:szCs w:val="16"/>
          <w:color w:val="auto"/>
        </w:rPr>
        <w:t>On October 8, 2020, the Company’s board of directors approved a 1-for-9.3197 reverse stock split (the Reverse Stock Split) of the Company’s common stock and redeemable convertible preferred stock to be consummated prior to the effectiveness of the Company’s planned initial public offering (IPO).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 The Company filed an amended and restated certificate of incorporation in Delaware on October 9, 2020 that automatically effectuated the Reverse Stock Split without any further action required.</w:t>
      </w: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On October 20, 2020, the Company closed its IPO and issued 10,000,000 shares of its common stock at a public offering price of $15.00 per share for net proceeds of $135.4 million, after deducting underwriting discounts and commissions of $10.5 million and expenses of $4.1 million. In connection with the IPO, all shares of Series A redeemable convertible preferred stock (Series A), Series B-1 redeemable convertible preferred stock (Series B-1) and Series B-2 redeemable convertible preferred stock (Series B-2) converted into 19,761,870 shares of voting common stock and 3,092,338 shares of non-voting common stock. On November 5, 2020, the underwriters of the IPO partially exercised their overallotment option by purchasing an additional 1,150,000 shares from the Company, resulting in an additional $16.0 million in net proceeds, after deducting underwriting discounts and commissions of $1.2 million.</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60" w:firstLine="382"/>
        <w:spacing w:after="0" w:line="263" w:lineRule="auto"/>
        <w:rPr>
          <w:sz w:val="20"/>
          <w:szCs w:val="20"/>
          <w:color w:val="auto"/>
        </w:rPr>
      </w:pPr>
      <w:r>
        <w:rPr>
          <w:rFonts w:ascii="Arial" w:cs="Arial" w:eastAsia="Arial" w:hAnsi="Arial"/>
          <w:sz w:val="18"/>
          <w:szCs w:val="18"/>
          <w:color w:val="auto"/>
        </w:rPr>
        <w:t>The Company has incurred losses and negative cash flows from operations since its inception. As of June 30, 2021 and December 31, 2020, the Company had an accumulated deficit of $232.2 million and $174.7 million, respectively. Management expects to continue to incur additional substantial losses in the foreseeable future as a result of expanded research and development activities.</w:t>
      </w:r>
    </w:p>
    <w:p>
      <w:pPr>
        <w:spacing w:after="0" w:line="184" w:lineRule="exact"/>
        <w:rPr>
          <w:sz w:val="20"/>
          <w:szCs w:val="20"/>
          <w:color w:val="auto"/>
        </w:rPr>
      </w:pPr>
    </w:p>
    <w:p>
      <w:pPr>
        <w:ind w:right="60" w:firstLine="382"/>
        <w:spacing w:after="0" w:line="293" w:lineRule="auto"/>
        <w:rPr>
          <w:sz w:val="20"/>
          <w:szCs w:val="20"/>
          <w:color w:val="auto"/>
        </w:rPr>
      </w:pPr>
      <w:r>
        <w:rPr>
          <w:rFonts w:ascii="Arial" w:cs="Arial" w:eastAsia="Arial" w:hAnsi="Arial"/>
          <w:sz w:val="16"/>
          <w:szCs w:val="16"/>
          <w:color w:val="auto"/>
        </w:rPr>
        <w:t>As of June 30, 2021, the Company has unrestricted cash, cash equivalents and short-term investments of approximately $190.7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firstLine="382"/>
        <w:spacing w:after="0" w:line="271" w:lineRule="auto"/>
        <w:rPr>
          <w:sz w:val="20"/>
          <w:szCs w:val="20"/>
          <w:color w:val="auto"/>
        </w:rPr>
      </w:pPr>
      <w:r>
        <w:rPr>
          <w:rFonts w:ascii="Arial" w:cs="Arial" w:eastAsia="Arial" w:hAnsi="Arial"/>
          <w:sz w:val="17"/>
          <w:szCs w:val="17"/>
          <w:color w:val="auto"/>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it is expected that the Company’s existing cash, cash equivalents and short-term investments, will enable the Company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the COVID-19 pandemic and the macro-economic environment generally.</w:t>
      </w:r>
    </w:p>
    <w:p>
      <w:pPr>
        <w:spacing w:after="0" w:line="70" w:lineRule="exact"/>
        <w:rPr>
          <w:sz w:val="20"/>
          <w:szCs w:val="20"/>
          <w:color w:val="auto"/>
        </w:rPr>
      </w:pPr>
    </w:p>
    <w:p>
      <w:pPr>
        <w:ind w:right="120" w:firstLine="382"/>
        <w:spacing w:after="0" w:line="271" w:lineRule="auto"/>
        <w:rPr>
          <w:sz w:val="20"/>
          <w:szCs w:val="20"/>
          <w:color w:val="auto"/>
        </w:rPr>
      </w:pPr>
      <w:r>
        <w:rPr>
          <w:rFonts w:ascii="Arial" w:cs="Arial" w:eastAsia="Arial" w:hAnsi="Arial"/>
          <w:sz w:val="17"/>
          <w:szCs w:val="17"/>
          <w:color w:val="auto"/>
        </w:rPr>
        <w:t>The Company’s ability to raise additional funds will depend on financial, economic and other factors, many of which are beyond its control. In particular, the COVID-19 pandemic continues to rapidly evolve and has already resulted in a significant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282"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jc w:val="both"/>
        <w:ind w:right="60" w:firstLine="382"/>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a basis consistent with that used to prepare the audited annual consolidated financial statements and contemplates the continuity of operations, realization of assets and the satisfaction of liabilities and commitments in the normal course of business.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200" w:firstLine="382"/>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As a result, the Company is unable to predict the timing or amount of increased expenses or when or if the Company will be able to achieve or maintain profitability. Drug candidates currently under development will require significant additional research and development efforts, including extensive nonclinical and clinical testing and regulatory approval.</w:t>
      </w:r>
    </w:p>
    <w:p>
      <w:pPr>
        <w:spacing w:after="0" w:line="188"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Moreover, it is particularly difficult to estimate with certainty the Company’s future expenses given the dynamic nature of its business, the COVID-19 pandemic and the macro-economic environment generally.</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382"/>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(GAAP) and applicable rules and regulations of the Securities and Exchange Commission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6"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The condensed consolidated balance sheet as of December 31, 2020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requirements for interim financial statements. As such, the information included in this Quarterly Report on Form 10-Q should be read in conjunction with the audited consolidated financial statements and the related notes thereto as of and for the year ended December 31, 2020, included in the Company’s Annual Report on Form 10-K filed with the SEC on March 23, 2021.</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left="38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520" w:firstLine="382"/>
        <w:spacing w:after="0" w:line="277" w:lineRule="auto"/>
        <w:rPr>
          <w:sz w:val="20"/>
          <w:szCs w:val="20"/>
          <w:color w:val="auto"/>
        </w:rPr>
      </w:pPr>
      <w:r>
        <w:rPr>
          <w:rFonts w:ascii="Arial" w:cs="Arial" w:eastAsia="Arial" w:hAnsi="Arial"/>
          <w:sz w:val="18"/>
          <w:szCs w:val="18"/>
          <w:color w:val="auto"/>
        </w:rPr>
        <w:t>The accompanying condensed consolidated financial statements include Aligos-US and its wholly owned subsidiaries Aligos-Belgium, Aligos-Australia and Aligos-Shanghai. All intercompany balances and transactions have been eliminated.</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certain estimates and assumptions that affect the reported amounts in the condensed consolidated financial statements and accompanying notes. The Company regularly evaluates estimates and assumptions related to assets and liabilities, and disclosures of contingent assets and liabilities at the dates of the condensed consolidated financial statements and the reported amounts of expenses during the reporting period. Areas where management uses subjective judgments include but are not limited to right-of-use assets, lease obligations, impairment of long-lived assets, stock-based compensation, accrued research and development costs, pension liabilities, revenue from collaborations and deferred revenue in the accompanying condensed consolidated financial statements.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The accompanying consolidated balance sheet as of June 30, 2021, the consolidated statements of operations and comprehensive loss for the three and six months ended June 30, 2021 and 2020, the consolidated statements of redeemable convertible preferred stock and stockholders’ equity (deficit) for the three and six months ended June 30, 2021 and 2020, and the consolidated statements of cash flows for the six months ended June 30, 2021 and 2020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June 30, 2021 and the consolidated results of its operations and cash flows for the three and six months ended June 30, 2021 and 2020. The consolidated financial data and other information disclosed in these notes related to the three and six months ended June 30, 2021 and 2020 are unaudited. The consolidated results for the three and six months ended June 30, 2021 are not necessarily indicative of results to be expected for the year ending December 31, 2021, any other interim periods, or any future year or period.</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deferred offering costs until such financings are consummated, including the Company’s July 2021 follow-on offering and issuance of 4,400,000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common stock at a price to the public of $19.00 per share for net proceeds of $77.9 million, after deducting underwriting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commissions and estimated offering expenses payable by the Company (the Follow-on Offering). After consummation of the financing, these costs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as a reduction of the proceeds received from the equity financing. If a planned equity financing is abandoned, the deferred offering costs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expensed immediately as a charge to operating expenses in the condensed consolidated statements of operations and comprehensive loss. There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$737,000 and $0 in deferred offering costs recorded within other assets on the Company’s condensed consolidated balance sheets as at June 30, 2021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respectively.</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The Company’s foreign subsidiaries use the U.S. dollar as their functional currency, and they initially measure the foreign currency denominated assets and liabilities at the transaction date. Monetary assets and liabilities are then re-measured at exchange rates in effect at the end of each period, and non-monetary assets and liabilities are converted at historical rates. A re-measurement loss was recognized during the three and six months ended June 30, 2021 of $258,000 and $207,000, respectively, and a re-measurement gain was recognized during the three and six months ended June 30, 2020 of $7,000 and $52,000, respectively. This is reflected within interest and other income (expense), net on the consolidated statements of operations and comprehensive loss.</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20" w:firstLine="500"/>
        <w:spacing w:after="0" w:line="277" w:lineRule="auto"/>
        <w:rPr>
          <w:sz w:val="20"/>
          <w:szCs w:val="20"/>
          <w:color w:val="auto"/>
        </w:rPr>
      </w:pPr>
      <w:r>
        <w:rPr>
          <w:rFonts w:ascii="Arial" w:cs="Arial" w:eastAsia="Arial" w:hAnsi="Arial"/>
          <w:sz w:val="18"/>
          <w:szCs w:val="18"/>
          <w:color w:val="auto"/>
        </w:rPr>
        <w:t>The Company has determined that the Chief Executive Officer is its Chief Operating Decision Maker. The Company’s Chief Executive Officer reviews financial information presented on a consolidated basis for the purposes of assessing the performance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 w:name="page15"/>
    <w:bookmarkEnd w:id="14"/>
    <w:p>
      <w:pPr>
        <w:ind w:right="480"/>
        <w:spacing w:after="0" w:line="277" w:lineRule="auto"/>
        <w:rPr>
          <w:sz w:val="20"/>
          <w:szCs w:val="20"/>
          <w:color w:val="auto"/>
        </w:rPr>
      </w:pPr>
      <w:r>
        <w:rPr>
          <w:rFonts w:ascii="Arial" w:cs="Arial" w:eastAsia="Arial" w:hAnsi="Arial"/>
          <w:sz w:val="18"/>
          <w:szCs w:val="18"/>
          <w:color w:val="auto"/>
        </w:rPr>
        <w:t>making decisions on how to allocate resources. Accordingly, the Company has determined that it operates in a single reportable segment. No product revenue has been generated since inception.</w:t>
      </w:r>
    </w:p>
    <w:p>
      <w:pPr>
        <w:spacing w:after="0" w:line="62" w:lineRule="exact"/>
        <w:rPr>
          <w:sz w:val="20"/>
          <w:szCs w:val="20"/>
          <w:color w:val="auto"/>
        </w:rPr>
      </w:pPr>
    </w:p>
    <w:p>
      <w:pPr>
        <w:ind w:firstLine="500"/>
        <w:spacing w:after="0" w:line="223" w:lineRule="exact"/>
        <w:rPr>
          <w:sz w:val="20"/>
          <w:szCs w:val="20"/>
          <w:color w:val="auto"/>
        </w:rPr>
      </w:pPr>
      <w:r>
        <w:rPr>
          <w:rFonts w:ascii="Arial" w:cs="Arial" w:eastAsia="Arial" w:hAnsi="Arial"/>
          <w:sz w:val="18"/>
          <w:szCs w:val="18"/>
          <w:color w:val="auto"/>
        </w:rPr>
        <w:t>The Company has $5.9 million and $1.1 million of fixed assets in Aligos-US and Aligos-Belgium, respectively, as of June 30, 2021 and $6.6 million and $1.4 million of fixed assets in Aligos-US and Aligos</w:t>
      </w:r>
      <w:r>
        <w:rPr>
          <w:rFonts w:ascii="MS PGothic" w:cs="MS PGothic" w:eastAsia="MS PGothic" w:hAnsi="MS PGothic"/>
          <w:sz w:val="18"/>
          <w:szCs w:val="18"/>
          <w:color w:val="auto"/>
        </w:rPr>
        <w:t>‑</w:t>
      </w:r>
      <w:r>
        <w:rPr>
          <w:rFonts w:ascii="Arial" w:cs="Arial" w:eastAsia="Arial" w:hAnsi="Arial"/>
          <w:sz w:val="18"/>
          <w:szCs w:val="18"/>
          <w:color w:val="auto"/>
        </w:rPr>
        <w:t>Belgium, respectively as of December 31, 2020.</w:t>
      </w: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w:t>
      </w:r>
    </w:p>
    <w:p>
      <w:pPr>
        <w:spacing w:after="0" w:line="3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20" w:firstLine="500"/>
        <w:spacing w:after="0" w:line="263" w:lineRule="auto"/>
        <w:rPr>
          <w:sz w:val="20"/>
          <w:szCs w:val="20"/>
          <w:color w:val="auto"/>
        </w:rPr>
      </w:pPr>
      <w:r>
        <w:rPr>
          <w:rFonts w:ascii="Arial" w:cs="Arial" w:eastAsia="Arial" w:hAnsi="Arial"/>
          <w:sz w:val="18"/>
          <w:szCs w:val="18"/>
          <w:color w:val="auto"/>
        </w:rPr>
        <w:t>As of June 30, 2021 and December 31, 2020, the restricted cash balance was $193,000 and $560,000, respectively, and includes funds to secure the letters of credit in relation to the Company’s operating leases and deposits on rental assets (Note 6), as well as employee withholdings for the employee stock purchase plan.</w:t>
      </w:r>
    </w:p>
    <w:p>
      <w:pPr>
        <w:spacing w:after="0" w:line="33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380" w:firstLine="500"/>
        <w:spacing w:after="0" w:line="263" w:lineRule="auto"/>
        <w:rPr>
          <w:sz w:val="20"/>
          <w:szCs w:val="20"/>
          <w:color w:val="auto"/>
        </w:rPr>
      </w:pPr>
      <w:r>
        <w:rPr>
          <w:rFonts w:ascii="Arial" w:cs="Arial" w:eastAsia="Arial" w:hAnsi="Arial"/>
          <w:sz w:val="18"/>
          <w:szCs w:val="18"/>
          <w:color w:val="auto"/>
        </w:rPr>
        <w:t>The Company determines if an arrangement is a lease at the inception of the lease. Operating leases are included in operating lease right-of-use (ROU) assets and operating lease liabilities in the consolidated balance sheet. Finance leases are included in property and equipment and finance lease liabilities in the consolidated balance sheet.</w:t>
      </w:r>
    </w:p>
    <w:p>
      <w:pPr>
        <w:spacing w:after="0" w:line="184" w:lineRule="exact"/>
        <w:rPr>
          <w:sz w:val="20"/>
          <w:szCs w:val="20"/>
          <w:color w:val="auto"/>
        </w:rPr>
      </w:pPr>
    </w:p>
    <w:p>
      <w:pPr>
        <w:ind w:right="120" w:firstLine="500"/>
        <w:spacing w:after="0" w:line="291"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obligation to make lease payments arising from the lease. Operating lease ROU assets and liabilities are recognized at the lease commencement date based on the present value of lease payments over the lease term. When the Company’s leases do not provide an implicit rate, an incremental borrowing rate is used based on the information available at the commencement dates in determining the present value of lease payments. The Company uses the implicit rate when readily determinable. The operating lease ROU assets also include any lease payments made and excludes lease incentives when paid by the Company or on the Company’s behalf. The Company’s lease terms may include the period covered by options to extend or terminate the lease when it is reasonably certain that the Company will exercise that option. Lease expense for operating leases is recognized on a straight-line basis over the lease term.</w:t>
      </w:r>
    </w:p>
    <w:p>
      <w:pPr>
        <w:spacing w:after="0" w:line="166"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The Company has lease agreements with lease and non-lease components. The Company elected to not separate lease and non-lease components for all of its building leases. For vehicle leases, lease and non-lease components are accounted for separately. The Company also made an accounting policy election to recognize lease expense for leases with a term of 12 months or less on a straight-line basis over the lease term and not recognize ROU assets or lease liabilities for such leases.</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Property and equipment is stated at cost less accumulated depreciation, and is depreciated using the straight-line method over the estimated useful life of the asset, which are as follows:</w:t>
      </w:r>
    </w:p>
    <w:p>
      <w:pPr>
        <w:spacing w:after="0" w:line="185" w:lineRule="exact"/>
        <w:rPr>
          <w:sz w:val="20"/>
          <w:szCs w:val="20"/>
          <w:color w:val="auto"/>
        </w:rPr>
      </w:pPr>
    </w:p>
    <w:tbl>
      <w:tblPr>
        <w:tblLayout w:type="fixed"/>
        <w:tblInd w:w="34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2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3 years</w:t>
            </w:r>
          </w:p>
        </w:tc>
      </w:tr>
      <w:tr>
        <w:trPr>
          <w:trHeight w:val="229"/>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Computer equipment</w:t>
            </w:r>
          </w:p>
        </w:tc>
        <w:tc>
          <w:tcPr>
            <w:tcW w:w="2280" w:type="dxa"/>
            <w:vAlign w:val="bottom"/>
          </w:tcPr>
          <w:p>
            <w:pPr>
              <w:ind w:left="180"/>
              <w:spacing w:after="0"/>
              <w:rPr>
                <w:sz w:val="20"/>
                <w:szCs w:val="20"/>
                <w:color w:val="auto"/>
              </w:rPr>
            </w:pPr>
            <w:r>
              <w:rPr>
                <w:rFonts w:ascii="Arial" w:cs="Arial" w:eastAsia="Arial" w:hAnsi="Arial"/>
                <w:sz w:val="18"/>
                <w:szCs w:val="18"/>
                <w:color w:val="auto"/>
              </w:rPr>
              <w:t>3 years</w:t>
            </w:r>
          </w:p>
        </w:tc>
      </w:tr>
      <w:tr>
        <w:trPr>
          <w:trHeight w:val="215"/>
        </w:trPr>
        <w:tc>
          <w:tcPr>
            <w:tcW w:w="20" w:type="dxa"/>
            <w:vAlign w:val="bottom"/>
          </w:tcPr>
          <w:p>
            <w:pPr>
              <w:spacing w:after="0"/>
              <w:rPr>
                <w:sz w:val="18"/>
                <w:szCs w:val="18"/>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w:t>
            </w:r>
          </w:p>
        </w:tc>
        <w:tc>
          <w:tcPr>
            <w:tcW w:w="22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3-8 years</w:t>
            </w:r>
          </w:p>
        </w:tc>
      </w:tr>
      <w:tr>
        <w:trPr>
          <w:trHeight w:val="229"/>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Vehicles</w:t>
            </w:r>
          </w:p>
        </w:tc>
        <w:tc>
          <w:tcPr>
            <w:tcW w:w="2280" w:type="dxa"/>
            <w:vAlign w:val="bottom"/>
          </w:tcPr>
          <w:p>
            <w:pPr>
              <w:ind w:left="180"/>
              <w:spacing w:after="0"/>
              <w:rPr>
                <w:sz w:val="20"/>
                <w:szCs w:val="20"/>
                <w:color w:val="auto"/>
              </w:rPr>
            </w:pPr>
            <w:r>
              <w:rPr>
                <w:rFonts w:ascii="Arial" w:cs="Arial" w:eastAsia="Arial" w:hAnsi="Arial"/>
                <w:sz w:val="18"/>
                <w:szCs w:val="18"/>
                <w:color w:val="auto"/>
              </w:rPr>
              <w:t>4 years</w:t>
            </w:r>
          </w:p>
        </w:tc>
      </w:tr>
      <w:tr>
        <w:trPr>
          <w:trHeight w:val="215"/>
        </w:trPr>
        <w:tc>
          <w:tcPr>
            <w:tcW w:w="20" w:type="dxa"/>
            <w:vAlign w:val="bottom"/>
          </w:tcPr>
          <w:p>
            <w:pPr>
              <w:spacing w:after="0"/>
              <w:rPr>
                <w:sz w:val="18"/>
                <w:szCs w:val="18"/>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w w:val="98"/>
              </w:rPr>
              <w:t>Leasehold improvements</w:t>
            </w:r>
          </w:p>
        </w:tc>
        <w:tc>
          <w:tcPr>
            <w:tcW w:w="2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Shorter of the useful</w:t>
            </w:r>
          </w:p>
        </w:tc>
      </w:tr>
      <w:tr>
        <w:trPr>
          <w:trHeight w:val="230"/>
        </w:trPr>
        <w:tc>
          <w:tcPr>
            <w:tcW w:w="20" w:type="dxa"/>
            <w:vAlign w:val="bottom"/>
          </w:tcPr>
          <w:p>
            <w:pPr>
              <w:spacing w:after="0"/>
              <w:rPr>
                <w:sz w:val="20"/>
                <w:szCs w:val="20"/>
                <w:color w:val="auto"/>
              </w:rPr>
            </w:pPr>
          </w:p>
        </w:tc>
        <w:tc>
          <w:tcPr>
            <w:tcW w:w="2000" w:type="dxa"/>
            <w:vAlign w:val="bottom"/>
            <w:shd w:val="clear" w:color="auto" w:fill="CFF0FC"/>
          </w:tcPr>
          <w:p>
            <w:pPr>
              <w:spacing w:after="0"/>
              <w:rPr>
                <w:sz w:val="20"/>
                <w:szCs w:val="20"/>
                <w:color w:val="auto"/>
              </w:rPr>
            </w:pPr>
          </w:p>
        </w:tc>
        <w:tc>
          <w:tcPr>
            <w:tcW w:w="22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5"/>
              </w:rPr>
              <w:t>life or remaining lease term</w:t>
            </w:r>
          </w:p>
        </w:tc>
      </w:tr>
    </w:tbl>
    <w:p>
      <w:pPr>
        <w:spacing w:after="0" w:line="202" w:lineRule="exact"/>
        <w:rPr>
          <w:sz w:val="20"/>
          <w:szCs w:val="20"/>
          <w:color w:val="auto"/>
        </w:rPr>
      </w:pPr>
    </w:p>
    <w:p>
      <w:pPr>
        <w:ind w:right="300" w:firstLine="500"/>
        <w:spacing w:after="0" w:line="308" w:lineRule="auto"/>
        <w:rPr>
          <w:sz w:val="20"/>
          <w:szCs w:val="20"/>
          <w:color w:val="auto"/>
        </w:rPr>
      </w:pPr>
      <w:r>
        <w:rPr>
          <w:rFonts w:ascii="Arial" w:cs="Arial" w:eastAsia="Arial" w:hAnsi="Arial"/>
          <w:sz w:val="17"/>
          <w:szCs w:val="17"/>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60" w:firstLine="500"/>
        <w:spacing w:after="0" w:line="263" w:lineRule="auto"/>
        <w:rPr>
          <w:sz w:val="20"/>
          <w:szCs w:val="20"/>
          <w:color w:val="auto"/>
        </w:rPr>
      </w:pPr>
      <w:r>
        <w:rPr>
          <w:rFonts w:ascii="Arial" w:cs="Arial" w:eastAsia="Arial" w:hAnsi="Arial"/>
          <w:sz w:val="18"/>
          <w:szCs w:val="18"/>
          <w:color w:val="auto"/>
        </w:rPr>
        <w:t>The Company reviews quarterly the carrying amount of its property, equipment and intangible assets to determine whether indicators of impairment may exist which warrant adjustments to carrying values or estimated useful lives. If indications of impairment exist, projected future undiscounted cash flows associated with the asset are compared to the carrying amount 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ind w:right="440"/>
        <w:spacing w:after="0" w:line="342" w:lineRule="auto"/>
        <w:rPr>
          <w:sz w:val="20"/>
          <w:szCs w:val="20"/>
          <w:color w:val="auto"/>
        </w:rPr>
      </w:pPr>
      <w:r>
        <w:rPr>
          <w:rFonts w:ascii="Arial" w:cs="Arial" w:eastAsia="Arial" w:hAnsi="Arial"/>
          <w:sz w:val="16"/>
          <w:szCs w:val="16"/>
          <w:color w:val="auto"/>
        </w:rPr>
        <w:t>determine whether the asset’s value is recoverable. If the carrying value of the asset exceeds such projected undiscounted cash flows, the asset will be written down to its estimated fair value. No impairment charges were recorded during the three and six months ended June 30, 2021 and 2020.</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382"/>
        <w:spacing w:after="0" w:line="308" w:lineRule="auto"/>
        <w:rPr>
          <w:sz w:val="20"/>
          <w:szCs w:val="20"/>
          <w:color w:val="auto"/>
        </w:rPr>
      </w:pPr>
      <w:r>
        <w:rPr>
          <w:rFonts w:ascii="Arial" w:cs="Arial" w:eastAsia="Arial" w:hAnsi="Arial"/>
          <w:sz w:val="17"/>
          <w:szCs w:val="17"/>
          <w:color w:val="auto"/>
        </w:rPr>
        <w:t>The Company generally invests its excess cash in money market funds and investment grade short-to-intermediate-term fixed income securities. Such investments are included in cash and cash equivalents or short-term investments on the condensed consolidated Balance Sheets.</w:t>
      </w:r>
    </w:p>
    <w:p>
      <w:pPr>
        <w:spacing w:after="0" w:line="38"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The Company determines the appropriate classification of short-term securities at the time of purchase and re-evaluates such designation as of each balance sheet date. Securities are classified as held-to-maturity when the Company has the positive intent and ability to hold the securities to maturity, otherwise securities are classified as available-for sale. Held-to-maturity securities are carried at amortized cost. Available-for-sale debt securities are measured and reported at fair value using quoted prices in active markets for similar securities. Unrealized gains and losses on available-for-sale securities are reported as a separate component of stockholders’ equity. Premiums or discounts from par value are amortized to investment income over the life of the underlying investment. The cost of securities sold is determined on a specific identification basis, and realized gains and losses are included in interest and other income (expense), net within the condensed consolidated statements of operations and comprehensive loss.</w:t>
      </w:r>
    </w:p>
    <w:p>
      <w:pPr>
        <w:spacing w:after="0" w:line="166" w:lineRule="exact"/>
        <w:rPr>
          <w:sz w:val="20"/>
          <w:szCs w:val="20"/>
          <w:color w:val="auto"/>
        </w:rPr>
      </w:pPr>
    </w:p>
    <w:p>
      <w:pPr>
        <w:ind w:right="280" w:firstLine="382"/>
        <w:spacing w:after="0" w:line="257" w:lineRule="auto"/>
        <w:rPr>
          <w:sz w:val="20"/>
          <w:szCs w:val="20"/>
          <w:color w:val="auto"/>
        </w:rPr>
      </w:pPr>
      <w:r>
        <w:rPr>
          <w:rFonts w:ascii="Arial" w:cs="Arial" w:eastAsia="Arial" w:hAnsi="Arial"/>
          <w:sz w:val="18"/>
          <w:szCs w:val="18"/>
          <w:color w:val="auto"/>
        </w:rPr>
        <w:t>For both held-to-maturity and available-for-sale investments, the Company periodically reviews each individual security position that has an unrealized loss, or impairment, to determine if that impairment is other-than-temporary. If the Company believes an impairment of a security position is other than temporary, based on available quantitative and qualitative information as of the report date, the loss will be recognized as other income (expense), net, in the Company’s condensed consolidated statements of operations and a new cost basis in the investment is established. No impairment charges were recorded during the three and six months ended June 30, 2021 and 2020.</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June 30, 2021 and December 31, 2020, short-term investments consisted of U.S. Treasury securities with original maturities of less than one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60" w:firstLine="382"/>
        <w:spacing w:after="0" w:line="273"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expensed as incurred. 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17" w:lineRule="exact"/>
        <w:rPr>
          <w:sz w:val="20"/>
          <w:szCs w:val="20"/>
          <w:color w:val="auto"/>
        </w:rPr>
      </w:pPr>
    </w:p>
    <w:p>
      <w:pPr>
        <w:ind w:right="240" w:firstLine="500"/>
        <w:spacing w:after="0" w:line="259" w:lineRule="auto"/>
        <w:rPr>
          <w:sz w:val="20"/>
          <w:szCs w:val="20"/>
          <w:color w:val="auto"/>
        </w:rPr>
      </w:pPr>
      <w:r>
        <w:rPr>
          <w:rFonts w:ascii="Arial" w:cs="Arial" w:eastAsia="Arial" w:hAnsi="Arial"/>
          <w:sz w:val="18"/>
          <w:szCs w:val="18"/>
          <w:color w:val="auto"/>
        </w:rPr>
        <w:t>The Company enters into collaboration arrangements with pharmaceutical and other partners, under which the Company may grant licenses to its collaboration partners to research and develop potential drug candidates. Consideration under these contracts may include an upfront payment, development, regulatory, sales and other milestone payments. Contractual payments received for research and development activities performed are recognized on a gross basis in revenue from collaboration arrangements.</w:t>
      </w:r>
    </w:p>
    <w:p>
      <w:pPr>
        <w:spacing w:after="0" w:line="79" w:lineRule="exact"/>
        <w:rPr>
          <w:sz w:val="20"/>
          <w:szCs w:val="20"/>
          <w:color w:val="auto"/>
        </w:rPr>
      </w:pPr>
    </w:p>
    <w:p>
      <w:pPr>
        <w:jc w:val="both"/>
        <w:ind w:right="520" w:firstLine="500"/>
        <w:spacing w:after="0" w:line="286" w:lineRule="auto"/>
        <w:rPr>
          <w:sz w:val="20"/>
          <w:szCs w:val="20"/>
          <w:color w:val="auto"/>
        </w:rPr>
      </w:pPr>
      <w:r>
        <w:rPr>
          <w:rFonts w:ascii="Arial" w:cs="Arial" w:eastAsia="Arial" w:hAnsi="Arial"/>
          <w:sz w:val="17"/>
          <w:szCs w:val="17"/>
          <w:color w:val="auto"/>
        </w:rPr>
        <w:t>The Company may also perform research and development activities under the collaboration agreements where the Company may be granted licenses from its collaboration partners. Contractual payments to the other party in collaboration agreements and costs incurred by the Company are recognized on a gross basis in research and development expenses. Royalties and license payments are recorded as due.</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When the Company enters into collaboration arrangements, the Company assesses whether the arrangement falls within the scope of ASC</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based on whether the arrangement involves joint operating activities and whether both parties would be active participants and would be exposed to significant risks and rewards of the arrangement. To the extent that the arrangement falls within the scope of ASC 808, the Company assesses whether the payments between the parties fall within the scope of other accounting literature such as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w:t>
      </w:r>
    </w:p>
    <w:p>
      <w:pPr>
        <w:spacing w:after="0" w:line="85"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color w:val="auto"/>
        </w:rPr>
        <w:t>During the three and six months ended June 30, 2021 and 2020, no milestones were met and no royalties were due; therefore, the Company did not pay or expense any milestone or royalties.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ind w:left="38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80" w:firstLine="382"/>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380" w:right="14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Level 1 quoted prices), such as quoted prices in active markets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for identical or similar assets or liabilities, or other inputs that are observable or can be corroborated by observable market data.</w:t>
      </w:r>
    </w:p>
    <w:p>
      <w:pPr>
        <w:spacing w:after="0" w:line="76" w:lineRule="exact"/>
        <w:rPr>
          <w:sz w:val="20"/>
          <w:szCs w:val="20"/>
          <w:color w:val="auto"/>
        </w:rPr>
      </w:pPr>
    </w:p>
    <w:p>
      <w:pPr>
        <w:ind w:left="380" w:right="50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that are significant to determining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pricing models, discounted cash flow methodologies and similar techniques.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The Company’s stock-based awards consist of restricted stock awards, stock options and the employee stock purchase plan. For stock-based awards issued to employees and nonemployees with service-based vesting, the Company measures the estimated fair value of the stock-based awards on the date of grant and recognizes compensation expense for those awards over the requisite service period, which is generally the vesting period of the respective award. The Company has granted certain options with performance-based vesting for which expense is recognized over the explicit service period when achievement of the performance-based milestones is deemed probable. The Company uses judgement to determine whether and, if so, how many awards are deemed probable of vesting at each reporting period. The fair value of stock-based awards with non-market performance conditions is estimated on the grant date. The Company records expense for awards with service-based vesting using the straight-line method and for awards with performance conditions utilizing an accelerated attribution method. The Company accounts for forfeitures as they occur.</w:t>
      </w:r>
    </w:p>
    <w:p>
      <w:pPr>
        <w:spacing w:after="0" w:line="178" w:lineRule="exact"/>
        <w:rPr>
          <w:sz w:val="20"/>
          <w:szCs w:val="20"/>
          <w:color w:val="auto"/>
        </w:rPr>
      </w:pPr>
    </w:p>
    <w:p>
      <w:pPr>
        <w:ind w:right="400" w:firstLine="382"/>
        <w:spacing w:after="0" w:line="277" w:lineRule="auto"/>
        <w:rPr>
          <w:sz w:val="20"/>
          <w:szCs w:val="20"/>
          <w:color w:val="auto"/>
        </w:rPr>
      </w:pPr>
      <w:r>
        <w:rPr>
          <w:rFonts w:ascii="Arial" w:cs="Arial" w:eastAsia="Arial" w:hAnsi="Arial"/>
          <w:sz w:val="18"/>
          <w:szCs w:val="18"/>
          <w:color w:val="auto"/>
        </w:rPr>
        <w:t>The Company classifies stock-based compensation expense in its condensed consolidated statements of operations and comprehensive loss in the same manner in which the award recipient’s cash compensation costs are classified.</w:t>
      </w:r>
    </w:p>
    <w:p>
      <w:pPr>
        <w:spacing w:after="0" w:line="170" w:lineRule="exact"/>
        <w:rPr>
          <w:sz w:val="20"/>
          <w:szCs w:val="20"/>
          <w:color w:val="auto"/>
        </w:rPr>
      </w:pPr>
    </w:p>
    <w:p>
      <w:pPr>
        <w:ind w:right="60" w:firstLine="382"/>
        <w:spacing w:after="0" w:line="269" w:lineRule="auto"/>
        <w:rPr>
          <w:sz w:val="20"/>
          <w:szCs w:val="20"/>
          <w:color w:val="auto"/>
        </w:rPr>
      </w:pPr>
      <w:r>
        <w:rPr>
          <w:rFonts w:ascii="Arial" w:cs="Arial" w:eastAsia="Arial" w:hAnsi="Arial"/>
          <w:sz w:val="17"/>
          <w:szCs w:val="17"/>
          <w:color w:val="auto"/>
        </w:rPr>
        <w:t>The fair value of each restricted stock award is determined based on the number of shares granted and the value of the Company’s common stock on the date of grant. The fair value of each stock option award is estimated on the date of grant using the Black-Scholes option pricing model. The Black-Scholes option-pricing model requires the use of a number of assumptions including the fair value of the common stock, expected volatility, risk-free interest rate, expected dividends, and expected term of the option. The Company had been a private company prior to the IPO and lacks company-specific historical and implied fair value information. Therefore, the Board of Directors (the Board) of the Company considered numerous objective and subjective factors to determine the fair value of the Company’s common stock options at each meeting in which awards were approved. The factors considered include, but are not limited to (i) the results of contemporaneous independent third-party valuations of the Company’s common stock and the prices, rights, preferences and privileges of the Company’s redeemable convertible preferred stock relative to those of its common stock; (ii) the lack of marketability of the Company’s common stock; (iii) actual operating and financial results; (iv) current business conditions and projections; (v) the likelihood of achieving a liquidity event, such as an initial public offering or sale of the Company, given prevailing market conditions, and (vi) precedent transactions involving the Company’s shares.</w:t>
      </w:r>
    </w:p>
    <w:p>
      <w:pPr>
        <w:spacing w:after="0" w:line="182"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The Company determined the expected stock volatility using a weighted average of the historical volatility of a group of guideline companies that issued options with substantially similar terms, and expects to continue to do so until such time as the Company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78" w:lineRule="exact"/>
        <w:rPr>
          <w:sz w:val="20"/>
          <w:szCs w:val="20"/>
          <w:color w:val="auto"/>
        </w:rPr>
      </w:pPr>
    </w:p>
    <w:p>
      <w:pPr>
        <w:ind w:right="120" w:firstLine="382"/>
        <w:spacing w:after="0" w:line="277" w:lineRule="auto"/>
        <w:rPr>
          <w:sz w:val="20"/>
          <w:szCs w:val="20"/>
          <w:color w:val="auto"/>
        </w:rPr>
      </w:pPr>
      <w:r>
        <w:rPr>
          <w:rFonts w:ascii="Arial" w:cs="Arial" w:eastAsia="Arial" w:hAnsi="Arial"/>
          <w:sz w:val="18"/>
          <w:szCs w:val="18"/>
          <w:color w:val="auto"/>
        </w:rPr>
        <w:t>The fair value of the employee stock purchase plan (ESPP) is determined on the date the offering period begins using a Black-Scholes option-pricing model and similar assumptions for stock options as described above.</w:t>
      </w:r>
    </w:p>
    <w:p>
      <w:pPr>
        <w:spacing w:after="0" w:line="170" w:lineRule="exact"/>
        <w:rPr>
          <w:sz w:val="20"/>
          <w:szCs w:val="20"/>
          <w:color w:val="auto"/>
        </w:rPr>
      </w:pPr>
    </w:p>
    <w:p>
      <w:pPr>
        <w:ind w:right="100" w:firstLine="382"/>
        <w:spacing w:after="0" w:line="342" w:lineRule="auto"/>
        <w:rPr>
          <w:sz w:val="20"/>
          <w:szCs w:val="20"/>
          <w:color w:val="auto"/>
        </w:rPr>
      </w:pPr>
      <w:r>
        <w:rPr>
          <w:rFonts w:ascii="Arial" w:cs="Arial" w:eastAsia="Arial" w:hAnsi="Arial"/>
          <w:sz w:val="16"/>
          <w:szCs w:val="16"/>
          <w:color w:val="auto"/>
        </w:rPr>
        <w:t>See Note 9 for the assumptions used by the Company in determining the grant date fair value of stock-based awards granted, as well as a summary of the stock-based award activity under the Company’s stock-based compensation plan, for the six months ended June 30, 2021 and 2020.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left="3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620" w:firstLine="382"/>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24"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early exercise of stock options, unvested restricted stock subject to repurchase, warrants and convertible notes are considered to be potentially dilutive securities.</w:t>
      </w:r>
    </w:p>
    <w:p>
      <w:pPr>
        <w:spacing w:after="0" w:line="171" w:lineRule="exact"/>
        <w:rPr>
          <w:sz w:val="20"/>
          <w:szCs w:val="20"/>
          <w:color w:val="auto"/>
        </w:rPr>
      </w:pPr>
    </w:p>
    <w:p>
      <w:pPr>
        <w:ind w:right="60" w:firstLine="382"/>
        <w:spacing w:after="0" w:line="275" w:lineRule="auto"/>
        <w:rPr>
          <w:sz w:val="20"/>
          <w:szCs w:val="20"/>
          <w:color w:val="auto"/>
        </w:rPr>
      </w:pPr>
      <w:r>
        <w:rPr>
          <w:rFonts w:ascii="Arial" w:cs="Arial" w:eastAsia="Arial" w:hAnsi="Arial"/>
          <w:sz w:val="17"/>
          <w:szCs w:val="17"/>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176" w:lineRule="exact"/>
        <w:rPr>
          <w:sz w:val="20"/>
          <w:szCs w:val="20"/>
          <w:color w:val="auto"/>
        </w:rPr>
      </w:pPr>
    </w:p>
    <w:p>
      <w:pPr>
        <w:ind w:right="500" w:firstLine="382"/>
        <w:spacing w:after="0" w:line="277"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shares are not assumed to have been issued if their effect is anti-dilutive.</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310"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property and equipment as of June 30, 2021 and December 31, 2020 were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Lab equipment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4,833</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 under construction</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at cost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(4,243)</w:t>
            </w:r>
          </w:p>
        </w:tc>
      </w:tr>
      <w:tr>
        <w:trPr>
          <w:trHeight w:val="223"/>
        </w:trPr>
        <w:tc>
          <w:tcPr>
            <w:tcW w:w="53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net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42" w:lineRule="exact"/>
        <w:rPr>
          <w:sz w:val="20"/>
          <w:szCs w:val="20"/>
          <w:color w:val="auto"/>
        </w:rPr>
      </w:pPr>
    </w:p>
    <w:p>
      <w:pPr>
        <w:jc w:val="both"/>
        <w:ind w:right="180" w:firstLine="382"/>
        <w:spacing w:after="0" w:line="263" w:lineRule="auto"/>
        <w:rPr>
          <w:sz w:val="20"/>
          <w:szCs w:val="20"/>
          <w:color w:val="auto"/>
        </w:rPr>
      </w:pPr>
      <w:r>
        <w:rPr>
          <w:rFonts w:ascii="Arial" w:cs="Arial" w:eastAsia="Arial" w:hAnsi="Arial"/>
          <w:sz w:val="18"/>
          <w:szCs w:val="18"/>
          <w:color w:val="auto"/>
        </w:rPr>
        <w:t>Depreciation expense was $764,000 and $1.5 million for the three and six months ended June 30, 2021, and $680,000 and $1.3 million for the three and six months ended June 30, 2020, respectively. Finance leases are also included in property and equipment as vehicles on the condensed consolidated balance sheets (Note 6).</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8" w:name="page19"/>
    <w:bookmarkEnd w:id="18"/>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300" w:firstLine="382"/>
        <w:spacing w:after="0" w:line="277" w:lineRule="auto"/>
        <w:rPr>
          <w:sz w:val="20"/>
          <w:szCs w:val="20"/>
          <w:color w:val="auto"/>
        </w:rPr>
      </w:pPr>
      <w:r>
        <w:rPr>
          <w:rFonts w:ascii="Arial" w:cs="Arial" w:eastAsia="Arial" w:hAnsi="Arial"/>
          <w:sz w:val="18"/>
          <w:szCs w:val="18"/>
          <w:color w:val="auto"/>
        </w:rPr>
        <w:t>As of June 30, 2021 and December 31, 2020, amortized cost, gross unrealized gains and losses, and estimated fair values of total fixed-maturity securities were as follows:</w:t>
      </w:r>
    </w:p>
    <w:p>
      <w:pPr>
        <w:spacing w:after="0" w:line="270"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June 30, 2021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46"/>
        </w:trPr>
        <w:tc>
          <w:tcPr>
            <w:tcW w:w="5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gridSpan w:val="2"/>
          </w:tcPr>
          <w:p>
            <w:pPr>
              <w:ind w:left="120"/>
              <w:spacing w:after="0"/>
              <w:rPr>
                <w:sz w:val="20"/>
                <w:szCs w:val="20"/>
                <w:color w:val="auto"/>
              </w:rPr>
            </w:pPr>
            <w:r>
              <w:rPr>
                <w:rFonts w:ascii="Arial" w:cs="Arial" w:eastAsia="Arial" w:hAnsi="Arial"/>
                <w:sz w:val="18"/>
                <w:szCs w:val="18"/>
                <w:color w:val="auto"/>
              </w:rPr>
              <w:t>U.S. Treasury bonds</w:t>
            </w:r>
          </w:p>
        </w:tc>
        <w:tc>
          <w:tcPr>
            <w:tcW w:w="900" w:type="dxa"/>
            <w:vAlign w:val="bottom"/>
          </w:tcPr>
          <w:p>
            <w:pPr>
              <w:jc w:val="right"/>
              <w:spacing w:after="0"/>
              <w:rPr>
                <w:sz w:val="20"/>
                <w:szCs w:val="20"/>
                <w:color w:val="auto"/>
              </w:rPr>
            </w:pPr>
            <w:r>
              <w:rPr>
                <w:rFonts w:ascii="Arial" w:cs="Arial" w:eastAsia="Arial" w:hAnsi="Arial"/>
                <w:sz w:val="18"/>
                <w:szCs w:val="18"/>
                <w:color w:val="auto"/>
              </w:rPr>
              <w:t>3,002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Borders>
              <w:top w:val="single" w:sz="8" w:color="CFF0FC"/>
            </w:tcBorders>
            <w:shd w:val="clear" w:color="auto" w:fill="CFF0FC"/>
          </w:tcPr>
          <w:p>
            <w:pPr>
              <w:spacing w:after="0"/>
              <w:rPr>
                <w:sz w:val="19"/>
                <w:szCs w:val="19"/>
                <w:color w:val="auto"/>
              </w:rPr>
            </w:pPr>
          </w:p>
        </w:tc>
      </w:tr>
      <w:tr>
        <w:trPr>
          <w:trHeight w:val="466"/>
        </w:trPr>
        <w:tc>
          <w:tcPr>
            <w:tcW w:w="5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Held-to-maturity securities:</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gridSpan w:val="2"/>
          </w:tcPr>
          <w:p>
            <w:pPr>
              <w:ind w:left="120"/>
              <w:spacing w:after="0"/>
              <w:rPr>
                <w:sz w:val="20"/>
                <w:szCs w:val="20"/>
                <w:color w:val="auto"/>
              </w:rPr>
            </w:pPr>
            <w:r>
              <w:rPr>
                <w:rFonts w:ascii="Arial" w:cs="Arial" w:eastAsia="Arial" w:hAnsi="Arial"/>
                <w:sz w:val="18"/>
                <w:szCs w:val="18"/>
                <w:color w:val="auto"/>
              </w:rPr>
              <w:t>U.S. Treasury bonds</w:t>
            </w:r>
          </w:p>
        </w:tc>
        <w:tc>
          <w:tcPr>
            <w:tcW w:w="900" w:type="dxa"/>
            <w:vAlign w:val="bottom"/>
          </w:tcPr>
          <w:p>
            <w:pPr>
              <w:jc w:val="right"/>
              <w:spacing w:after="0"/>
              <w:rPr>
                <w:sz w:val="20"/>
                <w:szCs w:val="20"/>
                <w:color w:val="auto"/>
              </w:rPr>
            </w:pPr>
            <w:r>
              <w:rPr>
                <w:rFonts w:ascii="Arial" w:cs="Arial" w:eastAsia="Arial" w:hAnsi="Arial"/>
                <w:sz w:val="18"/>
                <w:szCs w:val="18"/>
                <w:color w:val="auto"/>
              </w:rPr>
              <w:t>10,002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gridSpan w:val="2"/>
          </w:tcPr>
          <w:p>
            <w:pPr>
              <w:ind w:left="120"/>
              <w:spacing w:after="0"/>
              <w:rPr>
                <w:sz w:val="20"/>
                <w:szCs w:val="20"/>
                <w:color w:val="auto"/>
              </w:rPr>
            </w:pPr>
            <w:r>
              <w:rPr>
                <w:rFonts w:ascii="Arial" w:cs="Arial" w:eastAsia="Arial" w:hAnsi="Arial"/>
                <w:sz w:val="18"/>
                <w:szCs w:val="18"/>
                <w:color w:val="auto"/>
              </w:rPr>
              <w:t>U.S. Treasury bonds</w:t>
            </w:r>
          </w:p>
        </w:tc>
        <w:tc>
          <w:tcPr>
            <w:tcW w:w="900" w:type="dxa"/>
            <w:vAlign w:val="bottom"/>
          </w:tcPr>
          <w:p>
            <w:pPr>
              <w:jc w:val="right"/>
              <w:spacing w:after="0"/>
              <w:rPr>
                <w:sz w:val="20"/>
                <w:szCs w:val="20"/>
                <w:color w:val="auto"/>
              </w:rPr>
            </w:pPr>
            <w:r>
              <w:rPr>
                <w:rFonts w:ascii="Arial" w:cs="Arial" w:eastAsia="Arial" w:hAnsi="Arial"/>
                <w:sz w:val="18"/>
                <w:szCs w:val="18"/>
                <w:color w:val="auto"/>
              </w:rPr>
              <w:t>13,060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23,144</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fair value are related to changes in market interest rates. The Company expects to collect all contractual principal and interest payments.</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maturities of securities held-to-maturity and available-for-sale as of June 30, 2021:</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ind w:left="820"/>
              <w:spacing w:after="0"/>
              <w:rPr>
                <w:sz w:val="20"/>
                <w:szCs w:val="20"/>
                <w:color w:val="auto"/>
              </w:rPr>
            </w:pPr>
            <w:r>
              <w:rPr>
                <w:rFonts w:ascii="Arial" w:cs="Arial" w:eastAsia="Arial" w:hAnsi="Arial"/>
                <w:sz w:val="14"/>
                <w:szCs w:val="14"/>
                <w:b w:val="1"/>
                <w:bCs w:val="1"/>
                <w:color w:val="auto"/>
              </w:rPr>
              <w:t>Available-for-sale</w:t>
            </w: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ind w:left="14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maturing in:</w:t>
            </w:r>
          </w:p>
        </w:tc>
        <w:tc>
          <w:tcPr>
            <w:tcW w:w="25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One year or less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820"/>
              <w:spacing w:after="0"/>
              <w:rPr>
                <w:sz w:val="20"/>
                <w:szCs w:val="20"/>
                <w:color w:val="auto"/>
              </w:rPr>
            </w:pPr>
            <w:r>
              <w:rPr>
                <w:rFonts w:ascii="Arial" w:cs="Arial" w:eastAsia="Arial" w:hAnsi="Arial"/>
                <w:sz w:val="18"/>
                <w:szCs w:val="18"/>
                <w:color w:val="auto"/>
                <w:w w:val="88"/>
              </w:rPr>
              <w:t>3,002</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investments</w:t>
            </w:r>
          </w:p>
        </w:tc>
        <w:tc>
          <w:tcPr>
            <w:tcW w:w="25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3,002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The Company recorded interest income of $72,000 and $178,000 for the three and six months ended June 30, 2021, and $374,000 and $752,000 for the three and six months ended June 30, 2020, respectively, as a component of interest and other income (expense), net on the Company’s condensed consolidated statement of operations and comprehensive loss.</w:t>
      </w:r>
    </w:p>
    <w:p>
      <w:pPr>
        <w:spacing w:after="0" w:line="2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tab/>
        <w:t>Accrued liabilities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liabilities consisted of the following as of:</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75"/>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18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Accrued payables</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7,274</w:t>
            </w: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Accrued compensation</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8,554</w:t>
            </w: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Liability for early exercised stock options</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569</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167</w:t>
            </w:r>
          </w:p>
        </w:tc>
      </w:tr>
      <w:tr>
        <w:trPr>
          <w:trHeight w:val="223"/>
        </w:trPr>
        <w:tc>
          <w:tcPr>
            <w:tcW w:w="4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16,564</w:t>
            </w: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20" w:firstLine="382"/>
        <w:spacing w:after="0" w:line="259" w:lineRule="auto"/>
        <w:rPr>
          <w:sz w:val="20"/>
          <w:szCs w:val="20"/>
          <w:color w:val="auto"/>
        </w:rPr>
      </w:pPr>
      <w:r>
        <w:rPr>
          <w:rFonts w:ascii="Arial" w:cs="Arial" w:eastAsia="Arial" w:hAnsi="Arial"/>
          <w:sz w:val="18"/>
          <w:szCs w:val="18"/>
          <w:color w:val="auto"/>
        </w:rPr>
        <w:t>The Company has operating and finance leases for corporate offices, research and development facilities, and certain vehicles. These leases have remaining lease terms of four to eight and a half years, some of which include options to extend the leases for five to eight years. The Company has determined that it is not reasonably certain to exercise the options under any leases. The lease of research and development facilities includes costs for utilities and common area maintenance, which have been included in the</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77" w:right="539" w:bottom="1440" w:gutter="0" w:footer="0" w:header="0"/>
        </w:sectPr>
      </w:pPr>
    </w:p>
    <w:bookmarkStart w:id="19" w:name="page20"/>
    <w:bookmarkEnd w:id="19"/>
    <w:p>
      <w:pPr>
        <w:ind w:right="180"/>
        <w:spacing w:after="0" w:line="277" w:lineRule="auto"/>
        <w:rPr>
          <w:sz w:val="20"/>
          <w:szCs w:val="20"/>
          <w:color w:val="auto"/>
        </w:rPr>
      </w:pPr>
      <w:r>
        <w:rPr>
          <w:rFonts w:ascii="Arial" w:cs="Arial" w:eastAsia="Arial" w:hAnsi="Arial"/>
          <w:sz w:val="18"/>
          <w:szCs w:val="18"/>
          <w:color w:val="auto"/>
        </w:rPr>
        <w:t>calculation of lease payments. Differences between lease payments as measured at lease inception and variations in monthly payments will be recognized as operating expenses in the period in which the obligation is incurred.</w:t>
      </w:r>
    </w:p>
    <w:p>
      <w:pPr>
        <w:spacing w:after="0" w:line="170" w:lineRule="exact"/>
        <w:rPr>
          <w:sz w:val="20"/>
          <w:szCs w:val="20"/>
          <w:color w:val="auto"/>
        </w:rPr>
      </w:pPr>
    </w:p>
    <w:p>
      <w:pPr>
        <w:jc w:val="both"/>
        <w:ind w:right="20" w:firstLine="382"/>
        <w:spacing w:after="0" w:line="259" w:lineRule="auto"/>
        <w:rPr>
          <w:sz w:val="20"/>
          <w:szCs w:val="20"/>
          <w:color w:val="auto"/>
        </w:rPr>
      </w:pPr>
      <w:r>
        <w:rPr>
          <w:rFonts w:ascii="Arial" w:cs="Arial" w:eastAsia="Arial" w:hAnsi="Arial"/>
          <w:sz w:val="18"/>
          <w:szCs w:val="18"/>
          <w:color w:val="auto"/>
        </w:rPr>
        <w:t>Leases with an initial term of 12 months or less are not recorded on the balance sheet, and the Company recognizes lease expense for these leases on a straight-line basis over the lease terms. Leases with terms greater than 12 months are included in operating lease ROU assets and operating lease liabilities in the Company’s condensed consolidated balance sheets as of June 30, 2021 and December 31, 2020. Lease expense for lease payments is recognized on a straight-line basis over the lease term.</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Maturities of lease liabilities as of June 30, 2021 and are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Finance</w:t>
            </w:r>
          </w:p>
        </w:tc>
      </w:tr>
      <w:tr>
        <w:trPr>
          <w:trHeight w:val="17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Lease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Lease</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2021, remainder</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1,369</w:t>
            </w:r>
          </w:p>
        </w:tc>
        <w:tc>
          <w:tcPr>
            <w:tcW w:w="14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(2,607)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liabilities net of current portion</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lease expense were as follows for the three and six months ended June 30, 2021 and 2020:</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28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953</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934</w:t>
            </w:r>
          </w:p>
        </w:tc>
        <w:tc>
          <w:tcPr>
            <w:tcW w:w="80" w:type="dxa"/>
            <w:vAlign w:val="bottom"/>
            <w:shd w:val="clear" w:color="auto" w:fill="CFF0FC"/>
          </w:tcPr>
          <w:p>
            <w:pPr>
              <w:spacing w:after="0"/>
              <w:rPr>
                <w:sz w:val="19"/>
                <w:szCs w:val="19"/>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8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8"/>
              </w:rPr>
              <w:t>Amortization of right-of-use assets</w:t>
            </w:r>
          </w:p>
        </w:tc>
        <w:tc>
          <w:tcPr>
            <w:tcW w:w="94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r>
      <w:tr>
        <w:trPr>
          <w:trHeight w:val="229"/>
        </w:trPr>
        <w:tc>
          <w:tcPr>
            <w:tcW w:w="28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tcPr>
          <w:p>
            <w:pPr>
              <w:spacing w:after="0"/>
              <w:rPr>
                <w:sz w:val="19"/>
                <w:szCs w:val="19"/>
                <w:color w:val="auto"/>
              </w:rPr>
            </w:pPr>
          </w:p>
        </w:tc>
      </w:tr>
      <w:tr>
        <w:trPr>
          <w:trHeight w:val="223"/>
        </w:trPr>
        <w:tc>
          <w:tcPr>
            <w:tcW w:w="2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finance lease cost</w:t>
            </w:r>
          </w:p>
        </w:tc>
        <w:tc>
          <w:tcPr>
            <w:tcW w:w="2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340" w:firstLine="382"/>
        <w:spacing w:after="0" w:line="263" w:lineRule="auto"/>
        <w:rPr>
          <w:sz w:val="20"/>
          <w:szCs w:val="20"/>
          <w:color w:val="auto"/>
        </w:rPr>
      </w:pPr>
      <w:r>
        <w:rPr>
          <w:rFonts w:ascii="Arial" w:cs="Arial" w:eastAsia="Arial" w:hAnsi="Arial"/>
          <w:sz w:val="18"/>
          <w:szCs w:val="18"/>
          <w:color w:val="auto"/>
        </w:rPr>
        <w:t>The Company made payments of $659,000 and $1.3 million during the three and six months ended June 30, 2021, respectively, and $636,000 and $1.2 million during the three and six months ended June 30, 2020, respectively, which are included as cash flow from operations on the condensed consolidated statements of cash flows.</w:t>
      </w:r>
    </w:p>
    <w:p>
      <w:pPr>
        <w:spacing w:after="0" w:line="184" w:lineRule="exact"/>
        <w:rPr>
          <w:sz w:val="20"/>
          <w:szCs w:val="20"/>
          <w:color w:val="auto"/>
        </w:rPr>
      </w:pPr>
    </w:p>
    <w:p>
      <w:pPr>
        <w:ind w:right="720" w:firstLine="382"/>
        <w:spacing w:after="0" w:line="277" w:lineRule="auto"/>
        <w:rPr>
          <w:sz w:val="20"/>
          <w:szCs w:val="20"/>
          <w:color w:val="auto"/>
        </w:rPr>
      </w:pPr>
      <w:r>
        <w:rPr>
          <w:rFonts w:ascii="Arial" w:cs="Arial" w:eastAsia="Arial" w:hAnsi="Arial"/>
          <w:sz w:val="18"/>
          <w:szCs w:val="18"/>
          <w:color w:val="auto"/>
        </w:rPr>
        <w:t>As of June 30, 2021 and December 31, 2020, $296,000 of finance lease ROU assets were presented as part of property and equipment on the condensed consolidated balance sheet with accumulated amortization of $144,000 and $76,000,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 information related to the Company’s leases was as follows as of June 30, 2021 and December 31,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6"/>
                <w:szCs w:val="16"/>
                <w:color w:val="auto"/>
              </w:rPr>
            </w:pPr>
          </w:p>
        </w:tc>
      </w:tr>
      <w:tr>
        <w:trPr>
          <w:trHeight w:val="215"/>
        </w:trPr>
        <w:tc>
          <w:tcPr>
            <w:tcW w:w="1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5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1060" w:type="dxa"/>
            <w:vAlign w:val="bottom"/>
          </w:tcPr>
          <w:p>
            <w:pPr>
              <w:ind w:left="38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170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w:t>
            </w:r>
          </w:p>
        </w:tc>
        <w:tc>
          <w:tcPr>
            <w:tcW w:w="15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w w:val="91"/>
              </w:rPr>
              <w:t>Weighted-average remaining lease term (years)</w:t>
            </w:r>
          </w:p>
        </w:tc>
        <w:tc>
          <w:tcPr>
            <w:tcW w:w="2580" w:type="dxa"/>
            <w:vAlign w:val="bottom"/>
            <w:gridSpan w:val="2"/>
          </w:tcPr>
          <w:p>
            <w:pPr>
              <w:ind w:left="2240"/>
              <w:spacing w:after="0"/>
              <w:rPr>
                <w:sz w:val="20"/>
                <w:szCs w:val="20"/>
                <w:color w:val="auto"/>
              </w:rPr>
            </w:pPr>
            <w:r>
              <w:rPr>
                <w:rFonts w:ascii="Arial" w:cs="Arial" w:eastAsia="Arial" w:hAnsi="Arial"/>
                <w:sz w:val="18"/>
                <w:szCs w:val="18"/>
                <w:color w:val="auto"/>
                <w:w w:val="91"/>
              </w:rPr>
              <w:t>5.58</w:t>
            </w:r>
          </w:p>
        </w:tc>
        <w:tc>
          <w:tcPr>
            <w:tcW w:w="300" w:type="dxa"/>
            <w:vAlign w:val="bottom"/>
          </w:tcPr>
          <w:p>
            <w:pPr>
              <w:spacing w:after="0"/>
              <w:rPr>
                <w:sz w:val="19"/>
                <w:szCs w:val="19"/>
                <w:color w:val="auto"/>
              </w:rPr>
            </w:pPr>
          </w:p>
        </w:tc>
        <w:tc>
          <w:tcPr>
            <w:tcW w:w="1060" w:type="dxa"/>
            <w:vAlign w:val="bottom"/>
          </w:tcPr>
          <w:p>
            <w:pPr>
              <w:ind w:left="720"/>
              <w:spacing w:after="0"/>
              <w:rPr>
                <w:sz w:val="20"/>
                <w:szCs w:val="20"/>
                <w:color w:val="auto"/>
              </w:rPr>
            </w:pPr>
            <w:r>
              <w:rPr>
                <w:rFonts w:ascii="Arial" w:cs="Arial" w:eastAsia="Arial" w:hAnsi="Arial"/>
                <w:sz w:val="18"/>
                <w:szCs w:val="18"/>
                <w:color w:val="auto"/>
                <w:w w:val="91"/>
              </w:rPr>
              <w:t>5.97</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Weighted-average discount rate</w:t>
            </w:r>
          </w:p>
        </w:tc>
        <w:tc>
          <w:tcPr>
            <w:tcW w:w="2880" w:type="dxa"/>
            <w:vAlign w:val="bottom"/>
            <w:gridSpan w:val="3"/>
            <w:shd w:val="clear" w:color="auto" w:fill="CFF0FC"/>
          </w:tcPr>
          <w:p>
            <w:pPr>
              <w:ind w:left="2240"/>
              <w:spacing w:after="0"/>
              <w:rPr>
                <w:sz w:val="20"/>
                <w:szCs w:val="20"/>
                <w:color w:val="auto"/>
              </w:rPr>
            </w:pPr>
            <w:r>
              <w:rPr>
                <w:rFonts w:ascii="Arial" w:cs="Arial" w:eastAsia="Arial" w:hAnsi="Arial"/>
                <w:sz w:val="18"/>
                <w:szCs w:val="18"/>
                <w:color w:val="auto"/>
              </w:rPr>
              <w:t>9.38%</w:t>
            </w:r>
          </w:p>
        </w:tc>
        <w:tc>
          <w:tcPr>
            <w:tcW w:w="12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7"/>
              </w:rPr>
              <w:t>9.35%</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Finance Lease:</w:t>
            </w:r>
          </w:p>
        </w:tc>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Weighted-average remaining lease term (years)</w:t>
            </w:r>
          </w:p>
        </w:tc>
        <w:tc>
          <w:tcPr>
            <w:tcW w:w="2580" w:type="dxa"/>
            <w:vAlign w:val="bottom"/>
            <w:gridSpan w:val="2"/>
            <w:shd w:val="clear" w:color="auto" w:fill="CFF0FC"/>
          </w:tcPr>
          <w:p>
            <w:pPr>
              <w:ind w:left="2240"/>
              <w:spacing w:after="0"/>
              <w:rPr>
                <w:sz w:val="20"/>
                <w:szCs w:val="20"/>
                <w:color w:val="auto"/>
              </w:rPr>
            </w:pPr>
            <w:r>
              <w:rPr>
                <w:rFonts w:ascii="Arial" w:cs="Arial" w:eastAsia="Arial" w:hAnsi="Arial"/>
                <w:sz w:val="18"/>
                <w:szCs w:val="18"/>
                <w:color w:val="auto"/>
                <w:w w:val="91"/>
              </w:rPr>
              <w:t>2.20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1"/>
              </w:rPr>
              <w:t>2.68</w:t>
            </w:r>
          </w:p>
        </w:tc>
        <w:tc>
          <w:tcPr>
            <w:tcW w:w="1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Weighted-average discount rate</w:t>
            </w:r>
          </w:p>
        </w:tc>
        <w:tc>
          <w:tcPr>
            <w:tcW w:w="2880" w:type="dxa"/>
            <w:vAlign w:val="bottom"/>
            <w:gridSpan w:val="3"/>
          </w:tcPr>
          <w:p>
            <w:pPr>
              <w:ind w:left="2240"/>
              <w:spacing w:after="0"/>
              <w:rPr>
                <w:sz w:val="20"/>
                <w:szCs w:val="20"/>
                <w:color w:val="auto"/>
              </w:rPr>
            </w:pPr>
            <w:r>
              <w:rPr>
                <w:rFonts w:ascii="Arial" w:cs="Arial" w:eastAsia="Arial" w:hAnsi="Arial"/>
                <w:sz w:val="18"/>
                <w:szCs w:val="18"/>
                <w:color w:val="auto"/>
              </w:rPr>
              <w:t>3.12%</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97"/>
              </w:rPr>
              <w:t>3.15%</w:t>
            </w:r>
          </w:p>
        </w:tc>
        <w:tc>
          <w:tcPr>
            <w:tcW w:w="1680" w:type="dxa"/>
            <w:vAlign w:val="bottom"/>
          </w:tcPr>
          <w:p>
            <w:pPr>
              <w:spacing w:after="0"/>
              <w:rPr>
                <w:sz w:val="20"/>
                <w:szCs w:val="20"/>
                <w:color w:val="auto"/>
              </w:rPr>
            </w:pPr>
          </w:p>
        </w:tc>
      </w:tr>
      <w:tr>
        <w:trPr>
          <w:trHeight w:val="647"/>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00" w:type="dxa"/>
            <w:vAlign w:val="bottom"/>
          </w:tcPr>
          <w:p>
            <w:pPr>
              <w:jc w:val="right"/>
              <w:ind w:right="1133"/>
              <w:spacing w:after="0"/>
              <w:rPr>
                <w:sz w:val="20"/>
                <w:szCs w:val="20"/>
                <w:color w:val="auto"/>
              </w:rPr>
            </w:pPr>
            <w:r>
              <w:rPr>
                <w:rFonts w:ascii="Arial" w:cs="Arial" w:eastAsia="Arial" w:hAnsi="Arial"/>
                <w:sz w:val="18"/>
                <w:szCs w:val="18"/>
                <w:color w:val="auto"/>
              </w:rPr>
              <w:t>15</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left="380" w:right="5200" w:hanging="372"/>
        <w:spacing w:after="0" w:line="378" w:lineRule="auto"/>
        <w:tabs>
          <w:tab w:leader="none" w:pos="3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 liabilities and redeemable convertible preferred stock liability </w:t>
      </w:r>
      <w:r>
        <w:rPr>
          <w:rFonts w:ascii="Arial" w:cs="Arial" w:eastAsia="Arial" w:hAnsi="Arial"/>
          <w:sz w:val="18"/>
          <w:szCs w:val="18"/>
          <w:b w:val="1"/>
          <w:bCs w:val="1"/>
          <w:i w:val="1"/>
          <w:iCs w:val="1"/>
          <w:color w:val="auto"/>
        </w:rPr>
        <w:t>Warrants</w:t>
      </w:r>
    </w:p>
    <w:p>
      <w:pPr>
        <w:ind w:right="60" w:firstLine="382"/>
        <w:spacing w:after="0" w:line="263" w:lineRule="auto"/>
        <w:rPr>
          <w:sz w:val="20"/>
          <w:szCs w:val="20"/>
          <w:color w:val="auto"/>
        </w:rPr>
      </w:pPr>
      <w:r>
        <w:rPr>
          <w:rFonts w:ascii="Arial" w:cs="Arial" w:eastAsia="Arial" w:hAnsi="Arial"/>
          <w:sz w:val="18"/>
          <w:szCs w:val="18"/>
          <w:color w:val="auto"/>
        </w:rPr>
        <w:t>In connection with the issuance of certain notes, lenders were issued Warrants to purchase 134,112 shares of Series A. The Warrants have a coverage percentage of 25% of the principal amount of the notes and have a ten-year expiration date from the applicable closing date of April 20, 2018 or June 6, 2018.</w:t>
      </w:r>
    </w:p>
    <w:p>
      <w:pPr>
        <w:spacing w:after="0" w:line="184" w:lineRule="exact"/>
        <w:rPr>
          <w:sz w:val="20"/>
          <w:szCs w:val="20"/>
          <w:color w:val="auto"/>
        </w:rPr>
      </w:pPr>
    </w:p>
    <w:p>
      <w:pPr>
        <w:ind w:right="100" w:firstLine="382"/>
        <w:spacing w:after="0" w:line="308" w:lineRule="auto"/>
        <w:rPr>
          <w:sz w:val="20"/>
          <w:szCs w:val="20"/>
          <w:color w:val="auto"/>
        </w:rPr>
      </w:pPr>
      <w:r>
        <w:rPr>
          <w:rFonts w:ascii="Arial" w:cs="Arial" w:eastAsia="Arial" w:hAnsi="Arial"/>
          <w:sz w:val="18"/>
          <w:szCs w:val="18"/>
          <w:color w:val="auto"/>
        </w:rPr>
        <w:t>The underlying shares issuable upon the exercise of the Warrants were eligible to be exercised into the next round of equity financing. The Warrants became exercisable into shares of Series A for an exercise price of $9.32 per share.</w:t>
      </w:r>
    </w:p>
    <w:p>
      <w:pPr>
        <w:spacing w:after="0" w:line="144" w:lineRule="exact"/>
        <w:rPr>
          <w:sz w:val="20"/>
          <w:szCs w:val="20"/>
          <w:color w:val="auto"/>
        </w:rPr>
      </w:pPr>
    </w:p>
    <w:p>
      <w:pPr>
        <w:ind w:right="40" w:firstLine="382"/>
        <w:spacing w:after="0" w:line="290" w:lineRule="auto"/>
        <w:rPr>
          <w:sz w:val="20"/>
          <w:szCs w:val="20"/>
          <w:color w:val="auto"/>
        </w:rPr>
      </w:pPr>
      <w:r>
        <w:rPr>
          <w:rFonts w:ascii="Arial" w:cs="Arial" w:eastAsia="Arial" w:hAnsi="Arial"/>
          <w:sz w:val="17"/>
          <w:szCs w:val="17"/>
          <w:color w:val="auto"/>
        </w:rPr>
        <w:t>The Company recorded the Warrants initially at fair value (Note 10) as derivative liabilities on the consolidated balance sheet with the value being allocated to the notes as a debt discount. The fair value of the Warrants upon issuance on April 20, 2018 and June 6, 2018, was $0.7 million and $238,000, respectively. As of June 30, 2021 and December 31, 2020, due to the IPO in October 2020, all outstanding warrants were automatically exercised for the issuance of Common Stock, and upon that exercise, such warrants were no longer outstanding.</w:t>
      </w:r>
    </w:p>
    <w:p>
      <w:pPr>
        <w:spacing w:after="0" w:line="189" w:lineRule="exact"/>
        <w:rPr>
          <w:sz w:val="20"/>
          <w:szCs w:val="20"/>
          <w:color w:val="auto"/>
        </w:rPr>
      </w:pPr>
    </w:p>
    <w:p>
      <w:pPr>
        <w:jc w:val="both"/>
        <w:ind w:right="180" w:firstLine="436"/>
        <w:spacing w:after="0" w:line="311" w:lineRule="auto"/>
        <w:rPr>
          <w:sz w:val="20"/>
          <w:szCs w:val="20"/>
          <w:color w:val="auto"/>
        </w:rPr>
      </w:pPr>
      <w:r>
        <w:rPr>
          <w:rFonts w:ascii="Arial" w:cs="Arial" w:eastAsia="Arial" w:hAnsi="Arial"/>
          <w:sz w:val="16"/>
          <w:szCs w:val="16"/>
          <w:color w:val="auto"/>
        </w:rPr>
        <w:t>As Series A contained a conditional obligation for the Company to repurchase the shares for cash consideration, the Warrants were exercised as of the IPO date, with changes in fair value being recorded on the consolidated statements of operations and comprehensive loss. The Company recorded a change in fair value of derivative liabilities of $76,000 and $56,000 for the three and six months ended June 30, 2020, respectively.</w:t>
      </w:r>
    </w:p>
    <w:p>
      <w:pPr>
        <w:spacing w:after="0" w:line="25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Redeemable convertible preferred stock liability</w:t>
      </w:r>
    </w:p>
    <w:p>
      <w:pPr>
        <w:spacing w:after="0" w:line="225" w:lineRule="exact"/>
        <w:rPr>
          <w:sz w:val="20"/>
          <w:szCs w:val="20"/>
          <w:color w:val="auto"/>
        </w:rPr>
      </w:pPr>
    </w:p>
    <w:p>
      <w:pPr>
        <w:ind w:firstLine="382"/>
        <w:spacing w:after="0" w:line="295" w:lineRule="auto"/>
        <w:rPr>
          <w:sz w:val="20"/>
          <w:szCs w:val="20"/>
          <w:color w:val="auto"/>
        </w:rPr>
      </w:pPr>
      <w:r>
        <w:rPr>
          <w:rFonts w:ascii="Arial" w:cs="Arial" w:eastAsia="Arial" w:hAnsi="Arial"/>
          <w:sz w:val="16"/>
          <w:szCs w:val="16"/>
          <w:color w:val="auto"/>
        </w:rPr>
        <w:t xml:space="preserve">In connection with the issuance of shares of Series B-1 (Note 8), the Series B-1 preferred stockholders committed to purchase and the Company committed to sell 3,569,630 shares of Series B-2 at a price of $11.20563 per share in a subsequent closing, contingent upon the achievement of certain developmental milestones or a receipt of a waiver of achievement of the milestones. The Redeemable Convertible Preferred Stock Liability is considered a freestanding instrument that qualifies as a liability under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 the Company is committed to issue an instrument that ultimately may require a transfer of assets. The liability is accounted for at fair value and re-measured at each reporting date (Note 10). On the date of the initial closing, the Company recorded the Redeemable Convertible Preferred Stock Liability at a fair value of $3.2 million. As of June 30, 2021 and December 31, 2020, all of the Series B-2 shares were issued and then, as a result of the IPO, converted to shares of common stock. The Company recorded a change in fair value of derivative liabilities of $198,000 and $364,000 for the three and six months ended June 30, 2020, respectively.</w:t>
      </w:r>
    </w:p>
    <w:p>
      <w:pPr>
        <w:spacing w:after="0" w:line="266" w:lineRule="exact"/>
        <w:rPr>
          <w:sz w:val="20"/>
          <w:szCs w:val="20"/>
          <w:color w:val="auto"/>
        </w:rPr>
      </w:pPr>
    </w:p>
    <w:p>
      <w:pPr>
        <w:ind w:left="380" w:right="9660" w:hanging="372"/>
        <w:spacing w:after="0" w:line="453" w:lineRule="auto"/>
        <w:tabs>
          <w:tab w:leader="none" w:pos="376"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b w:val="1"/>
          <w:bCs w:val="1"/>
          <w:i w:val="1"/>
          <w:iCs w:val="1"/>
          <w:color w:val="auto"/>
        </w:rPr>
        <w:t>Common stock</w:t>
      </w:r>
    </w:p>
    <w:p>
      <w:pPr>
        <w:spacing w:after="0" w:line="1"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On October 20, 2020, the certificate of incorporation was amended to increase the total shares of Common Stock authorized for issuance to 320,000,000 and decrease the total shares of preferred stock authorized for issuance to 10,000,000 with a par value of $0.0001 per share. 300,000,000 shares of the Common Stock were designated as “Voting Common Stock” and 20,000,000 shares of the Common Stock were designated as “Non-Voting Common Stock”.</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holders of shares of Common Stock are entitled to one vote for each share of Common Stock at all meetings of stockholders.</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August 16, 2018, the Company entered into the Series A Preferred Stock Purchase Agreement for the purchase and sale of Series A for $9.32 per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 The Company received $75.0 million in cash proceeds from the initial purchasers. On September 19, 2018, the Company received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in cash proceeds from subsequent purchasers. Additionally, on the initial closing date, $5.6 million in convertible notes plus accrued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into shares of Series A and the notes were subsequently cancelled. The Warrants associated with the convertible notes became exercisable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Series A. Each share of Series A is convertible into Common Stock on a one-for-one basis. In connection with the issuance of Series A,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incurred $194,000 in issuance costs which have offset amounts reported as temporary equity as of December 31, 2019.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in connection with the Company’s IPO, all shares of Series A converted into Common Stock.</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02" w:right="419" w:bottom="1440" w:gutter="0" w:footer="0" w:header="0"/>
        </w:sectPr>
      </w:pPr>
    </w:p>
    <w:bookmarkStart w:id="21" w:name="page22"/>
    <w:bookmarkEnd w:id="21"/>
    <w:p>
      <w:pPr>
        <w:ind w:firstLine="386"/>
        <w:spacing w:after="0" w:line="272" w:lineRule="auto"/>
        <w:rPr>
          <w:sz w:val="20"/>
          <w:szCs w:val="20"/>
          <w:color w:val="auto"/>
        </w:rPr>
      </w:pPr>
      <w:r>
        <w:rPr>
          <w:rFonts w:ascii="Arial" w:cs="Arial" w:eastAsia="Arial" w:hAnsi="Arial"/>
          <w:sz w:val="17"/>
          <w:szCs w:val="17"/>
          <w:color w:val="auto"/>
        </w:rPr>
        <w:t>On December 23, 2019, the Company entered into the Series B-1 and Series B-2 Preferred Stock Purchase Agreement (the Series B Purchase Agreement), pursuant to which the investors committed to invest an aggregate amount of up to $125.0 million for the issuance and sale of shares of Series B-1 and Series B-2 (collectively, the Series B), at a price of $10.18690 and $11.20563 per share, respectively. The Company issued 8,344,034 shares of Series B-1 for cash proceeds of $85.0 million at the initial closing. The investors also committed to purchase and the Company committed to sell 3,569,630 shares of Series B-2 in a subsequent closing (the Second Closing), contingent upon achievement by the Company of certain development milestones or a receipt of a waiver of achievement of the milestones. In connection with the issuance of Series B-1, the Company incurred $442,000 in issuance costs which have offset amounts reported as temporary equity as of December 31, 2019.</w:t>
      </w:r>
    </w:p>
    <w:p>
      <w:pPr>
        <w:spacing w:after="0" w:line="177"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Prior to the IPO, the Company issued 3,569,630 shares of Series B-2, which upon the closing of the IPO converted into common stock. In connection with the Company’s IPO, all shares of Series B-1 converted into common stock. As of June 30, 2021, there was 10,000,000 shares of preferred stock authorized and no preferred stock issued.</w:t>
      </w:r>
    </w:p>
    <w:p>
      <w:pPr>
        <w:spacing w:after="0" w:line="288" w:lineRule="exact"/>
        <w:rPr>
          <w:sz w:val="20"/>
          <w:szCs w:val="20"/>
          <w:color w:val="auto"/>
        </w:rPr>
      </w:pPr>
    </w:p>
    <w:p>
      <w:pPr>
        <w:ind w:left="380" w:right="8780" w:hanging="372"/>
        <w:spacing w:after="0" w:line="528" w:lineRule="auto"/>
        <w:tabs>
          <w:tab w:leader="none" w:pos="376"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options</w:t>
      </w:r>
    </w:p>
    <w:p>
      <w:pPr>
        <w:spacing w:after="0" w:line="1" w:lineRule="exact"/>
        <w:rPr>
          <w:sz w:val="20"/>
          <w:szCs w:val="20"/>
          <w:color w:val="auto"/>
        </w:rPr>
      </w:pPr>
    </w:p>
    <w:p>
      <w:pPr>
        <w:ind w:right="200" w:firstLine="382"/>
        <w:spacing w:after="0" w:line="269" w:lineRule="auto"/>
        <w:rPr>
          <w:sz w:val="20"/>
          <w:szCs w:val="20"/>
          <w:color w:val="auto"/>
        </w:rPr>
      </w:pPr>
      <w:r>
        <w:rPr>
          <w:rFonts w:ascii="Arial" w:cs="Arial" w:eastAsia="Arial" w:hAnsi="Arial"/>
          <w:sz w:val="18"/>
          <w:szCs w:val="18"/>
          <w:color w:val="auto"/>
        </w:rPr>
        <w:t>During the three and six months ended June 30, 2021, the Company’s stock option compensation expense was approximately $3.1 million and $5.8 million. During the three and six months ended June 30, 2020, the Company’s stock option compensation expense was approximately $237,000 and $478,000. There was no recognized tax benefit in either of the periods. As of June 30, 2021, unamortized expense balance was $37.2 million, to be amortized over a weighted average period of 2.97 years.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 activity during the six months ended June 30, 2021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subject</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to 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term (years)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5,488,148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9.57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236,100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26.06</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(81,013)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(84,649)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12.36</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5,558,586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9.09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47,137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240" w:type="dxa"/>
            <w:vAlign w:val="bottom"/>
          </w:tcPr>
          <w:p>
            <w:pPr>
              <w:spacing w:after="0"/>
              <w:rPr>
                <w:sz w:val="20"/>
                <w:szCs w:val="20"/>
                <w:color w:val="auto"/>
              </w:rPr>
            </w:pPr>
            <w:r>
              <w:rPr>
                <w:rFonts w:ascii="Arial" w:cs="Arial" w:eastAsia="Arial" w:hAnsi="Arial"/>
                <w:sz w:val="18"/>
                <w:szCs w:val="18"/>
                <w:color w:val="auto"/>
              </w:rPr>
              <w:t>Options vested and expected to vest as of June 30, 2021</w:t>
            </w:r>
          </w:p>
        </w:tc>
        <w:tc>
          <w:tcPr>
            <w:tcW w:w="1020" w:type="dxa"/>
            <w:vAlign w:val="bottom"/>
          </w:tcPr>
          <w:p>
            <w:pPr>
              <w:jc w:val="right"/>
              <w:spacing w:after="0"/>
              <w:rPr>
                <w:sz w:val="20"/>
                <w:szCs w:val="20"/>
                <w:color w:val="auto"/>
              </w:rPr>
            </w:pPr>
            <w:r>
              <w:rPr>
                <w:rFonts w:ascii="Arial" w:cs="Arial" w:eastAsia="Arial" w:hAnsi="Arial"/>
                <w:sz w:val="18"/>
                <w:szCs w:val="18"/>
                <w:color w:val="auto"/>
              </w:rPr>
              <w:t>5,508,442</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exercisable as of June 30, 2021</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1,089,387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The weighted-average grant date fair value of options granted was $17.70 and $17.61 per share during the three and six months ended June 30, 2021.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2" w:name="page23"/>
    <w:bookmarkEnd w:id="22"/>
    <w:p>
      <w:pPr>
        <w:ind w:left="38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firstLine="382"/>
        <w:spacing w:after="0" w:line="272" w:lineRule="auto"/>
        <w:rPr>
          <w:sz w:val="20"/>
          <w:szCs w:val="20"/>
          <w:color w:val="auto"/>
        </w:rPr>
      </w:pPr>
      <w:r>
        <w:rPr>
          <w:rFonts w:ascii="Arial" w:cs="Arial" w:eastAsia="Arial" w:hAnsi="Arial"/>
          <w:sz w:val="18"/>
          <w:szCs w:val="18"/>
          <w:color w:val="auto"/>
        </w:rPr>
        <w:t>During the three and six months ended June 30, 2021, the Company recorded a total stock-based compensation expense related to the restricted stock awards of $89,000 and $179,000, respectively. During the three and six months ended June 30, 2020, the Company recorded a total stock-based compensation expense related to the restricted stock awards of $90,000 and $180,000, respectively. As of June 30, 2021, unrecognized stock-based compensation expense related to outstanding unvested shares of restricted stock that are expected to vest were approximately $272,000, expected to be recognized over a weighted-average period of 0.8 years.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Company’s restricted common stock activity for the six months ended June 30,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 Awards</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January 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408,411</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20"/>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Restricted stock awards granted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 vested</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(183,694)</w:t>
            </w:r>
          </w:p>
        </w:tc>
        <w:tc>
          <w:tcPr>
            <w:tcW w:w="114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0.98</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Issued and unvested as of June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224,717</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180" w:firstLine="382"/>
        <w:spacing w:after="0" w:line="301" w:lineRule="auto"/>
        <w:rPr>
          <w:sz w:val="20"/>
          <w:szCs w:val="20"/>
          <w:color w:val="auto"/>
        </w:rPr>
      </w:pPr>
      <w:r>
        <w:rPr>
          <w:rFonts w:ascii="Arial" w:cs="Arial" w:eastAsia="Arial" w:hAnsi="Arial"/>
          <w:sz w:val="16"/>
          <w:szCs w:val="16"/>
          <w:color w:val="auto"/>
        </w:rPr>
        <w:t>During the six months ended June 30, 2021, the Company issued 262,982 shares of common stock, upon exercise of unvested stock options or purchases for unvested restricted stock awards. As of June 30, 2021 and December 31, 2020, there were 280,195 and 396,522 shares of Common Stock held by employees subject to repurchase at an aggregate price of $0.4 million and $0.6 million, respectively. A corresponding liability was recorded and included in accrued expenses on the condensed consolidated balance sheet as of June 30, 2021 and December 31, 2020, respectively.</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36" w:lineRule="exact"/>
        <w:rPr>
          <w:sz w:val="20"/>
          <w:szCs w:val="20"/>
          <w:color w:val="auto"/>
        </w:rPr>
      </w:pPr>
    </w:p>
    <w:p>
      <w:pPr>
        <w:ind w:right="140" w:firstLine="382"/>
        <w:spacing w:after="0" w:line="342" w:lineRule="auto"/>
        <w:rPr>
          <w:sz w:val="20"/>
          <w:szCs w:val="20"/>
          <w:color w:val="auto"/>
        </w:rPr>
      </w:pPr>
      <w:r>
        <w:rPr>
          <w:rFonts w:ascii="Arial" w:cs="Arial" w:eastAsia="Arial" w:hAnsi="Arial"/>
          <w:sz w:val="16"/>
          <w:szCs w:val="16"/>
          <w:color w:val="auto"/>
        </w:rPr>
        <w:t>During the three and six months ended June 30, 2021, the Company recorded a total stock-based compensation expense of $240,000 and $240,000, respectively, related to the employee stock purchase plan. No purchase of common stock had been made by the Company as of June 30, 2021.</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Stock-based compensation expense was allocated as follows for the three and six months ended June 30, 2021 and 2020:</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r>
      <w:tr>
        <w:trPr>
          <w:trHeight w:val="215"/>
        </w:trPr>
        <w:tc>
          <w:tcPr>
            <w:tcW w:w="2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178</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r>
      <w:tr>
        <w:trPr>
          <w:trHeight w:val="230"/>
        </w:trPr>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149</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80" w:type="dxa"/>
            <w:vAlign w:val="bottom"/>
            <w:tcBorders>
              <w:bottom w:val="single" w:sz="8" w:color="CFF0FC"/>
            </w:tcBorders>
          </w:tcPr>
          <w:p>
            <w:pPr>
              <w:spacing w:after="0"/>
              <w:rPr>
                <w:sz w:val="19"/>
                <w:szCs w:val="19"/>
                <w:color w:val="auto"/>
              </w:rPr>
            </w:pPr>
          </w:p>
        </w:tc>
      </w:tr>
      <w:tr>
        <w:trPr>
          <w:trHeight w:val="223"/>
        </w:trPr>
        <w:tc>
          <w:tcPr>
            <w:tcW w:w="2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1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327</w:t>
            </w:r>
          </w:p>
        </w:tc>
        <w:tc>
          <w:tcPr>
            <w:tcW w:w="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23" w:name="page24"/>
    <w:bookmarkEnd w:id="23"/>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tables present the fair value of the Company’s financial instruments that are measured or disclosed at fair value on a recurring basis:</w:t>
      </w:r>
    </w:p>
    <w:p>
      <w:pPr>
        <w:spacing w:after="0" w:line="253"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Fair Value Measurements</w:t>
      </w:r>
    </w:p>
    <w:p>
      <w:pPr>
        <w:jc w:val="center"/>
        <w:ind w:left="7040"/>
        <w:spacing w:after="0" w:line="236" w:lineRule="auto"/>
        <w:rPr>
          <w:sz w:val="20"/>
          <w:szCs w:val="20"/>
          <w:color w:val="auto"/>
        </w:rPr>
      </w:pPr>
      <w:r>
        <w:rPr>
          <w:rFonts w:ascii="Arial" w:cs="Arial" w:eastAsia="Arial" w:hAnsi="Arial"/>
          <w:sz w:val="14"/>
          <w:szCs w:val="14"/>
          <w:b w:val="1"/>
          <w:bCs w:val="1"/>
          <w:color w:val="auto"/>
        </w:rPr>
        <w:t>as of June 30, 2021</w:t>
      </w:r>
    </w:p>
    <w:tbl>
      <w:tblPr>
        <w:tblLayout w:type="fixed"/>
        <w:tblInd w:w="0" w:type="dxa"/>
        <w:tblCellMar>
          <w:top w:w="0" w:type="dxa"/>
          <w:left w:w="0" w:type="dxa"/>
          <w:bottom w:w="0" w:type="dxa"/>
          <w:right w:w="0" w:type="dxa"/>
        </w:tblCellMar>
      </w:tblPr>
      <w:tr>
        <w:trPr>
          <w:trHeight w:val="155"/>
        </w:trPr>
        <w:tc>
          <w:tcPr>
            <w:tcW w:w="4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2"/>
              </w:rPr>
              <w:t>Level 2</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187,650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Treasury bonds</w:t>
            </w:r>
          </w:p>
        </w:tc>
        <w:tc>
          <w:tcPr>
            <w:tcW w:w="2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4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190,653</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9"/>
        </w:trPr>
        <w:tc>
          <w:tcPr>
            <w:tcW w:w="4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44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31, 2020</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30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220,383</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Treasury bonds</w:t>
            </w:r>
          </w:p>
        </w:tc>
        <w:tc>
          <w:tcPr>
            <w:tcW w:w="2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23,144</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4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243,527</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380" w:right="7660" w:hanging="372"/>
        <w:spacing w:after="0" w:line="453" w:lineRule="auto"/>
        <w:tabs>
          <w:tab w:leader="none" w:pos="376"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License and collaboration agreements </w:t>
      </w:r>
      <w:r>
        <w:rPr>
          <w:rFonts w:ascii="Arial" w:cs="Arial" w:eastAsia="Arial" w:hAnsi="Arial"/>
          <w:sz w:val="15"/>
          <w:szCs w:val="15"/>
          <w:b w:val="1"/>
          <w:bCs w:val="1"/>
          <w:i w:val="1"/>
          <w:iCs w:val="1"/>
          <w:color w:val="auto"/>
        </w:rPr>
        <w:t>Agreement with Emory University (Emory)</w:t>
      </w:r>
    </w:p>
    <w:p>
      <w:pPr>
        <w:spacing w:after="0" w:line="1" w:lineRule="exact"/>
        <w:rPr>
          <w:sz w:val="20"/>
          <w:szCs w:val="20"/>
          <w:color w:val="auto"/>
        </w:rPr>
      </w:pPr>
    </w:p>
    <w:p>
      <w:pPr>
        <w:ind w:right="20" w:firstLine="500"/>
        <w:spacing w:after="0" w:line="269" w:lineRule="auto"/>
        <w:rPr>
          <w:sz w:val="20"/>
          <w:szCs w:val="20"/>
          <w:color w:val="auto"/>
        </w:rPr>
      </w:pPr>
      <w:r>
        <w:rPr>
          <w:rFonts w:ascii="Arial" w:cs="Arial" w:eastAsia="Arial" w:hAnsi="Arial"/>
          <w:sz w:val="17"/>
          <w:szCs w:val="17"/>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Beginning in June 2022, the license to such patents will become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179" w:lineRule="exact"/>
        <w:rPr>
          <w:sz w:val="20"/>
          <w:szCs w:val="20"/>
          <w:color w:val="auto"/>
        </w:rPr>
      </w:pPr>
    </w:p>
    <w:p>
      <w:pPr>
        <w:ind w:firstLine="500"/>
        <w:spacing w:after="0" w:line="263" w:lineRule="auto"/>
        <w:rPr>
          <w:sz w:val="20"/>
          <w:szCs w:val="20"/>
          <w:color w:val="auto"/>
        </w:rPr>
      </w:pPr>
      <w:r>
        <w:rPr>
          <w:rFonts w:ascii="Arial" w:cs="Arial" w:eastAsia="Arial" w:hAnsi="Arial"/>
          <w:sz w:val="18"/>
          <w:szCs w:val="18"/>
          <w:color w:val="auto"/>
        </w:rPr>
        <w:t>As consideration for the Emory License Agreement, the Company paid an upfront license fee of $290,000 and issued the Emory Convertible Note of $600,000. As discussed in Note 8, upon issuance of the Series A in August 2018, the Emory Convertible Note and unpaid accrued interest was cancelled and converted into shares of Series A at a conversion price of $9.32 per share.</w:t>
      </w:r>
    </w:p>
    <w:p>
      <w:pPr>
        <w:spacing w:after="0" w:line="184"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$150,000,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terminates one year from the effective date, with the Company having an option to extend for a second year. In connection with the research plan, the Company will provide Emory funding up to $270,000 per year.</w:t>
      </w:r>
    </w:p>
    <w:p>
      <w:pPr>
        <w:spacing w:after="0" w:line="195"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The Company has agreed to pay Emory up to an aggregate of $125.0 million upon the achievement of specified development, regulatory, and commercial milestones, and all ongoing patent costs. During the six months ended June 30, 2021, the Company had $147,000 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ind w:right="140"/>
        <w:spacing w:after="0" w:line="277" w:lineRule="auto"/>
        <w:rPr>
          <w:sz w:val="20"/>
          <w:szCs w:val="20"/>
          <w:color w:val="auto"/>
        </w:rPr>
      </w:pPr>
      <w:r>
        <w:rPr>
          <w:rFonts w:ascii="Arial" w:cs="Arial" w:eastAsia="Arial" w:hAnsi="Arial"/>
          <w:sz w:val="18"/>
          <w:szCs w:val="18"/>
          <w:color w:val="auto"/>
        </w:rPr>
        <w:t>more than three years after the effective date. During the three and six months ended June 30, 2021 and 2020, the Company made no payments associated with royalties and recognized no expense or accruals.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Agreement with Luxna Biotech Co., Ltd. (Luxna)</w:t>
      </w:r>
    </w:p>
    <w:p>
      <w:pPr>
        <w:spacing w:after="0" w:line="117" w:lineRule="exact"/>
        <w:rPr>
          <w:sz w:val="20"/>
          <w:szCs w:val="20"/>
          <w:color w:val="auto"/>
        </w:rPr>
      </w:pPr>
    </w:p>
    <w:p>
      <w:pPr>
        <w:ind w:right="80" w:firstLine="382"/>
        <w:spacing w:after="0" w:line="254" w:lineRule="auto"/>
        <w:rPr>
          <w:sz w:val="20"/>
          <w:szCs w:val="20"/>
          <w:color w:val="auto"/>
        </w:rPr>
      </w:pPr>
      <w:r>
        <w:rPr>
          <w:rFonts w:ascii="Arial" w:cs="Arial" w:eastAsia="Arial" w:hAnsi="Arial"/>
          <w:sz w:val="18"/>
          <w:szCs w:val="18"/>
          <w:color w:val="auto"/>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As consideration for this agreement, the Company paid an upfront license fee of $600,000, which was recorded as research and development expense during the period from inception through December 31, 2018 and the year ended December 31, 2019.</w:t>
      </w:r>
    </w:p>
    <w:p>
      <w:pPr>
        <w:spacing w:after="0" w:line="192" w:lineRule="exact"/>
        <w:rPr>
          <w:sz w:val="20"/>
          <w:szCs w:val="20"/>
          <w:color w:val="auto"/>
        </w:rPr>
      </w:pPr>
    </w:p>
    <w:p>
      <w:pPr>
        <w:ind w:right="60" w:firstLine="382"/>
        <w:spacing w:after="0" w:line="301" w:lineRule="auto"/>
        <w:rPr>
          <w:sz w:val="20"/>
          <w:szCs w:val="20"/>
          <w:color w:val="auto"/>
        </w:rPr>
      </w:pPr>
      <w:r>
        <w:rPr>
          <w:rFonts w:ascii="Arial" w:cs="Arial" w:eastAsia="Arial" w:hAnsi="Arial"/>
          <w:sz w:val="16"/>
          <w:szCs w:val="16"/>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$200,000 in April 2020.</w:t>
      </w:r>
    </w:p>
    <w:p>
      <w:pPr>
        <w:spacing w:after="0" w:line="157" w:lineRule="exact"/>
        <w:rPr>
          <w:sz w:val="20"/>
          <w:szCs w:val="20"/>
          <w:color w:val="auto"/>
        </w:rPr>
      </w:pPr>
    </w:p>
    <w:p>
      <w:pPr>
        <w:ind w:right="60" w:firstLine="382"/>
        <w:spacing w:after="0" w:line="301" w:lineRule="auto"/>
        <w:rPr>
          <w:sz w:val="20"/>
          <w:szCs w:val="20"/>
          <w:color w:val="auto"/>
        </w:rPr>
      </w:pPr>
      <w:r>
        <w:rPr>
          <w:rFonts w:ascii="Arial" w:cs="Arial" w:eastAsia="Arial" w:hAnsi="Arial"/>
          <w:sz w:val="16"/>
          <w:szCs w:val="16"/>
          <w:color w:val="auto"/>
        </w:rPr>
        <w:t>The Company is obligated to make payments to Luxna, in aggregate, totaling up to but no more than $55.5 million upon the achievement of specified development, regulatory, and commercial milestones. During the three and six months ended June 30, 2021 and 2020, the Company recognized no expenses related to milestone payments. The Company is also required to pay Luxna a low-single digit royalty percentage on net sale of applicable products, if any. During the three and six months ended June 30, 2021 and 2020, the Company made no payments associated with royalties.</w:t>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Agreement with Katholieke Universiteit Leuven (KU Leuven)</w:t>
      </w:r>
    </w:p>
    <w:p>
      <w:pPr>
        <w:spacing w:after="0" w:line="117" w:lineRule="exact"/>
        <w:rPr>
          <w:sz w:val="20"/>
          <w:szCs w:val="20"/>
          <w:color w:val="auto"/>
        </w:rPr>
      </w:pPr>
    </w:p>
    <w:p>
      <w:pPr>
        <w:ind w:firstLine="382"/>
        <w:spacing w:after="0" w:line="267" w:lineRule="auto"/>
        <w:rPr>
          <w:sz w:val="20"/>
          <w:szCs w:val="20"/>
          <w:color w:val="auto"/>
        </w:rPr>
      </w:pPr>
      <w:r>
        <w:rPr>
          <w:rFonts w:ascii="Arial" w:cs="Arial" w:eastAsia="Arial" w:hAnsi="Arial"/>
          <w:sz w:val="17"/>
          <w:szCs w:val="17"/>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three and six months ended June 30, 2021 and 2020, the Company recognized no expenses related to milestone payments.</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Agreement with Merck</w:t>
      </w:r>
    </w:p>
    <w:p>
      <w:pPr>
        <w:spacing w:after="0" w:line="117" w:lineRule="exact"/>
        <w:rPr>
          <w:sz w:val="20"/>
          <w:szCs w:val="20"/>
          <w:color w:val="auto"/>
        </w:rPr>
      </w:pPr>
    </w:p>
    <w:p>
      <w:pPr>
        <w:ind w:right="120" w:firstLine="500"/>
        <w:spacing w:after="0" w:line="276" w:lineRule="auto"/>
        <w:rPr>
          <w:sz w:val="20"/>
          <w:szCs w:val="20"/>
          <w:color w:val="auto"/>
        </w:rPr>
      </w:pPr>
      <w:r>
        <w:rPr>
          <w:rFonts w:ascii="Arial" w:cs="Arial" w:eastAsia="Arial" w:hAnsi="Arial"/>
          <w:sz w:val="17"/>
          <w:szCs w:val="17"/>
          <w:color w:val="auto"/>
        </w:rPr>
        <w:t>In December 2020, the Company and Merck &amp; Co. entered into an exclusive License and Research Collaboration Agreement under which Merck and the Company agreed to apply the Company’s oligonucleotide platform technology to discover, research, optimize and develop oligonucleotides directed against a NASH target and up to one additional liver-targeted cardiometabolic and/or fibrosis target. Under the terms of the agreement, the Company received an upfront payment from Merck and may receive an additional upfront payment after finalization of a research plan for such additional target. With respect to each collaboration target, the Company will be eligible for up to $458.0 million in development and commercialization milestones as well as tiered royalties on net sales. The Company will be primarily responsible for designing, preparing and evaluating the oligonucleotide molecules and delivering optimized lead molecules, and Merck will be responsible for subsequent research, clinical development and commercialization efforts. The Company determined that the Merck agreement falls within the scope of ASC 808 and we analogized to ASC 606 for the accounting of payments such as upfront payments and other milestones. Revenue is recognized based on percentage of completion of the overall project. During the three and six months ended June 30, 2021 the Company recognized $1.5 million and $2.5 million, respectively, of revenue from collaborative arrangements related to milestone payments.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jc w:val="both"/>
        <w:ind w:right="580" w:firstLine="382"/>
        <w:spacing w:after="0" w:line="311" w:lineRule="auto"/>
        <w:rPr>
          <w:sz w:val="20"/>
          <w:szCs w:val="20"/>
          <w:color w:val="auto"/>
        </w:rPr>
      </w:pPr>
      <w:r>
        <w:rPr>
          <w:rFonts w:ascii="Arial" w:cs="Arial" w:eastAsia="Arial" w:hAnsi="Arial"/>
          <w:sz w:val="16"/>
          <w:szCs w:val="16"/>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The Company had no contingent liabilities requiring accrual as of June 30, 2021 and December 31,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The Company has a history of losses and projects losses for the full year 2021. The Company continues to maintain a full valuation allowance its net deferred tax assets.</w:t>
      </w:r>
    </w:p>
    <w:p>
      <w:pPr>
        <w:spacing w:after="0" w:line="315"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computation of basic and diluted net loss per share of the Company:</w:t>
      </w:r>
    </w:p>
    <w:p>
      <w:pPr>
        <w:spacing w:after="0" w:line="325" w:lineRule="exact"/>
        <w:rPr>
          <w:sz w:val="20"/>
          <w:szCs w:val="20"/>
          <w:color w:val="auto"/>
        </w:rPr>
      </w:pPr>
    </w:p>
    <w:tbl>
      <w:tblPr>
        <w:tblLayout w:type="fixed"/>
        <w:tblInd w:w="142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5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(20,797)</w:t>
            </w:r>
          </w:p>
        </w:tc>
        <w:tc>
          <w:tcPr>
            <w:tcW w:w="80" w:type="dxa"/>
            <w:vAlign w:val="bottom"/>
            <w:shd w:val="clear" w:color="auto" w:fill="CFF0FC"/>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shd w:val="clear" w:color="auto" w:fill="CFF0FC"/>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(57,492)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shd w:val="clear" w:color="auto" w:fill="CFF0FC"/>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(40,826)</w:t>
            </w:r>
          </w:p>
        </w:tc>
        <w:tc>
          <w:tcPr>
            <w:tcW w:w="80" w:type="dxa"/>
            <w:vAlign w:val="bottom"/>
            <w:shd w:val="clear" w:color="auto" w:fill="CFF0FC"/>
          </w:tcPr>
          <w:p>
            <w:pPr>
              <w:spacing w:after="0"/>
              <w:rPr>
                <w:sz w:val="19"/>
                <w:szCs w:val="19"/>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8"/>
                <w:szCs w:val="18"/>
                <w:color w:val="auto"/>
                <w:w w:val="96"/>
              </w:rPr>
              <w:t>Weighted average common stock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37,619,039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2,810,854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37,526,650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2,729,827</w:t>
            </w:r>
          </w:p>
        </w:tc>
        <w:tc>
          <w:tcPr>
            <w:tcW w:w="80" w:type="dxa"/>
            <w:vAlign w:val="bottom"/>
          </w:tcPr>
          <w:p>
            <w:pPr>
              <w:spacing w:after="0"/>
              <w:rPr>
                <w:sz w:val="20"/>
                <w:szCs w:val="20"/>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(7.40)</w:t>
            </w:r>
          </w:p>
        </w:tc>
        <w:tc>
          <w:tcPr>
            <w:tcW w:w="420" w:type="dxa"/>
            <w:vAlign w:val="bottom"/>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(14.96)</w:t>
            </w:r>
          </w:p>
        </w:tc>
      </w:tr>
      <w:tr>
        <w:trPr>
          <w:trHeight w:val="20"/>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The Company’s potentially dilutive securities, which include redeemable convertible preferred stock, a forward contract to issue preferred stock,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60" w:type="dxa"/>
            <w:vAlign w:val="bottom"/>
            <w:gridSpan w:val="3"/>
          </w:tcPr>
          <w:p>
            <w:pPr>
              <w:jc w:val="center"/>
              <w:ind w:left="775"/>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19,201,430</w:t>
            </w:r>
          </w:p>
        </w:tc>
        <w:tc>
          <w:tcPr>
            <w:tcW w:w="540" w:type="dxa"/>
            <w:vAlign w:val="bottom"/>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19,201,430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4"/>
              </w:rPr>
              <w:t>Forward contract to issue redeemable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convertible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3,569,630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3,569,630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5,550,324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2,298,695</w:t>
            </w:r>
          </w:p>
        </w:tc>
        <w:tc>
          <w:tcPr>
            <w:tcW w:w="540" w:type="dxa"/>
            <w:vAlign w:val="bottom"/>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5,550,324</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2,298,695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224,688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617,795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224,688</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617,795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w w:val="96"/>
              </w:rPr>
              <w:t>Warrants to purchase preferred stock</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83,149</w:t>
            </w:r>
          </w:p>
        </w:tc>
        <w:tc>
          <w:tcPr>
            <w:tcW w:w="540" w:type="dxa"/>
            <w:vAlign w:val="bottom"/>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83,149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5,775,012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25,770,699</w:t>
            </w:r>
          </w:p>
        </w:tc>
        <w:tc>
          <w:tcPr>
            <w:tcW w:w="5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5,775,012</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25,770,699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750"/>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6" w:name="page27"/>
    <w:bookmarkEnd w:id="26"/>
    <w:p>
      <w:pPr>
        <w:spacing w:after="0"/>
        <w:tabs>
          <w:tab w:leader="none" w:pos="3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In preparing the interim financial statements as of June 30, 2021 and for the three and six months then ended, the Company evaluated subsequent events for recognition and measurement purposes during which time nothing has occurred outside of the normal course of business operations that would require disclosure other than the event discussed below.</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17" w:lineRule="exact"/>
        <w:rPr>
          <w:sz w:val="20"/>
          <w:szCs w:val="20"/>
          <w:color w:val="auto"/>
        </w:rPr>
      </w:pPr>
    </w:p>
    <w:p>
      <w:pPr>
        <w:jc w:val="both"/>
        <w:ind w:firstLine="382"/>
        <w:spacing w:after="0" w:line="342" w:lineRule="auto"/>
        <w:rPr>
          <w:sz w:val="20"/>
          <w:szCs w:val="20"/>
          <w:color w:val="auto"/>
        </w:rPr>
      </w:pPr>
      <w:r>
        <w:rPr>
          <w:rFonts w:ascii="Arial" w:cs="Arial" w:eastAsia="Arial" w:hAnsi="Arial"/>
          <w:sz w:val="16"/>
          <w:szCs w:val="16"/>
          <w:color w:val="auto"/>
        </w:rPr>
        <w:t>On July 6, 2021, the Company closed its Follow-on Offering and issued 4,400,000 shares of its common stock at a public offering price of $19.00 per share for net proceeds of $77.9 million, after deducting underwriting discounts and commissions and estimated offering expenses payable by the Company.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0" w:right="379" w:bottom="1440" w:gutter="0" w:footer="0" w:header="0"/>
        </w:sectPr>
      </w:pPr>
    </w:p>
    <w:bookmarkStart w:id="27" w:name="page28"/>
    <w:bookmarkEnd w:id="27"/>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20" w:firstLine="382"/>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62"/>
        <w:spacing w:after="0" w:line="284" w:lineRule="auto"/>
        <w:rPr>
          <w:sz w:val="20"/>
          <w:szCs w:val="20"/>
          <w:color w:val="auto"/>
        </w:rPr>
      </w:pPr>
      <w:r>
        <w:rPr>
          <w:rFonts w:ascii="Arial" w:cs="Arial" w:eastAsia="Arial" w:hAnsi="Arial"/>
          <w:sz w:val="16"/>
          <w:szCs w:val="16"/>
          <w:color w:val="auto"/>
        </w:rPr>
        <w:t>We are a clinical-stage biopharmaceutical company focused on developing novel therapeutics to address unmet medical needs in viral and liver diseases. We utilize our proprietary oligonucleotide and small molecule platforms to develop pharmacologically optimized drug candidates for use in combination regimens designed to achieve improved treatment outcomes. Our lead effort is to develop a functional cure for Chronic Hepatitis B (CHB), which often results in life-threatening conditions such as cirrhosis, end-stage liver disease (ESLD) and the most common form of liver cancer, hepatocellular carcinoma (HCC). The most widely used treatment for CHB, nucleos(t)ide analogs, suppresses viral replication but only achieves low rates of functional cure and often requires long-term administration. To address this issue, we have developed a portfolio of differentiated drug candidates for CHB, including an S-antigen Transport-inhibiting Oligonucleotide Polymers (STOPS) molecule, a small molecule Capsid Assembly Modulator (CAM), and oligonucleotides (Antisense Oligonucleotides (ASO) and Small Interfering Ribonucleic Acids (siRNA)), each of which is designed against clinically validated targets in the Hepatitis B Virus (HBV) life cycle. We believe that combination regimens utilizing our portfolio of CHB drug candidates may lead to higher rates of functional cure. Initial Phase 1a studies in healthy volunteers for our STOPS molecule and CAM have been completed. Phase 1b dose range studies, evaluating the properties of our STOPS molecule and CAM as monotherapy in CHB patients, are approved in many countries, including New Zealand, Hong Kong, the United Kingdom, South Korea, China and Moldova, and dosing in patients in both of these studies is ongoing. The STOPS molecule drug candidate, ALG-010133, was generally well tolerated in healthy volunteers (HVs) when given as single and multiple (3 weekly) subcutaneous doses of up to 200 mg and 180 mg, respectively. No serious adverse events (SAEs) or treatment emergent adverse events (TEAEs) leading to premature discontinuation of study drug occurred. Injection site reactions (ISRs) occurred in 19% of ALG-010133-treated subjects and were generally characterized by localized erythema that was mild to moderate in severity and resolved over time. One ISR that occurred after receiving a single 200 mg dose of ALG-010133 was considered severe based on surface area criteria (&gt;100 cm</w:t>
      </w:r>
      <w:r>
        <w:rPr>
          <w:rFonts w:ascii="Arial" w:cs="Arial" w:eastAsia="Arial" w:hAnsi="Arial"/>
          <w:sz w:val="13"/>
          <w:szCs w:val="13"/>
          <w:color w:val="auto"/>
        </w:rPr>
        <w:t>2</w:t>
      </w:r>
      <w:r>
        <w:rPr>
          <w:rFonts w:ascii="Arial" w:cs="Arial" w:eastAsia="Arial" w:hAnsi="Arial"/>
          <w:sz w:val="16"/>
          <w:szCs w:val="16"/>
          <w:color w:val="auto"/>
        </w:rPr>
        <w:t>). Prophylactic use of topical steroids is being utilized in Phase 1b to potentially mitigate future ISRs. Based on the pharmacokinetic (PK) exposures achieved in HVs, weekly subcutaneous doses of 120 mg and higher will be evaluated in CHB cohorts. Currently, doses of 120 mg and 200 mg given weekly over 12 weeks are being evaluated in two separate cohorts of patients with CHB. For the CAM drug candidate, ALG-000184, preliminary data in both HVs and CHB subjects indicate the drug has predictable PK and was well tolerated, with no SAEs or TEAEs leading to discontinuation reported. Additionally, antiviral activity data in eight treatment naive/currently not treated CHB subjects receiving a daily dose of 100 mg ALG-000184 for 14 days were promising, showing a mean HBV DNA reduction of 2.9 log</w:t>
      </w:r>
      <w:r>
        <w:rPr>
          <w:rFonts w:ascii="Arial" w:cs="Arial" w:eastAsia="Arial" w:hAnsi="Arial"/>
          <w:sz w:val="13"/>
          <w:szCs w:val="13"/>
          <w:color w:val="auto"/>
        </w:rPr>
        <w:t>10</w:t>
      </w:r>
      <w:r>
        <w:rPr>
          <w:rFonts w:ascii="Arial" w:cs="Arial" w:eastAsia="Arial" w:hAnsi="Arial"/>
          <w:sz w:val="16"/>
          <w:szCs w:val="16"/>
          <w:color w:val="auto"/>
        </w:rPr>
        <w:t xml:space="preserve"> IU/mL. In the future, we may also conduct clinical trials for our STOPS molecule and CAM and other drug candidates in other countries and territories. Additionally, we recently filed a clinical trial application (CTA) seeking regulatory approval to initiate a two-part Phase 1a/1b study evaluating the safety, pharmacokinetics, and antiviral activity of our ASO, ALG-020572, in HVs and CHB subjects, respectively. Finally, our preclinical efforts to advance our siRNA targeted against HBV are ongoing, with ALG-125755 CTA filing on-track for 1H 2022.</w:t>
      </w:r>
    </w:p>
    <w:p>
      <w:pPr>
        <w:spacing w:after="0" w:line="63" w:lineRule="exact"/>
        <w:rPr>
          <w:sz w:val="20"/>
          <w:szCs w:val="20"/>
          <w:color w:val="auto"/>
        </w:rPr>
      </w:pPr>
    </w:p>
    <w:p>
      <w:pPr>
        <w:ind w:right="60" w:firstLine="562"/>
        <w:spacing w:after="0" w:line="279" w:lineRule="auto"/>
        <w:rPr>
          <w:sz w:val="20"/>
          <w:szCs w:val="20"/>
          <w:color w:val="auto"/>
        </w:rPr>
      </w:pPr>
      <w:r>
        <w:rPr>
          <w:rFonts w:ascii="Arial" w:cs="Arial" w:eastAsia="Arial" w:hAnsi="Arial"/>
          <w:sz w:val="17"/>
          <w:szCs w:val="17"/>
          <w:color w:val="auto"/>
        </w:rPr>
        <w:t>Our second area of focus is in non-alcoholic steatohepatitis (NASH), a complex, chronic liver disease where combination regimens may likewise prove beneficial. Our most advanced drug candidate for NASH is ALG-055009, a small molecule THR-ß agonist is currently in nonclinical studies to enable a first-in-human clinical trial. We plan to file a CTA for a Phase 1a/1b study in HVs and subjects with hyperlipidemia in Q3 2021. We believe ALG-055009 has the potential to become an integral component of future combination regimens for NASH.</w:t>
      </w:r>
    </w:p>
    <w:p>
      <w:pPr>
        <w:spacing w:after="0" w:line="63" w:lineRule="exact"/>
        <w:rPr>
          <w:sz w:val="20"/>
          <w:szCs w:val="20"/>
          <w:color w:val="auto"/>
        </w:rPr>
      </w:pPr>
    </w:p>
    <w:p>
      <w:pPr>
        <w:ind w:firstLine="562"/>
        <w:spacing w:after="0" w:line="257" w:lineRule="auto"/>
        <w:rPr>
          <w:sz w:val="20"/>
          <w:szCs w:val="20"/>
          <w:color w:val="auto"/>
        </w:rPr>
      </w:pPr>
      <w:r>
        <w:rPr>
          <w:rFonts w:ascii="Arial" w:cs="Arial" w:eastAsia="Arial" w:hAnsi="Arial"/>
          <w:sz w:val="18"/>
          <w:szCs w:val="18"/>
          <w:color w:val="auto"/>
        </w:rPr>
        <w:t>Our third area of focus is to develop drug candidates with pan-coronavirus activity, including Severe Acute Respiratory Syndrome coronavirus 2 (SARS-CoV-2), the virus responsible for COVID-19. Our efforts to identify a coronavirus therapeutic are multipronged and utilize both our small molecule and oligonucleotide expertise. For our small molecule approach, we are exploring coronavirus protease inhibitors in collaboration with KU Leuven / CISTIM / CD3. In the oligonucleotide areas, we are investigating a siRNA modality and are exploring the potential for targeted lung delivery with this approach.</w:t>
      </w:r>
    </w:p>
    <w:p>
      <w:pPr>
        <w:spacing w:after="0" w:line="188"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In October 2020, we completed our initial public offering (IPO) and issued 10,000,000 shares of our common stock at a price to the public of $15.00 per share for net proceeds of $135.4 million, after deducting underwriting discounts and commissions of $10.5 million and expenses of $4.1 million. In connection with the IPO, all shares of Series A, Series B-1 and Series B-2 redeemable convertible preferred stock converted into 19,761,870 shares of voting common stock and 3,092,338 shares of non-voting common stock. On November 5, 2020, the underwriters of the IPO partially exercised their overallotment option by purchasing an additional 1,150,000 shares from the Company, resulting in an additional $16.0 million, after deducting underwriting discounts and commissions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right="300"/>
        <w:spacing w:after="0" w:line="277" w:lineRule="auto"/>
        <w:rPr>
          <w:sz w:val="20"/>
          <w:szCs w:val="20"/>
          <w:color w:val="auto"/>
        </w:rPr>
      </w:pPr>
      <w:r>
        <w:rPr>
          <w:rFonts w:ascii="Arial" w:cs="Arial" w:eastAsia="Arial" w:hAnsi="Arial"/>
          <w:sz w:val="18"/>
          <w:szCs w:val="18"/>
          <w:color w:val="auto"/>
        </w:rPr>
        <w:t>of $1.2 million. Prior to our IPO, we had received gross proceeds of approximately $186.9 million from sales of our preferred stock and our issuance of convertible debt.</w:t>
      </w:r>
    </w:p>
    <w:p>
      <w:pPr>
        <w:spacing w:after="0" w:line="170" w:lineRule="exact"/>
        <w:rPr>
          <w:sz w:val="20"/>
          <w:szCs w:val="20"/>
          <w:color w:val="auto"/>
        </w:rPr>
      </w:pPr>
    </w:p>
    <w:p>
      <w:pPr>
        <w:ind w:right="240" w:firstLine="500"/>
        <w:spacing w:after="0" w:line="308" w:lineRule="auto"/>
        <w:rPr>
          <w:sz w:val="20"/>
          <w:szCs w:val="20"/>
          <w:color w:val="auto"/>
        </w:rPr>
      </w:pPr>
      <w:r>
        <w:rPr>
          <w:rFonts w:ascii="Arial" w:cs="Arial" w:eastAsia="Arial" w:hAnsi="Arial"/>
          <w:sz w:val="17"/>
          <w:szCs w:val="17"/>
          <w:color w:val="auto"/>
        </w:rPr>
        <w:t>In July 2021, we completed a follow-on offering and issued 4,400,000 shares of our common stock at a price to the public of $19.00 per share for net proceeds of $77.9 million, after deducting underwriting discounts and commissions and estimated offering expenses payable by us.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incurred net losses and negative cash flows from operations in each year since our formation in February 2018. Our net losses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$57.5 million and $40.8 million for the six months ended June 30, 2021 and 2020, respectively. We have had no revenue from product sales. As of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we had an accumulated deficit of $232.2 million. Substantially all of our net losses have resulted from costs incurred in connection with our research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development programs and from general and administrative costs associated with our operations. We expect to continue to incur significant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increasing operating losses over at least the next several years. Our net operating losses may fluctuate from quarter to quarter and year to year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depending primarily on the timing of our clinical trials and nonclinical studies and our other research and development expenses. We have no internal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manufacturing capabilities or salesforce and outsource a substantial portion of our clinical trial work to third parties.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operating expenses since inception have consisted solely of research and development costs and general and administrative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80" w:lineRule="exact"/>
        <w:rPr>
          <w:sz w:val="20"/>
          <w:szCs w:val="20"/>
          <w:color w:val="auto"/>
        </w:rPr>
      </w:pPr>
    </w:p>
    <w:p>
      <w:pPr>
        <w:ind w:left="760" w:right="68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salaries, benefits and other employee-related costs, including stock-based compensation expense, for personnel engaged in research and development functions;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and related travel expenses;</w:t>
      </w:r>
    </w:p>
    <w:p>
      <w:pPr>
        <w:spacing w:after="0" w:line="144" w:lineRule="exact"/>
        <w:rPr>
          <w:rFonts w:ascii="Arial" w:cs="Arial" w:eastAsia="Arial" w:hAnsi="Arial"/>
          <w:sz w:val="18"/>
          <w:szCs w:val="18"/>
          <w:color w:val="auto"/>
        </w:rPr>
      </w:pPr>
    </w:p>
    <w:p>
      <w:pPr>
        <w:ind w:left="760" w:right="88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in-process research and development, including license fees and milestones paid to third-party collaborators for technologies with no alternative use;</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incurred under agreements with collaborators that perform nonclinical activities;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insurance, and other supplies.</w:t>
      </w:r>
    </w:p>
    <w:p>
      <w:pPr>
        <w:spacing w:after="0" w:line="170" w:lineRule="exact"/>
        <w:rPr>
          <w:sz w:val="20"/>
          <w:szCs w:val="20"/>
          <w:color w:val="auto"/>
        </w:rPr>
      </w:pPr>
    </w:p>
    <w:p>
      <w:pPr>
        <w:jc w:val="both"/>
        <w:ind w:right="140" w:firstLine="382"/>
        <w:spacing w:after="0" w:line="311" w:lineRule="auto"/>
        <w:rPr>
          <w:sz w:val="20"/>
          <w:szCs w:val="20"/>
          <w:color w:val="auto"/>
        </w:rPr>
      </w:pPr>
      <w:r>
        <w:rPr>
          <w:rFonts w:ascii="Arial" w:cs="Arial" w:eastAsia="Arial" w:hAnsi="Arial"/>
          <w:sz w:val="16"/>
          <w:szCs w:val="16"/>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149" w:lineRule="exact"/>
        <w:rPr>
          <w:sz w:val="20"/>
          <w:szCs w:val="20"/>
          <w:color w:val="auto"/>
        </w:rPr>
      </w:pPr>
    </w:p>
    <w:p>
      <w:pPr>
        <w:ind w:right="140" w:firstLine="382"/>
        <w:spacing w:after="0" w:line="275" w:lineRule="auto"/>
        <w:rPr>
          <w:sz w:val="20"/>
          <w:szCs w:val="20"/>
          <w:color w:val="auto"/>
        </w:rPr>
      </w:pPr>
      <w:r>
        <w:rPr>
          <w:rFonts w:ascii="Arial" w:cs="Arial" w:eastAsia="Arial" w:hAnsi="Arial"/>
          <w:sz w:val="17"/>
          <w:szCs w:val="17"/>
          <w:color w:val="auto"/>
        </w:rPr>
        <w:t>We expect our research and development costs to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88"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We expect that our general and administrative expenses will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also expect to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jc w:val="both"/>
        <w:ind w:right="60" w:firstLine="382"/>
        <w:spacing w:after="0" w:line="263" w:lineRule="auto"/>
        <w:rPr>
          <w:sz w:val="20"/>
          <w:szCs w:val="20"/>
          <w:color w:val="auto"/>
        </w:rPr>
      </w:pPr>
      <w:r>
        <w:rPr>
          <w:rFonts w:ascii="Arial" w:cs="Arial" w:eastAsia="Arial" w:hAnsi="Arial"/>
          <w:sz w:val="18"/>
          <w:szCs w:val="18"/>
          <w:color w:val="auto"/>
        </w:rPr>
        <w:t>Interest and other income (expense), net comprises interest income, net and other income (loss), net. Interest income, net primarily consists of interest earned on our cash, cash equivalents, and short-term investments and interest expense related to our convertible note instruments. Other (loss) income, net consists primarily of the change fair value of derivative liabilities and our short-term investments.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operating expenses for the three months ended June 30,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4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24,554</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17,176</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7,378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500"/>
              <w:spacing w:after="0"/>
              <w:rPr>
                <w:sz w:val="20"/>
                <w:szCs w:val="20"/>
                <w:color w:val="auto"/>
              </w:rPr>
            </w:pPr>
            <w:r>
              <w:rPr>
                <w:rFonts w:ascii="Arial" w:cs="Arial" w:eastAsia="Arial" w:hAnsi="Arial"/>
                <w:sz w:val="18"/>
                <w:szCs w:val="18"/>
                <w:color w:val="auto"/>
              </w:rPr>
              <w:t>Total operating expenses</w:t>
            </w:r>
          </w:p>
        </w:tc>
        <w:tc>
          <w:tcPr>
            <w:tcW w:w="17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31,110</w:t>
            </w:r>
          </w:p>
        </w:tc>
        <w:tc>
          <w:tcPr>
            <w:tcW w:w="24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21,271</w:t>
            </w:r>
          </w:p>
        </w:tc>
        <w:tc>
          <w:tcPr>
            <w:tcW w:w="240" w:type="dxa"/>
            <w:vAlign w:val="bottom"/>
            <w:vMerge w:val="continue"/>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9,839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Research and development expenses were $24.6 million for the three months ended June 30, 2021, compared to $17.2 million for the three months ended June 30, 2020, an increase of $7.4 million. The increase was primarily due to an increase of $2.2 million of additional employee-related costs, of which $1.8 million related to stock-based compensation. The increase also includes $3.8 million in third-party expenses for our preclinical programs and the continued increase in expenditures related to research and development activities associated with our STOPs molecule and CAM candidates as well as activities related to our NASH program, a $0.3 million increase in consulting services, a $0.2 million increase in depreciation, a $0.2 million in recruiting costs due to increased headcount, and $0.7 million of facilities and related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General and administrative expenses were $6.6 million for the three months ended June 30, 2021, compared to $4.1 million for the three months ended June 30, 2020, an increase of $2.5 million. The increase was primarily due to an increase of $2.1 million additional employee-related costs, of which $1.3 million related to stock-based compensation, $1.2 million increase in third-party expenses primarily due to increased administrative costs, patent costs and D&amp;O insurance to support our status as a public company, offset by a decrease of $0.6 million in facilities and related expenses and a decrease of $0.2 million in depreciation and other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Arial" w:cs="Arial" w:eastAsia="Arial" w:hAnsi="Arial"/>
                <w:sz w:val="14"/>
                <w:szCs w:val="14"/>
                <w:color w:val="auto"/>
              </w:rPr>
              <w:t>`</w:t>
            </w:r>
          </w:p>
        </w:tc>
        <w:tc>
          <w:tcPr>
            <w:tcW w:w="1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374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420"/>
              <w:spacing w:after="0"/>
              <w:rPr>
                <w:sz w:val="20"/>
                <w:szCs w:val="20"/>
                <w:color w:val="auto"/>
              </w:rPr>
            </w:pPr>
            <w:r>
              <w:rPr>
                <w:rFonts w:ascii="Arial" w:cs="Arial" w:eastAsia="Arial" w:hAnsi="Arial"/>
                <w:sz w:val="18"/>
                <w:szCs w:val="18"/>
                <w:color w:val="auto"/>
                <w:w w:val="76"/>
              </w:rPr>
              <w:t>(302)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(loss) income, net</w:t>
            </w:r>
          </w:p>
        </w:tc>
        <w:tc>
          <w:tcPr>
            <w:tcW w:w="6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(298)</w:t>
            </w: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interest and other income (expense), net</w:t>
            </w: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0"/>
              </w:rPr>
              <w:t>(225)</w:t>
            </w:r>
          </w:p>
        </w:tc>
        <w:tc>
          <w:tcPr>
            <w:tcW w:w="22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415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420"/>
              <w:spacing w:after="0"/>
              <w:rPr>
                <w:sz w:val="20"/>
                <w:szCs w:val="20"/>
                <w:color w:val="auto"/>
              </w:rPr>
            </w:pPr>
            <w:r>
              <w:rPr>
                <w:rFonts w:ascii="Arial" w:cs="Arial" w:eastAsia="Arial" w:hAnsi="Arial"/>
                <w:sz w:val="18"/>
                <w:szCs w:val="18"/>
                <w:color w:val="auto"/>
                <w:w w:val="76"/>
              </w:rPr>
              <w:t>(641)</w:t>
            </w:r>
          </w:p>
        </w:tc>
        <w:tc>
          <w:tcPr>
            <w:tcW w:w="2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82"/>
        <w:spacing w:after="0" w:line="342" w:lineRule="auto"/>
        <w:rPr>
          <w:sz w:val="20"/>
          <w:szCs w:val="20"/>
          <w:color w:val="auto"/>
        </w:rPr>
      </w:pPr>
      <w:r>
        <w:rPr>
          <w:rFonts w:ascii="Arial" w:cs="Arial" w:eastAsia="Arial" w:hAnsi="Arial"/>
          <w:sz w:val="16"/>
          <w:szCs w:val="16"/>
          <w:color w:val="auto"/>
        </w:rPr>
        <w:t>Interest income, net decreased to $0.1 million for the three months ended June 30, 2021 from $0.4 million for the three months ended June 30, 2020, a decrease in $0.3 million, primarily due to the change in our portfolio of cash equivalents and short-term investments which results in lower interest yield.</w:t>
      </w:r>
    </w:p>
    <w:p>
      <w:pPr>
        <w:spacing w:after="0" w:line="124" w:lineRule="exact"/>
        <w:rPr>
          <w:sz w:val="20"/>
          <w:szCs w:val="20"/>
          <w:color w:val="auto"/>
        </w:rPr>
      </w:pPr>
    </w:p>
    <w:p>
      <w:pPr>
        <w:ind w:right="440" w:firstLine="382"/>
        <w:spacing w:after="0" w:line="263" w:lineRule="auto"/>
        <w:rPr>
          <w:sz w:val="20"/>
          <w:szCs w:val="20"/>
          <w:color w:val="auto"/>
        </w:rPr>
      </w:pPr>
      <w:r>
        <w:rPr>
          <w:rFonts w:ascii="Arial" w:cs="Arial" w:eastAsia="Arial" w:hAnsi="Arial"/>
          <w:sz w:val="18"/>
          <w:szCs w:val="18"/>
          <w:color w:val="auto"/>
        </w:rPr>
        <w:t>Other (loss) income, net decreased to a loss of $0.3 million for the three months ended June 30, 2021 from income of $0.0 million for the three months ended June 30, 2020, a decrease of $0.3 million, primarily due to the fair value change recognized on the net increase in fair value of both our redeemable convertible preferred stock liability and warrant liabilities in the prior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operating expenses for the six months ended June 30, 2021 and 2020:</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47,422</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34,478</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59,759</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41,992</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17,767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20" w:firstLine="382"/>
        <w:spacing w:after="0" w:line="293" w:lineRule="auto"/>
        <w:rPr>
          <w:sz w:val="20"/>
          <w:szCs w:val="20"/>
          <w:color w:val="auto"/>
        </w:rPr>
      </w:pPr>
      <w:r>
        <w:rPr>
          <w:rFonts w:ascii="Arial" w:cs="Arial" w:eastAsia="Arial" w:hAnsi="Arial"/>
          <w:sz w:val="16"/>
          <w:szCs w:val="16"/>
          <w:color w:val="auto"/>
        </w:rPr>
        <w:t>Research and development expenses were $47.4 million for the six months ended June 30, 2021, compared to $34.5 million for the six months ended June 30, 2020, an increase of $12.9 million. The increase was primarily due to an increase of $4.9 million of additional employee-related costs, of which $3.3 million related to stock-based compensation. The increase also includes $5.6 million in third-party expenses for our preclinical programs and the continued increase in expenditures related to research and development activities associated with our STOPs molecule and CAM candidates, as well as activities related to our NASH program, a $0.4 million increase in depreciation, a $0.6 million increase in consulting and recruiting costs due to increased headcount, a $1.5 million increase of facilities and related expenses, partially offset by a $0.2 million decrease in lab expenses.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 expenses were $12.3 million for the six months ended June 30, 2021, compared to $7.5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2020, an increase of $4.8 million. The increase was primarily due to an increase of $3.6 million of additional employee-related costs,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 million related to stock-based compensation, $3.3 million increase in third-party expenses primarily due to increased administrative costs, patent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D&amp;O insurance to support our status as a public company, offset by a decrease of $1.6 million in facilities and related expenses, a decrease of $0.3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in consulting and recruitment costs, and a decrease of $0.2 million in depreciation and lab expenses.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right"/>
              <w:ind w:right="615"/>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vMerge w:val="restart"/>
          </w:tcPr>
          <w:p>
            <w:pPr>
              <w:spacing w:after="0"/>
              <w:rPr>
                <w:sz w:val="20"/>
                <w:szCs w:val="20"/>
                <w:color w:val="auto"/>
              </w:rPr>
            </w:pPr>
            <w:r>
              <w:rPr>
                <w:rFonts w:ascii="Arial" w:cs="Arial" w:eastAsia="Arial" w:hAnsi="Arial"/>
                <w:sz w:val="18"/>
                <w:szCs w:val="18"/>
                <w:color w:val="auto"/>
              </w:rPr>
              <w:t>Interest income, net</w:t>
            </w:r>
          </w:p>
        </w:tc>
        <w:tc>
          <w:tcPr>
            <w:tcW w:w="1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(loss) income, net</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500"/>
              <w:spacing w:after="0"/>
              <w:rPr>
                <w:sz w:val="20"/>
                <w:szCs w:val="20"/>
                <w:color w:val="auto"/>
              </w:rPr>
            </w:pPr>
            <w:r>
              <w:rPr>
                <w:rFonts w:ascii="Arial" w:cs="Arial" w:eastAsia="Arial" w:hAnsi="Arial"/>
                <w:sz w:val="18"/>
                <w:szCs w:val="18"/>
                <w:color w:val="auto"/>
              </w:rPr>
              <w:t>Total interest and other income (expense), net</w:t>
            </w:r>
          </w:p>
        </w:tc>
        <w:tc>
          <w:tcPr>
            <w:tcW w:w="11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1,108</w:t>
            </w:r>
          </w:p>
        </w:tc>
        <w:tc>
          <w:tcPr>
            <w:tcW w:w="240" w:type="dxa"/>
            <w:vAlign w:val="bottom"/>
            <w:vMerge w:val="continue"/>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(1,222)</w:t>
            </w:r>
          </w:p>
        </w:tc>
        <w:tc>
          <w:tcPr>
            <w:tcW w:w="2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ind w:right="160" w:firstLine="382"/>
        <w:spacing w:after="0" w:line="342" w:lineRule="auto"/>
        <w:rPr>
          <w:sz w:val="20"/>
          <w:szCs w:val="20"/>
          <w:color w:val="auto"/>
        </w:rPr>
      </w:pPr>
      <w:r>
        <w:rPr>
          <w:rFonts w:ascii="Arial" w:cs="Arial" w:eastAsia="Arial" w:hAnsi="Arial"/>
          <w:sz w:val="16"/>
          <w:szCs w:val="16"/>
          <w:color w:val="auto"/>
        </w:rPr>
        <w:t>Interest income, net decreased to $0.2 million for the six months ended June 30, 2021 from $0.8 million for the six months ended June 30, 2020, a decrease in $0.6 million, primarily due to the change in our portfolio of cash equivalents and short-term investments which results in lower interest yield.</w:t>
      </w:r>
    </w:p>
    <w:p>
      <w:pPr>
        <w:spacing w:after="0" w:line="124" w:lineRule="exact"/>
        <w:rPr>
          <w:sz w:val="20"/>
          <w:szCs w:val="20"/>
          <w:color w:val="auto"/>
        </w:rPr>
      </w:pPr>
    </w:p>
    <w:p>
      <w:pPr>
        <w:ind w:right="100" w:firstLine="382"/>
        <w:spacing w:after="0" w:line="263" w:lineRule="auto"/>
        <w:rPr>
          <w:sz w:val="20"/>
          <w:szCs w:val="20"/>
          <w:color w:val="auto"/>
        </w:rPr>
      </w:pPr>
      <w:r>
        <w:rPr>
          <w:rFonts w:ascii="Arial" w:cs="Arial" w:eastAsia="Arial" w:hAnsi="Arial"/>
          <w:sz w:val="18"/>
          <w:szCs w:val="18"/>
          <w:color w:val="auto"/>
        </w:rPr>
        <w:t>Other (loss) income, net decreased to a loss of $0.3 million for the six months ended June 30, 2021 from income of $0.3 million for the six months ended June 30, 2020, a decrease of $0.6 million, primarily due to the fair value change recognized on the net increase in fair value of both our redeemable convertible preferred stock liability and warrant liabilities in the prior year.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Since our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 To date, we have financed our operations through private placements of preferred stock, issuances of common stock and convertible debt. Through June 30, 2021, we had received gross proceeds of $186.9 million from sales of our preferred stock, issuances of common stock and our issuance of convertible debt. As of June 30, 2021, we had cash, cash equivalents and short-term investments of $190.7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We have incurred net losses since inception. 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most advanced drug candidates, ALG-010133 and ALG-000184, which are still in the early stages of development, as well as our research and development of our other drug candidates within our CHB, NASH and coronavirus programs.</w:t>
      </w:r>
    </w:p>
    <w:p>
      <w:pPr>
        <w:spacing w:after="0" w:line="188" w:lineRule="exact"/>
        <w:rPr>
          <w:sz w:val="20"/>
          <w:szCs w:val="20"/>
          <w:color w:val="auto"/>
        </w:rPr>
      </w:pPr>
    </w:p>
    <w:p>
      <w:pPr>
        <w:ind w:right="180" w:firstLine="382"/>
        <w:spacing w:after="0" w:line="277" w:lineRule="auto"/>
        <w:rPr>
          <w:sz w:val="20"/>
          <w:szCs w:val="20"/>
          <w:color w:val="auto"/>
        </w:rPr>
      </w:pPr>
      <w:r>
        <w:rPr>
          <w:rFonts w:ascii="Arial" w:cs="Arial" w:eastAsia="Arial" w:hAnsi="Arial"/>
          <w:sz w:val="18"/>
          <w:szCs w:val="18"/>
          <w:color w:val="auto"/>
        </w:rPr>
        <w:t>In addition, we are incurring additional costs associated with operating as a public company following our IPO in October 2020. We expect that our expenses will increase substantially to the extent we:</w:t>
      </w:r>
    </w:p>
    <w:p>
      <w:pPr>
        <w:spacing w:after="0" w:line="62" w:lineRule="exact"/>
        <w:rPr>
          <w:sz w:val="20"/>
          <w:szCs w:val="20"/>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our current and future clinical trials, and additional nonclinical studies;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continue research and nonclinical and clinical development of other drug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identify additional drug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marketing approvals for any of our drug candidates that successfully complete clinical trials, if any;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55" w:lineRule="exact"/>
        <w:rPr>
          <w:rFonts w:ascii="Arial" w:cs="Arial" w:eastAsia="Arial" w:hAnsi="Arial"/>
          <w:sz w:val="17"/>
          <w:szCs w:val="17"/>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drug candidates for clinical development and potentially commercialization;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milestones triggering payments by us under our current and potential future licensing and/or collaboration agreements;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 out or expand existing facilities to support our ongoing development activity; and</w:t>
      </w:r>
    </w:p>
    <w:p>
      <w:pPr>
        <w:spacing w:after="0" w:line="144" w:lineRule="exact"/>
        <w:rPr>
          <w:rFonts w:ascii="Arial" w:cs="Arial" w:eastAsia="Arial" w:hAnsi="Arial"/>
          <w:sz w:val="18"/>
          <w:szCs w:val="18"/>
          <w:color w:val="auto"/>
        </w:rPr>
      </w:pPr>
    </w:p>
    <w:p>
      <w:pPr>
        <w:ind w:left="760" w:right="4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any future commercialization efforts and our transition to becoming a public company.</w:t>
      </w:r>
    </w:p>
    <w:p>
      <w:pPr>
        <w:spacing w:after="0" w:line="170" w:lineRule="exact"/>
        <w:rPr>
          <w:sz w:val="20"/>
          <w:szCs w:val="20"/>
          <w:color w:val="auto"/>
        </w:rPr>
      </w:pPr>
    </w:p>
    <w:p>
      <w:pPr>
        <w:ind w:right="600" w:firstLine="382"/>
        <w:spacing w:after="0" w:line="277" w:lineRule="auto"/>
        <w:rPr>
          <w:sz w:val="20"/>
          <w:szCs w:val="20"/>
          <w:color w:val="auto"/>
        </w:rPr>
      </w:pPr>
      <w:r>
        <w:rPr>
          <w:rFonts w:ascii="Arial" w:cs="Arial" w:eastAsia="Arial" w:hAnsi="Arial"/>
          <w:sz w:val="18"/>
          <w:szCs w:val="18"/>
          <w:color w:val="auto"/>
        </w:rPr>
        <w:t>As of June 30, 2021, we had cash, cash equivalents and short-term investments of $190.7 million. In October 2020, we issued an aggregate of 3,569,630 shares of our Series B-2 redeemable convertible preferred stock in the second tranche of our Series B</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convertible preferred stock financing for aggregate proceeds to us of $40.0 million. In addition, we have received net proceeds of $151.4 million from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sale of an aggregate of 11,150,000 shares of our common stock on October 20, 2020 and on November 5, 2020 as part of our IPO, and net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$77.9 million from the sale of 4,400,000 shares of our common stock on July 6, 2021 as part of our Follow-on Offering. We believe that our existing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and short-term investments will enable us to fund our planned operating expenses and capital expenditure requirements through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next twelve months. We have based this estimate on assumptions that may prove to be wrong, and we could exhaust our available capital resources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sooner than we expect. Furthermore, we may elect to raise additional capital on an opportunistic basis to fund operations.</w:t>
      </w:r>
    </w:p>
    <w:p>
      <w:pPr>
        <w:spacing w:after="0" w:line="211" w:lineRule="exact"/>
        <w:rPr>
          <w:sz w:val="20"/>
          <w:szCs w:val="20"/>
          <w:color w:val="auto"/>
        </w:rPr>
      </w:pPr>
    </w:p>
    <w:p>
      <w:pPr>
        <w:ind w:right="340" w:firstLine="382"/>
        <w:spacing w:after="0" w:line="259" w:lineRule="auto"/>
        <w:rPr>
          <w:sz w:val="20"/>
          <w:szCs w:val="20"/>
          <w:color w:val="auto"/>
        </w:rPr>
      </w:pPr>
      <w:r>
        <w:rPr>
          <w:rFonts w:ascii="Arial" w:cs="Arial" w:eastAsia="Arial" w:hAnsi="Arial"/>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9" w:lineRule="exact"/>
        <w:rPr>
          <w:sz w:val="20"/>
          <w:szCs w:val="20"/>
          <w:color w:val="auto"/>
        </w:rPr>
      </w:pPr>
    </w:p>
    <w:p>
      <w:pPr>
        <w:ind w:left="760" w:right="20" w:hanging="374"/>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55" w:lineRule="exact"/>
        <w:rPr>
          <w:rFonts w:ascii="Arial" w:cs="Arial" w:eastAsia="Arial" w:hAnsi="Arial"/>
          <w:sz w:val="17"/>
          <w:szCs w:val="17"/>
          <w:color w:val="auto"/>
        </w:rPr>
      </w:pPr>
    </w:p>
    <w:p>
      <w:pPr>
        <w:jc w:val="both"/>
        <w:ind w:left="760" w:right="640" w:hanging="374"/>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manufacturing our current and future drug candidates for clinical trials in preparation for marketing approval and commercialization;</w:t>
      </w:r>
    </w:p>
    <w:p>
      <w:pPr>
        <w:spacing w:after="0" w:line="167" w:lineRule="exact"/>
        <w:rPr>
          <w:rFonts w:ascii="Arial" w:cs="Arial" w:eastAsia="Arial" w:hAnsi="Arial"/>
          <w:sz w:val="16"/>
          <w:szCs w:val="16"/>
          <w:color w:val="auto"/>
        </w:rPr>
      </w:pPr>
    </w:p>
    <w:p>
      <w:pPr>
        <w:ind w:left="760" w:right="340" w:hanging="374"/>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62"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emergence of competing therapies hepatological indications and viral diseases and other adverse market developments;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52"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76"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w:t>
      </w:r>
    </w:p>
    <w:p>
      <w:pPr>
        <w:spacing w:after="0" w:line="178"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5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(38,013)</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(8,838)</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(46,872)</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40" w:firstLine="382"/>
        <w:spacing w:after="0" w:line="287" w:lineRule="auto"/>
        <w:rPr>
          <w:sz w:val="20"/>
          <w:szCs w:val="20"/>
          <w:color w:val="auto"/>
        </w:rPr>
      </w:pPr>
      <w:r>
        <w:rPr>
          <w:rFonts w:ascii="Arial" w:cs="Arial" w:eastAsia="Arial" w:hAnsi="Arial"/>
          <w:sz w:val="16"/>
          <w:szCs w:val="16"/>
          <w:color w:val="auto"/>
        </w:rPr>
        <w:t>During the six months ended June 30, 2021, operating activities used $52.8 million of cash, primarily resulting from our net loss of $57.5 million and cash used in changes in our operating assets and liabilities of $3.4 million, partially offset by non-cash charges of $8.1 million. Net cash used in changes in our operating assets and liabilities of $3.4 million consisted of a decrease of $2.5 million in deferred revenue from collaborations, a decrease of</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$0.6 million in operating lease liabilities, a decrease of $0.1 million in other liabilities, and an increase of $0.3 in other assets. The decrease in deferred revenue from collaborations was a result of recognition of revenue from collaborations due to progress towards the completion of the project. The decrease in the operating lease liability was a result of payments made on outstanding lease obligations.</w:t>
      </w:r>
    </w:p>
    <w:p>
      <w:pPr>
        <w:spacing w:after="0" w:line="190"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During the six months ended June 30, 2020, operating activities used $38.0 million of cash, primarily resulting from our net loss of $40.8 million, partially offset by cash provided by changes in our operating assets and liabilities of $0.8 million and non-cash charges of $2.0 million. Net cash provided by changes in our operating assets and liabilities of $0.8 million consisted of an increase of $2.0 million in accounts payable and accrued liabilities, partially offset by a decrease of $0.6 million in operating lease liability and an increase of $0.6 million in other current assets. The increase in accounts payable and accrued liabilities was largely due to an increase in external research and development costs. The decrease in the operating lease liability was a result of payments made on outstanding lease obligations. The increase in other assets was largely due to an increase in prepayments for services.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0" w:firstLine="382"/>
        <w:spacing w:after="0" w:line="277" w:lineRule="auto"/>
        <w:rPr>
          <w:sz w:val="20"/>
          <w:szCs w:val="20"/>
          <w:color w:val="auto"/>
        </w:rPr>
      </w:pPr>
      <w:r>
        <w:rPr>
          <w:rFonts w:ascii="Arial" w:cs="Arial" w:eastAsia="Arial" w:hAnsi="Arial"/>
          <w:sz w:val="18"/>
          <w:szCs w:val="18"/>
          <w:color w:val="auto"/>
        </w:rPr>
        <w:t>During the six months ended June 30, 2021, investing activities provided $19.5 million of cash, consisting primarily of $20.0 million of investment maturities, offset by $0.5 million of purchases of property and equipment.</w:t>
      </w:r>
    </w:p>
    <w:p>
      <w:pPr>
        <w:spacing w:after="0" w:line="170" w:lineRule="exact"/>
        <w:rPr>
          <w:sz w:val="20"/>
          <w:szCs w:val="20"/>
          <w:color w:val="auto"/>
        </w:rPr>
      </w:pPr>
    </w:p>
    <w:p>
      <w:pPr>
        <w:jc w:val="both"/>
        <w:ind w:right="340" w:firstLine="382"/>
        <w:spacing w:after="0" w:line="342" w:lineRule="auto"/>
        <w:rPr>
          <w:sz w:val="20"/>
          <w:szCs w:val="20"/>
          <w:color w:val="auto"/>
        </w:rPr>
      </w:pPr>
      <w:r>
        <w:rPr>
          <w:rFonts w:ascii="Arial" w:cs="Arial" w:eastAsia="Arial" w:hAnsi="Arial"/>
          <w:sz w:val="16"/>
          <w:szCs w:val="16"/>
          <w:color w:val="auto"/>
        </w:rPr>
        <w:t>During the six months ended June 30, 2020, investing activities used $8.8 million of cash, consisting primarily of $45.3 million of short-term and long-term investment purchases and $1.7 million of purchases of property and equipment, offset by $38.1 million of short-term investment maturities.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00" w:firstLine="382"/>
        <w:spacing w:after="0" w:line="277" w:lineRule="auto"/>
        <w:rPr>
          <w:sz w:val="20"/>
          <w:szCs w:val="20"/>
          <w:color w:val="auto"/>
        </w:rPr>
      </w:pPr>
      <w:r>
        <w:rPr>
          <w:rFonts w:ascii="Arial" w:cs="Arial" w:eastAsia="Arial" w:hAnsi="Arial"/>
          <w:sz w:val="18"/>
          <w:szCs w:val="18"/>
          <w:color w:val="auto"/>
        </w:rPr>
        <w:t>During the six months ended June 30, 2021, net cash provided by financing activities was $0.2 million, consisting primarily of $0.3 million proceeds from the exercise of stock options, partially offset by $0.1 million of payments of deferred offering costs.</w:t>
      </w:r>
    </w:p>
    <w:p>
      <w:pPr>
        <w:spacing w:after="0" w:line="170"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During the six months ended June 30, 2020, net cash used in financing activities was $0.0 million, consisting primarily of a $0.4 million payment of Series B-1 convertible preferred stock issuance costs, partially offset by the proceeds from the exercise of warrants to purchase shares of Series A convertible preferred stock of $0.4 million and proceeds from the exercise of stock options of $0.1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20" w:firstLine="382"/>
        <w:spacing w:after="0" w:line="342" w:lineRule="auto"/>
        <w:rPr>
          <w:sz w:val="20"/>
          <w:szCs w:val="20"/>
          <w:color w:val="auto"/>
        </w:rPr>
      </w:pPr>
      <w:r>
        <w:rPr>
          <w:rFonts w:ascii="Arial" w:cs="Arial" w:eastAsia="Arial" w:hAnsi="Arial"/>
          <w:sz w:val="16"/>
          <w:szCs w:val="16"/>
          <w:color w:val="auto"/>
        </w:rPr>
        <w:t>We have no material changes to our contractual obligations and commitments as of June 30, 2021 as disclosed in the contractual obligations and commitment section in our Annual Report on Form 10-K filed with the Securities and Exchange Commission on March 23,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60" w:firstLine="382"/>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200" w:firstLine="382"/>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ind w:right="220" w:firstLine="382"/>
        <w:spacing w:after="0" w:line="301" w:lineRule="auto"/>
        <w:rPr>
          <w:sz w:val="20"/>
          <w:szCs w:val="20"/>
          <w:color w:val="auto"/>
        </w:rPr>
      </w:pPr>
      <w:r>
        <w:rPr>
          <w:rFonts w:ascii="Arial" w:cs="Arial" w:eastAsia="Arial" w:hAnsi="Arial"/>
          <w:sz w:val="16"/>
          <w:szCs w:val="16"/>
          <w:color w:val="auto"/>
        </w:rPr>
        <w:t>For a discussion of our critical accounting estimates, see “Management’s discussion and analysis of financial condition and results of operations” in our annual report on Form 10-K for the year ended December 31, 2020, previously filed with the SEC, the notes to our audited financial statements appearing in the Form 10-K and the notes to the financial statements appearing elsewhere in this Quarterly Report on Form 10-Q. There have been no material changes to these critical accounting policies and estimates through June 30, 2021 from those discussed in our Form 10-K.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100" w:firstLine="382"/>
        <w:spacing w:after="0" w:line="277" w:lineRule="auto"/>
        <w:rPr>
          <w:sz w:val="20"/>
          <w:szCs w:val="20"/>
          <w:color w:val="auto"/>
        </w:rPr>
      </w:pPr>
      <w:r>
        <w:rPr>
          <w:rFonts w:ascii="Arial" w:cs="Arial" w:eastAsia="Arial" w:hAnsi="Arial"/>
          <w:sz w:val="18"/>
          <w:szCs w:val="18"/>
          <w:color w:val="auto"/>
        </w:rPr>
        <w:t>For a description of the expected impact of recently adopted accounting pronouncements, see Note 2. Summary of Significant Accounting Policies in the “Notes to Unaudited Condensed Consolidated Financial Statements” contained in Part I, Item 1 of this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are exposed to market risk related to changes in interest rates applicable to our investment portfolio of cash equivalents and short-term investments. As of June 30, 2021, our cash equivalents consisted of money market funds. As of June 30, 2021, our short-term investments consisted of U.S. Treasury securities. Our primary exposure to market risk is interest income sensitivity, which is affected by changes in the general level of U.S. interest rates. Should U.S. interest rates decline, interest income would be reduced in future periods for short- and long-term investments which mature and the proceeds of which are reinvested in similar instruments at lower interest rates. Additionally, the fair value of our short-term and long-term investments is subject to change as a result of potential changes in market interest rates, including changes resulting from the impact of the COVID-19 pandemic. The potential change in fair value from interest-rate-sensitive instruments has been assessed on a hypothetical 100 basis point adverse movement across all maturities. As of June 30, 2021, we estimate that a hypothetical 100 basis point adverse movement would not result in a material impact on our financial position or results of operations or cash flows. As of June 30, 2021, we had no debt outstanding, besides short-term payables arising in the normal course of business, and are therefore not exposed to interest rate risk with respect to debt.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40" w:firstLine="382"/>
        <w:spacing w:after="0" w:line="290" w:lineRule="auto"/>
        <w:rPr>
          <w:sz w:val="20"/>
          <w:szCs w:val="20"/>
          <w:color w:val="auto"/>
        </w:rPr>
      </w:pPr>
      <w:r>
        <w:rPr>
          <w:rFonts w:ascii="Arial" w:cs="Arial" w:eastAsia="Arial" w:hAnsi="Arial"/>
          <w:sz w:val="16"/>
          <w:szCs w:val="16"/>
          <w:color w:val="auto"/>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Exchange Act) designed to ensure that information required to be disclosed in the reports that the Company files or submits under the Securities Exchange Act of 1934, as amended, or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382"/>
        <w:spacing w:after="0" w:line="272"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defined in Rules 13a-15(e) and 15d-15(e) under the Securities Exchange Act of 1934, as amended)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June 30, 2021, our disclosure controls and procedures were effective.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382"/>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fiscal quarter ended June 30, 2021 that has materially affected, or is reasonably likely to materially affect, our internal control over financial reporting.</w:t>
      </w:r>
    </w:p>
    <w:p>
      <w:pPr>
        <w:spacing w:after="0" w:line="184" w:lineRule="exact"/>
        <w:rPr>
          <w:sz w:val="20"/>
          <w:szCs w:val="20"/>
          <w:color w:val="auto"/>
        </w:rPr>
      </w:pPr>
    </w:p>
    <w:p>
      <w:pPr>
        <w:ind w:firstLine="382"/>
        <w:spacing w:after="0" w:line="279" w:lineRule="auto"/>
        <w:rPr>
          <w:sz w:val="20"/>
          <w:szCs w:val="20"/>
          <w:color w:val="auto"/>
        </w:rPr>
      </w:pPr>
      <w:r>
        <w:rPr>
          <w:rFonts w:ascii="Arial" w:cs="Arial" w:eastAsia="Arial" w:hAnsi="Arial"/>
          <w:sz w:val="17"/>
          <w:szCs w:val="17"/>
          <w:color w:val="auto"/>
        </w:rPr>
        <w:t>As a result of the COVID-19 pandemic, in March 2020, substantially all of our employees began working remotely.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COVID-19 situation to determine any potential impacts on the design and operating effectiveness of our internal controls over financial reporting.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0" w:firstLine="382"/>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While the outcome of any such proceedings cannot be predicted with certainty, as of June 30, 2021, we were not a party to any litigation or legal proceedings that, in the opinion of our management, are probable to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Many of the following risks and uncertainties are, and will be, exacerbated by the coronavirus pandemic (COVID-19)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7" w:lineRule="exact"/>
        <w:rPr>
          <w:sz w:val="20"/>
          <w:szCs w:val="20"/>
          <w:color w:val="auto"/>
        </w:rPr>
      </w:pPr>
    </w:p>
    <w:p>
      <w:pPr>
        <w:ind w:right="60" w:firstLine="382"/>
        <w:spacing w:after="0" w:line="219" w:lineRule="exact"/>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 Only two of our drug candidates, ALG</w:t>
      </w:r>
      <w:r>
        <w:rPr>
          <w:rFonts w:ascii="MS PGothic" w:cs="MS PGothic" w:eastAsia="MS PGothic" w:hAnsi="MS PGothic"/>
          <w:sz w:val="17"/>
          <w:szCs w:val="17"/>
          <w:color w:val="auto"/>
        </w:rPr>
        <w:t>‑</w:t>
      </w:r>
      <w:r>
        <w:rPr>
          <w:rFonts w:ascii="Arial" w:cs="Arial" w:eastAsia="Arial" w:hAnsi="Arial"/>
          <w:sz w:val="17"/>
          <w:szCs w:val="17"/>
          <w:color w:val="auto"/>
        </w:rPr>
        <w:t>010133 and ALG-000184, are currently in clinical development.</w:t>
      </w:r>
    </w:p>
    <w:p>
      <w:pPr>
        <w:spacing w:after="0" w:line="202" w:lineRule="exact"/>
        <w:rPr>
          <w:sz w:val="20"/>
          <w:szCs w:val="20"/>
          <w:color w:val="auto"/>
        </w:rPr>
      </w:pPr>
    </w:p>
    <w:p>
      <w:pPr>
        <w:ind w:right="20" w:firstLine="382"/>
        <w:spacing w:after="0" w:line="289" w:lineRule="auto"/>
        <w:rPr>
          <w:sz w:val="20"/>
          <w:szCs w:val="20"/>
          <w:color w:val="auto"/>
        </w:rPr>
      </w:pPr>
      <w:r>
        <w:rPr>
          <w:rFonts w:ascii="Arial" w:cs="Arial" w:eastAsia="Arial" w:hAnsi="Arial"/>
          <w:sz w:val="16"/>
          <w:szCs w:val="16"/>
          <w:color w:val="auto"/>
        </w:rPr>
        <w:t>Since inception, we have incurred significant net losses. Our net losses were $57.5 million for the six months ended June 30, 2021 and $108.5 million for the year ended December 31, 2020. As of June 30, 2021, we had a total stockholders’ equity of $168.9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17" w:lineRule="exact"/>
        <w:rPr>
          <w:sz w:val="20"/>
          <w:szCs w:val="20"/>
          <w:color w:val="auto"/>
        </w:rPr>
      </w:pPr>
    </w:p>
    <w:p>
      <w:pPr>
        <w:ind w:right="40" w:firstLine="382"/>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9" w:lineRule="exact"/>
        <w:rPr>
          <w:sz w:val="20"/>
          <w:szCs w:val="20"/>
          <w:color w:val="auto"/>
        </w:rPr>
      </w:pPr>
    </w:p>
    <w:p>
      <w:pPr>
        <w:ind w:left="760" w:hanging="374"/>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completing clinical and nonclinical development of drug candidates and programs and identifying and developing new drug candidates;</w:t>
      </w:r>
    </w:p>
    <w:p>
      <w:pPr>
        <w:spacing w:after="0" w:line="155" w:lineRule="exact"/>
        <w:rPr>
          <w:rFonts w:ascii="Arial" w:cs="Arial" w:eastAsia="Arial" w:hAnsi="Arial"/>
          <w:sz w:val="17"/>
          <w:szCs w:val="17"/>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drug candidates that we develop;</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7" w:name="page38"/>
    <w:bookmarkEnd w:id="37"/>
    <w:p>
      <w:pPr>
        <w:ind w:left="760" w:right="20" w:hanging="374"/>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drug candidates that we develop;</w:t>
      </w:r>
    </w:p>
    <w:p>
      <w:pPr>
        <w:spacing w:after="0" w:line="144" w:lineRule="exact"/>
        <w:rPr>
          <w:rFonts w:ascii="Arial" w:cs="Arial" w:eastAsia="Arial" w:hAnsi="Arial"/>
          <w:sz w:val="18"/>
          <w:szCs w:val="18"/>
          <w:color w:val="auto"/>
        </w:rPr>
      </w:pPr>
    </w:p>
    <w:p>
      <w:pPr>
        <w:ind w:left="760" w:right="280" w:hanging="374"/>
        <w:spacing w:after="0" w:line="34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15" w:lineRule="exact"/>
        <w:rPr>
          <w:rFonts w:ascii="Arial" w:cs="Arial" w:eastAsia="Arial" w:hAnsi="Arial"/>
          <w:sz w:val="16"/>
          <w:szCs w:val="16"/>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market acceptance of drug candidates that we develop as viable treatment options;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44" w:lineRule="exact"/>
        <w:rPr>
          <w:rFonts w:ascii="Arial" w:cs="Arial" w:eastAsia="Arial" w:hAnsi="Arial"/>
          <w:sz w:val="18"/>
          <w:szCs w:val="18"/>
          <w:color w:val="auto"/>
        </w:rPr>
      </w:pPr>
    </w:p>
    <w:p>
      <w:pPr>
        <w:ind w:left="760" w:right="340" w:hanging="374"/>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maintaining, protecting, enforcing and expanding our portfolio of intellectual property rights, including patents, trade secrets and know-how;</w:t>
      </w:r>
    </w:p>
    <w:p>
      <w:pPr>
        <w:spacing w:after="0" w:line="155" w:lineRule="exact"/>
        <w:rPr>
          <w:rFonts w:ascii="Arial" w:cs="Arial" w:eastAsia="Arial" w:hAnsi="Arial"/>
          <w:sz w:val="17"/>
          <w:szCs w:val="17"/>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29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6"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June 30, 2021, we had cash, cash equivalents and short-term investments of $190.7 million. In October 2020, we issued an aggregate of 3,569,630 shares of our Series B-2 redeemable convertible preferred stock in the second tranche of our Series B convertible preferred stock financing for aggregate proceeds to us of $40.0 million. In addition, we have received net proceeds of $151.4 million from the sale of an aggregate of 11,150,000 shares of our common stock on October 20, 2020 and on November 5, 2020 as part of our IPO, and net proceeds of $77.9 million from the sale of 4,400,000 shares of our common stock on July 6, 2021 as part of our Follow-on Offering.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760" w:right="2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55" w:lineRule="exact"/>
        <w:rPr>
          <w:rFonts w:ascii="Arial" w:cs="Arial" w:eastAsia="Arial" w:hAnsi="Arial"/>
          <w:sz w:val="17"/>
          <w:szCs w:val="17"/>
          <w:color w:val="auto"/>
        </w:rPr>
      </w:pPr>
    </w:p>
    <w:p>
      <w:pPr>
        <w:jc w:val="both"/>
        <w:ind w:left="760" w:right="640" w:hanging="374"/>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 of manufacturing our current and future drug candidates for clinical trials in preparation for marketing approval and commercialization;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8" w:name="page39"/>
    <w:bookmarkEnd w:id="38"/>
    <w:p>
      <w:pPr>
        <w:ind w:left="760" w:right="400" w:hanging="374"/>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62" w:lineRule="exact"/>
        <w:rPr>
          <w:rFonts w:ascii="Arial" w:cs="Arial" w:eastAsia="Arial" w:hAnsi="Arial"/>
          <w:sz w:val="18"/>
          <w:szCs w:val="18"/>
          <w:color w:val="auto"/>
        </w:rPr>
      </w:pPr>
    </w:p>
    <w:p>
      <w:pPr>
        <w:ind w:left="760" w:right="40" w:hanging="374"/>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55" w:lineRule="exact"/>
        <w:rPr>
          <w:rFonts w:ascii="Arial" w:cs="Arial" w:eastAsia="Arial" w:hAnsi="Arial"/>
          <w:sz w:val="17"/>
          <w:szCs w:val="17"/>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52"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COVID-19 pandemic and the macro-economic environment generally.</w:t>
      </w:r>
    </w:p>
    <w:p>
      <w:pPr>
        <w:spacing w:after="0" w:line="177"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In particular, the COVID-19 pandemic continues to rapidly evolve and has already resulted in a significant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80" w:lineRule="exact"/>
        <w:rPr>
          <w:sz w:val="20"/>
          <w:szCs w:val="20"/>
          <w:color w:val="auto"/>
        </w:rPr>
      </w:pPr>
    </w:p>
    <w:p>
      <w:pPr>
        <w:ind w:left="760" w:right="240" w:hanging="374"/>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research and development activities or eliminate one or more of our development programs altogether; or</w:t>
      </w:r>
    </w:p>
    <w:p>
      <w:pPr>
        <w:spacing w:after="0" w:line="62" w:lineRule="exact"/>
        <w:rPr>
          <w:rFonts w:ascii="Arial" w:cs="Arial" w:eastAsia="Arial" w:hAnsi="Arial"/>
          <w:sz w:val="18"/>
          <w:szCs w:val="18"/>
          <w:color w:val="auto"/>
        </w:rPr>
      </w:pPr>
    </w:p>
    <w:p>
      <w:pPr>
        <w:jc w:val="both"/>
        <w:ind w:left="760" w:right="600" w:hanging="374"/>
        <w:spacing w:after="0" w:line="26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2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62" w:lineRule="exact"/>
        <w:rPr>
          <w:sz w:val="20"/>
          <w:szCs w:val="20"/>
          <w:color w:val="auto"/>
        </w:rPr>
      </w:pPr>
    </w:p>
    <w:p>
      <w:pPr>
        <w:ind w:right="800" w:firstLine="382"/>
        <w:spacing w:after="0" w:line="308" w:lineRule="auto"/>
        <w:rPr>
          <w:sz w:val="20"/>
          <w:szCs w:val="20"/>
          <w:color w:val="auto"/>
        </w:rPr>
      </w:pPr>
      <w:r>
        <w:rPr>
          <w:rFonts w:ascii="Arial" w:cs="Arial" w:eastAsia="Arial" w:hAnsi="Arial"/>
          <w:sz w:val="17"/>
          <w:szCs w:val="17"/>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38" w:lineRule="exact"/>
        <w:rPr>
          <w:sz w:val="20"/>
          <w:szCs w:val="20"/>
          <w:color w:val="auto"/>
        </w:rPr>
      </w:pPr>
    </w:p>
    <w:p>
      <w:pPr>
        <w:ind w:left="760" w:hanging="374"/>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development and commercialization activities, which may change from time to time;</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44" w:lineRule="exact"/>
        <w:rPr>
          <w:rFonts w:ascii="Arial" w:cs="Arial" w:eastAsia="Arial" w:hAnsi="Arial"/>
          <w:sz w:val="18"/>
          <w:szCs w:val="18"/>
          <w:color w:val="auto"/>
        </w:rPr>
      </w:pPr>
    </w:p>
    <w:p>
      <w:pPr>
        <w:ind w:left="760" w:right="820" w:hanging="374"/>
        <w:spacing w:after="0" w:line="308"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38" w:lineRule="exact"/>
        <w:rPr>
          <w:rFonts w:ascii="Arial" w:cs="Arial" w:eastAsia="Arial" w:hAnsi="Arial"/>
          <w:sz w:val="17"/>
          <w:szCs w:val="17"/>
          <w:color w:val="auto"/>
        </w:rPr>
      </w:pPr>
    </w:p>
    <w:p>
      <w:pPr>
        <w:ind w:left="760" w:right="240" w:hanging="374"/>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produced, and the terms of any agreements we enter into with third-party suppliers;</w:t>
      </w:r>
    </w:p>
    <w:p>
      <w:pPr>
        <w:spacing w:after="0" w:line="62" w:lineRule="exact"/>
        <w:rPr>
          <w:rFonts w:ascii="Arial" w:cs="Arial" w:eastAsia="Arial" w:hAnsi="Arial"/>
          <w:sz w:val="18"/>
          <w:szCs w:val="18"/>
          <w:color w:val="auto"/>
        </w:rPr>
      </w:pPr>
    </w:p>
    <w:p>
      <w:pPr>
        <w:ind w:left="760" w:right="80" w:hanging="374"/>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amount of any milestone, royalty or other payments due under any current or future collaboration or license agreement, including our existing license agreements with Emory University (Emory) and Luxna Biotech Co., Ltd. (Luxna);</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coverage and reimbursement policies with respect to any future approved products, and potential future drugs that compete with our products;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left="760" w:right="280" w:hanging="374"/>
        <w:spacing w:after="0" w:line="308"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principles or our accounting policies; and</w:t>
      </w:r>
    </w:p>
    <w:p>
      <w:pPr>
        <w:spacing w:after="0" w:line="144" w:lineRule="exact"/>
        <w:rPr>
          <w:rFonts w:ascii="Arial" w:cs="Arial" w:eastAsia="Arial" w:hAnsi="Arial"/>
          <w:sz w:val="18"/>
          <w:szCs w:val="18"/>
          <w:color w:val="auto"/>
        </w:rPr>
      </w:pPr>
    </w:p>
    <w:p>
      <w:pPr>
        <w:ind w:left="760" w:right="400" w:hanging="374"/>
        <w:spacing w:after="0" w:line="308"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146" w:lineRule="exact"/>
        <w:rPr>
          <w:sz w:val="20"/>
          <w:szCs w:val="20"/>
          <w:color w:val="auto"/>
        </w:rPr>
      </w:pPr>
    </w:p>
    <w:p>
      <w:pPr>
        <w:ind w:right="40" w:firstLine="382"/>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4"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26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business could be materially adversely affected by the effects of health pandemics or epidemics, including the current outbreak of COVID-19 and future coronavirus outbreaks,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41" w:lineRule="exact"/>
        <w:rPr>
          <w:sz w:val="20"/>
          <w:szCs w:val="20"/>
          <w:color w:val="auto"/>
        </w:rPr>
      </w:pPr>
    </w:p>
    <w:p>
      <w:pPr>
        <w:ind w:right="40" w:firstLine="562"/>
        <w:spacing w:after="0" w:line="268" w:lineRule="auto"/>
        <w:rPr>
          <w:sz w:val="20"/>
          <w:szCs w:val="20"/>
          <w:color w:val="auto"/>
        </w:rPr>
      </w:pPr>
      <w:r>
        <w:rPr>
          <w:rFonts w:ascii="Arial" w:cs="Arial" w:eastAsia="Arial" w:hAnsi="Arial"/>
          <w:sz w:val="17"/>
          <w:szCs w:val="17"/>
          <w:color w:val="auto"/>
        </w:rPr>
        <w:t>Our business could be materially adversely affected by the effects of health pandemics or epidemics, including the current outbreak of COVID-19, which the World Health Organization declared a global pandemic and which has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implemented work-from-home policies for most of our employees. Since the availability of COVID-19 vaccines, the majority of our U.S. employees have been fully vaccinated and as a result, we are allowing such employees to return to work at our U.S. facility. However, as the global COVID-19 pandemic and orders and guidance from state and local governments continue to evolve, we may need to reverse course and again implement work-from-home policies as necessary. Government-imposed quarantines and our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upticks in COVID-19 cases and other limitations on our ability to conduct our business in the ordinary course. Although we do not anticipate any impacts to our clinical programs, these and similar, and perhaps more severe, disruptions in our operations could negatively impact our business, operating results and financial condition in the future.</w:t>
      </w:r>
    </w:p>
    <w:p>
      <w:pPr>
        <w:spacing w:after="0" w:line="76" w:lineRule="exact"/>
        <w:rPr>
          <w:sz w:val="20"/>
          <w:szCs w:val="20"/>
          <w:color w:val="auto"/>
        </w:rPr>
      </w:pPr>
    </w:p>
    <w:p>
      <w:pPr>
        <w:ind w:right="20" w:firstLine="562"/>
        <w:spacing w:after="0" w:line="275" w:lineRule="auto"/>
        <w:rPr>
          <w:sz w:val="20"/>
          <w:szCs w:val="20"/>
          <w:color w:val="auto"/>
        </w:rPr>
      </w:pPr>
      <w:r>
        <w:rPr>
          <w:rFonts w:ascii="Arial" w:cs="Arial" w:eastAsia="Arial" w:hAnsi="Arial"/>
          <w:sz w:val="17"/>
          <w:szCs w:val="17"/>
          <w:color w:val="auto"/>
        </w:rPr>
        <w:t>Quarantines, shutdowns and shelter-in-place and similar government orders related to COVID-19 or other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Although we do not anticipate any clinical supply issues or concerns for our planned clinical trials, restrictions resulting from the COVID-19 outbreak may disrupt our supply chain in the future and delay or limit our ability to obtain sufficient materials for our drug candidates.</w:t>
      </w:r>
    </w:p>
    <w:p>
      <w:pPr>
        <w:spacing w:after="0" w:line="68" w:lineRule="exact"/>
        <w:rPr>
          <w:sz w:val="20"/>
          <w:szCs w:val="20"/>
          <w:color w:val="auto"/>
        </w:rPr>
      </w:pPr>
    </w:p>
    <w:p>
      <w:pPr>
        <w:ind w:right="80" w:firstLine="562"/>
        <w:spacing w:after="0" w:line="296" w:lineRule="auto"/>
        <w:rPr>
          <w:sz w:val="20"/>
          <w:szCs w:val="20"/>
          <w:color w:val="auto"/>
        </w:rPr>
      </w:pPr>
      <w:r>
        <w:rPr>
          <w:rFonts w:ascii="Arial" w:cs="Arial" w:eastAsia="Arial" w:hAnsi="Arial"/>
          <w:sz w:val="16"/>
          <w:szCs w:val="16"/>
          <w:color w:val="auto"/>
        </w:rPr>
        <w:t>In addition, our current clinical trial and planned clinical trials may be affected by the ongoing COVID-19 pandemic. Site initiation and patient enrollment may be delayed due to prioritization of hospital resources toward the COVID-19 pandemic,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COVID-19, may be delayed or disrupted, which may adversely impact our clinical trial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20" w:firstLine="562"/>
        <w:spacing w:after="0" w:line="259" w:lineRule="auto"/>
        <w:rPr>
          <w:sz w:val="20"/>
          <w:szCs w:val="20"/>
          <w:color w:val="auto"/>
        </w:rPr>
      </w:pPr>
      <w:r>
        <w:rPr>
          <w:rFonts w:ascii="Arial" w:cs="Arial" w:eastAsia="Arial" w:hAnsi="Arial"/>
          <w:sz w:val="18"/>
          <w:szCs w:val="18"/>
          <w:color w:val="auto"/>
        </w:rPr>
        <w:t>In addition, the global COVID-19 pandemic has adversely affected, and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79" w:lineRule="exact"/>
        <w:rPr>
          <w:sz w:val="20"/>
          <w:szCs w:val="20"/>
          <w:color w:val="auto"/>
        </w:rPr>
      </w:pPr>
    </w:p>
    <w:p>
      <w:pPr>
        <w:ind w:right="340" w:firstLine="562"/>
        <w:spacing w:after="0" w:line="259" w:lineRule="auto"/>
        <w:rPr>
          <w:sz w:val="20"/>
          <w:szCs w:val="20"/>
          <w:color w:val="auto"/>
        </w:rPr>
      </w:pPr>
      <w:r>
        <w:rPr>
          <w:rFonts w:ascii="Arial" w:cs="Arial" w:eastAsia="Arial" w:hAnsi="Arial"/>
          <w:sz w:val="18"/>
          <w:szCs w:val="18"/>
          <w:color w:val="auto"/>
        </w:rPr>
        <w:t>In addition, while the duration and severity of the effects of COVID-19 may be difficult to assess or predict, a continuing widespread pandemic could result in significant disruption of global financial markets, reducing our ability to access capital, which could negatively affect our liquidity and ability to progress our operations. In addition, a recession, down-turn or market correction resulting from the COVID-19 pandemic could materially adversely affect the value of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regulatory process</w:t>
      </w:r>
    </w:p>
    <w:p>
      <w:pPr>
        <w:spacing w:after="0" w:line="12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41" w:lineRule="exact"/>
        <w:rPr>
          <w:sz w:val="20"/>
          <w:szCs w:val="20"/>
          <w:color w:val="auto"/>
        </w:rPr>
      </w:pPr>
    </w:p>
    <w:p>
      <w:pPr>
        <w:ind w:right="160" w:firstLine="382"/>
        <w:spacing w:after="0" w:line="271" w:lineRule="auto"/>
        <w:rPr>
          <w:sz w:val="20"/>
          <w:szCs w:val="20"/>
          <w:color w:val="auto"/>
        </w:rPr>
      </w:pPr>
      <w:r>
        <w:rPr>
          <w:rFonts w:ascii="Arial" w:cs="Arial" w:eastAsia="Arial" w:hAnsi="Arial"/>
          <w:sz w:val="17"/>
          <w:szCs w:val="17"/>
          <w:color w:val="auto"/>
        </w:rPr>
        <w:t>Our clinical development efforts across our drug candidates are in an early stage. We have initiated clinical trials for our most advanced drug candidates, ALG-010133 and ALG-000184 in many countries including New Zealand, Hong Kong, the United Kingdom, South Korea, China and Moldova.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178" w:lineRule="exact"/>
        <w:rPr>
          <w:sz w:val="20"/>
          <w:szCs w:val="20"/>
          <w:color w:val="auto"/>
        </w:rPr>
      </w:pPr>
    </w:p>
    <w:p>
      <w:pPr>
        <w:ind w:right="80" w:firstLine="382"/>
        <w:spacing w:after="0" w:line="254"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95"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As an organization, we have not yet completed any clinical trials for any of our drug candidates. Each of our lead drug candidates, ALG-010133 and ALG-000184, is currently being evaluated in Phase 1 clinical trials in many countries, including New Zealand, Hong Kong, the United Kingdom, South Korea, China and Moldova.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182" w:lineRule="exact"/>
        <w:rPr>
          <w:sz w:val="20"/>
          <w:szCs w:val="20"/>
          <w:color w:val="auto"/>
        </w:rPr>
      </w:pPr>
    </w:p>
    <w:p>
      <w:pPr>
        <w:ind w:right="20" w:firstLine="382"/>
        <w:spacing w:after="0" w:line="275" w:lineRule="auto"/>
        <w:rPr>
          <w:sz w:val="20"/>
          <w:szCs w:val="20"/>
          <w:color w:val="auto"/>
        </w:rPr>
      </w:pPr>
      <w:r>
        <w:rPr>
          <w:rFonts w:ascii="Arial" w:cs="Arial" w:eastAsia="Arial" w:hAnsi="Arial"/>
          <w:sz w:val="17"/>
          <w:szCs w:val="17"/>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left="380"/>
        <w:spacing w:after="0"/>
        <w:rPr>
          <w:sz w:val="20"/>
          <w:szCs w:val="20"/>
          <w:color w:val="auto"/>
        </w:rPr>
      </w:pPr>
      <w:r>
        <w:rPr>
          <w:rFonts w:ascii="Arial" w:cs="Arial" w:eastAsia="Arial" w:hAnsi="Arial"/>
          <w:sz w:val="18"/>
          <w:szCs w:val="18"/>
          <w:color w:val="auto"/>
        </w:rPr>
        <w:t>The success of our current and future drug candidates will depend on many factors, which may include the following:</w:t>
      </w:r>
    </w:p>
    <w:p>
      <w:pPr>
        <w:spacing w:after="0" w:line="117" w:lineRule="exact"/>
        <w:rPr>
          <w:sz w:val="20"/>
          <w:szCs w:val="20"/>
          <w:color w:val="auto"/>
        </w:rPr>
      </w:pPr>
    </w:p>
    <w:p>
      <w:pPr>
        <w:ind w:left="760" w:right="48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and successfully utilize our drug discovery platforms;</w:t>
      </w:r>
    </w:p>
    <w:p>
      <w:pPr>
        <w:spacing w:after="0" w:line="144" w:lineRule="exact"/>
        <w:rPr>
          <w:rFonts w:ascii="Arial" w:cs="Arial" w:eastAsia="Arial" w:hAnsi="Arial"/>
          <w:sz w:val="18"/>
          <w:szCs w:val="18"/>
          <w:color w:val="auto"/>
        </w:rPr>
      </w:pPr>
    </w:p>
    <w:p>
      <w:pPr>
        <w:ind w:left="760" w:right="52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62" w:lineRule="exact"/>
        <w:rPr>
          <w:rFonts w:ascii="Arial" w:cs="Arial" w:eastAsia="Arial" w:hAnsi="Arial"/>
          <w:sz w:val="18"/>
          <w:szCs w:val="18"/>
          <w:color w:val="auto"/>
        </w:rPr>
      </w:pPr>
    </w:p>
    <w:p>
      <w:pPr>
        <w:ind w:left="760" w:right="24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(INDs), CTAs and/or similar applications in other jurisdictions for our planned and future clinical trials;</w:t>
      </w:r>
    </w:p>
    <w:p>
      <w:pPr>
        <w:spacing w:after="0" w:line="62"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successful data from our clinical program that supports an acceptable risk-benefit profile of our drug candidates in the intended populations;</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44" w:lineRule="exact"/>
        <w:rPr>
          <w:rFonts w:ascii="Arial" w:cs="Arial" w:eastAsia="Arial" w:hAnsi="Arial"/>
          <w:sz w:val="18"/>
          <w:szCs w:val="18"/>
          <w:color w:val="auto"/>
        </w:rPr>
      </w:pPr>
    </w:p>
    <w:p>
      <w:pPr>
        <w:ind w:left="760" w:right="46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drug candidates are approved;</w:t>
      </w:r>
    </w:p>
    <w:p>
      <w:pPr>
        <w:spacing w:after="0" w:line="62" w:lineRule="exact"/>
        <w:rPr>
          <w:rFonts w:ascii="Arial" w:cs="Arial" w:eastAsia="Arial" w:hAnsi="Arial"/>
          <w:sz w:val="18"/>
          <w:szCs w:val="18"/>
          <w:color w:val="auto"/>
        </w:rPr>
      </w:pPr>
    </w:p>
    <w:p>
      <w:pPr>
        <w:ind w:left="760" w:right="40" w:hanging="374"/>
        <w:spacing w:after="0" w:line="342"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15" w:lineRule="exact"/>
        <w:rPr>
          <w:rFonts w:ascii="Arial" w:cs="Arial" w:eastAsia="Arial" w:hAnsi="Arial"/>
          <w:sz w:val="16"/>
          <w:szCs w:val="16"/>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drug candidates in select indications or geographies;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maintaining and expanding our portfolio of intellectual property rights, including patents, trade secrets and know-how;</w:t>
      </w:r>
    </w:p>
    <w:p>
      <w:pPr>
        <w:spacing w:after="0" w:line="144" w:lineRule="exact"/>
        <w:rPr>
          <w:rFonts w:ascii="Arial" w:cs="Arial" w:eastAsia="Arial" w:hAnsi="Arial"/>
          <w:sz w:val="18"/>
          <w:szCs w:val="18"/>
          <w:color w:val="auto"/>
        </w:rPr>
      </w:pPr>
    </w:p>
    <w:p>
      <w:pPr>
        <w:ind w:left="760" w:right="26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drug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launching commercial sales of our drug candidates, if approved;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drug candidate’s benefits and uses, if approved, by patients, the medical community and third-party payors;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prevalence, duration and severity of potential side effects or other safety issues experienced with our drug candidates following approval;</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252"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76" w:lineRule="exact"/>
        <w:rPr>
          <w:sz w:val="20"/>
          <w:szCs w:val="20"/>
          <w:color w:val="auto"/>
        </w:rPr>
      </w:pPr>
    </w:p>
    <w:p>
      <w:pPr>
        <w:ind w:right="20" w:firstLine="382"/>
        <w:spacing w:after="0" w:line="268" w:lineRule="auto"/>
        <w:rPr>
          <w:sz w:val="20"/>
          <w:szCs w:val="20"/>
          <w:color w:val="auto"/>
        </w:rPr>
      </w:pPr>
      <w:r>
        <w:rPr>
          <w:rFonts w:ascii="Arial" w:cs="Arial" w:eastAsia="Arial" w:hAnsi="Arial"/>
          <w:sz w:val="17"/>
          <w:szCs w:val="17"/>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have two drug candidates (ALG-010133 and ALG-000184) being evaluated in Phase 1 clinical trials in many countries, including New Zealand, Hong Kong, the United Kingdom, South Korea, China and Moldova. The rest of our programs are in nonclinical research or earlier stages of development, including our other chronic hepatitis B (CHB) drug candidates, our nonalcoholic steatohepatitis (NASH) drug candidate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186" w:lineRule="exact"/>
        <w:rPr>
          <w:sz w:val="20"/>
          <w:szCs w:val="20"/>
          <w:color w:val="auto"/>
        </w:rPr>
      </w:pPr>
    </w:p>
    <w:p>
      <w:pPr>
        <w:ind w:right="100" w:firstLine="382"/>
        <w:spacing w:after="0" w:line="296" w:lineRule="auto"/>
        <w:rPr>
          <w:sz w:val="20"/>
          <w:szCs w:val="20"/>
          <w:color w:val="auto"/>
        </w:rPr>
      </w:pPr>
      <w:r>
        <w:rPr>
          <w:rFonts w:ascii="Arial" w:cs="Arial" w:eastAsia="Arial" w:hAnsi="Arial"/>
          <w:sz w:val="16"/>
          <w:szCs w:val="16"/>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53" w:lineRule="exact"/>
        <w:rPr>
          <w:sz w:val="20"/>
          <w:szCs w:val="20"/>
          <w:color w:val="auto"/>
        </w:rPr>
      </w:pPr>
    </w:p>
    <w:p>
      <w:pPr>
        <w:ind w:left="760" w:hanging="374"/>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inability or failure by us or third parties to comply with regulatory requirements, including the requirements of good laboratory practice (GLP);</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generate sufficient nonclinical or other in vivo or in vitro data to support the initiation of clinical studies;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study design and obtaining regulatory authorization to commence clinical trials;</w:t>
      </w:r>
    </w:p>
    <w:p>
      <w:pPr>
        <w:spacing w:after="0" w:line="155" w:lineRule="exact"/>
        <w:rPr>
          <w:rFonts w:ascii="Arial" w:cs="Arial" w:eastAsia="Arial" w:hAnsi="Arial"/>
          <w:sz w:val="17"/>
          <w:szCs w:val="17"/>
          <w:color w:val="auto"/>
        </w:rPr>
      </w:pPr>
    </w:p>
    <w:p>
      <w:pPr>
        <w:ind w:left="760" w:hanging="374"/>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obtaining sufficient quantities of our drug candidates for use in nonclinical studies and clinical trials from third-party suppliers on a timely basis;</w:t>
      </w:r>
    </w:p>
    <w:p>
      <w:pPr>
        <w:spacing w:after="0" w:line="167" w:lineRule="exact"/>
        <w:rPr>
          <w:rFonts w:ascii="Arial" w:cs="Arial" w:eastAsia="Arial" w:hAnsi="Arial"/>
          <w:sz w:val="16"/>
          <w:szCs w:val="16"/>
          <w:color w:val="auto"/>
        </w:rPr>
      </w:pPr>
    </w:p>
    <w:p>
      <w:pPr>
        <w:jc w:val="both"/>
        <w:ind w:left="760" w:right="20" w:hanging="374"/>
        <w:spacing w:after="0" w:line="263"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due to the COVID-19 pandemic, including due to reduced workforce productivity as a result of our implementation of a temporary work-from-home policy or illness among personnel, or due to delays at our third-party contract research organizations throughout the world for similar reasons or due to restrictions imposed by applicable governmental authorities; and</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due to other global-scale potentially catastrophic events, including other pandemics, terrorism, war, and climate changes.</w:t>
      </w:r>
    </w:p>
    <w:p>
      <w:pPr>
        <w:spacing w:after="0" w:line="252"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295"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1"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3" w:name="page44"/>
    <w:bookmarkEnd w:id="43"/>
    <w:p>
      <w:pPr>
        <w:ind w:left="380"/>
        <w:spacing w:after="0"/>
        <w:rPr>
          <w:sz w:val="20"/>
          <w:szCs w:val="20"/>
          <w:color w:val="auto"/>
        </w:rPr>
      </w:pPr>
      <w:r>
        <w:rPr>
          <w:rFonts w:ascii="Arial" w:cs="Arial" w:eastAsia="Arial" w:hAnsi="Arial"/>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760" w:hanging="374"/>
        <w:spacing w:after="0"/>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55" w:lineRule="exact"/>
        <w:rPr>
          <w:rFonts w:ascii="Arial" w:cs="Arial" w:eastAsia="Arial" w:hAnsi="Arial"/>
          <w:sz w:val="17"/>
          <w:szCs w:val="17"/>
          <w:color w:val="auto"/>
        </w:rPr>
      </w:pPr>
    </w:p>
    <w:p>
      <w:pPr>
        <w:ind w:left="760" w:right="12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drug candidate is safe or effective for its proposed indication;</w:t>
      </w:r>
    </w:p>
    <w:p>
      <w:pPr>
        <w:spacing w:after="0" w:line="62" w:lineRule="exact"/>
        <w:rPr>
          <w:rFonts w:ascii="Arial" w:cs="Arial" w:eastAsia="Arial" w:hAnsi="Arial"/>
          <w:sz w:val="18"/>
          <w:szCs w:val="18"/>
          <w:color w:val="auto"/>
        </w:rPr>
      </w:pPr>
    </w:p>
    <w:p>
      <w:pPr>
        <w:ind w:left="760" w:right="26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44"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nonclinical studies;</w:t>
      </w:r>
    </w:p>
    <w:p>
      <w:pPr>
        <w:spacing w:after="0" w:line="62" w:lineRule="exact"/>
        <w:rPr>
          <w:rFonts w:ascii="Arial" w:cs="Arial" w:eastAsia="Arial" w:hAnsi="Arial"/>
          <w:sz w:val="18"/>
          <w:szCs w:val="18"/>
          <w:color w:val="auto"/>
        </w:rPr>
      </w:pPr>
    </w:p>
    <w:p>
      <w:pPr>
        <w:ind w:left="760" w:right="36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to the FDA or other submission or to obtain regulatory approval in the United States, the European Union or elsewhere;</w:t>
      </w:r>
    </w:p>
    <w:p>
      <w:pPr>
        <w:spacing w:after="0" w:line="62" w:lineRule="exact"/>
        <w:rPr>
          <w:rFonts w:ascii="Arial" w:cs="Arial" w:eastAsia="Arial" w:hAnsi="Arial"/>
          <w:sz w:val="18"/>
          <w:szCs w:val="18"/>
          <w:color w:val="auto"/>
        </w:rPr>
      </w:pPr>
    </w:p>
    <w:p>
      <w:pPr>
        <w:ind w:left="760" w:right="26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70"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176"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188" w:lineRule="exact"/>
        <w:rPr>
          <w:sz w:val="20"/>
          <w:szCs w:val="20"/>
          <w:color w:val="auto"/>
        </w:rPr>
      </w:pPr>
    </w:p>
    <w:p>
      <w:pPr>
        <w:jc w:val="both"/>
        <w:ind w:right="20" w:firstLine="382"/>
        <w:spacing w:after="0" w:line="263" w:lineRule="auto"/>
        <w:rPr>
          <w:sz w:val="20"/>
          <w:szCs w:val="20"/>
          <w:color w:val="auto"/>
        </w:rPr>
      </w:pPr>
      <w:r>
        <w:rPr>
          <w:rFonts w:ascii="Arial" w:cs="Arial" w:eastAsia="Arial" w:hAnsi="Arial"/>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292" w:lineRule="exact"/>
        <w:rPr>
          <w:sz w:val="20"/>
          <w:szCs w:val="20"/>
          <w:color w:val="auto"/>
        </w:rPr>
      </w:pPr>
    </w:p>
    <w:p>
      <w:pPr>
        <w:ind w:right="180"/>
        <w:spacing w:after="0" w:line="340" w:lineRule="auto"/>
        <w:rPr>
          <w:sz w:val="20"/>
          <w:szCs w:val="20"/>
          <w:color w:val="auto"/>
        </w:rPr>
      </w:pPr>
      <w:r>
        <w:rPr>
          <w:rFonts w:ascii="Arial" w:cs="Arial" w:eastAsia="Arial" w:hAnsi="Arial"/>
          <w:sz w:val="15"/>
          <w:szCs w:val="15"/>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23" w:lineRule="exact"/>
        <w:rPr>
          <w:sz w:val="20"/>
          <w:szCs w:val="20"/>
          <w:color w:val="auto"/>
        </w:rPr>
      </w:pPr>
    </w:p>
    <w:p>
      <w:pPr>
        <w:jc w:val="both"/>
        <w:ind w:right="40" w:firstLine="382"/>
        <w:spacing w:after="0" w:line="311" w:lineRule="auto"/>
        <w:rPr>
          <w:sz w:val="20"/>
          <w:szCs w:val="20"/>
          <w:color w:val="auto"/>
        </w:rPr>
      </w:pPr>
      <w:r>
        <w:rPr>
          <w:rFonts w:ascii="Arial" w:cs="Arial" w:eastAsia="Arial" w:hAnsi="Arial"/>
          <w:sz w:val="16"/>
          <w:szCs w:val="16"/>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w:t>
      </w:r>
    </w:p>
    <w:p>
      <w:pPr>
        <w:spacing w:after="0" w:line="149" w:lineRule="exact"/>
        <w:rPr>
          <w:sz w:val="20"/>
          <w:szCs w:val="20"/>
          <w:color w:val="auto"/>
        </w:rPr>
      </w:pPr>
    </w:p>
    <w:p>
      <w:pPr>
        <w:ind w:right="180" w:firstLine="382"/>
        <w:spacing w:after="0" w:line="263" w:lineRule="auto"/>
        <w:rPr>
          <w:sz w:val="20"/>
          <w:szCs w:val="20"/>
          <w:color w:val="auto"/>
        </w:rPr>
      </w:pPr>
      <w:r>
        <w:rPr>
          <w:rFonts w:ascii="Arial" w:cs="Arial" w:eastAsia="Arial" w:hAnsi="Arial"/>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76" w:lineRule="exact"/>
        <w:rPr>
          <w:sz w:val="20"/>
          <w:szCs w:val="20"/>
          <w:color w:val="auto"/>
        </w:rPr>
      </w:pPr>
    </w:p>
    <w:p>
      <w:pPr>
        <w:ind w:left="760" w:right="28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760" w:right="48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(CROs);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4" w:name="page45"/>
    <w:bookmarkEnd w:id="44"/>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44" w:lineRule="exact"/>
        <w:rPr>
          <w:rFonts w:ascii="Arial" w:cs="Arial" w:eastAsia="Arial" w:hAnsi="Arial"/>
          <w:sz w:val="18"/>
          <w:szCs w:val="18"/>
          <w:color w:val="auto"/>
        </w:rPr>
      </w:pPr>
    </w:p>
    <w:p>
      <w:pPr>
        <w:ind w:left="760" w:right="380" w:hanging="374"/>
        <w:spacing w:after="0" w:line="342"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15" w:lineRule="exact"/>
        <w:rPr>
          <w:rFonts w:ascii="Arial" w:cs="Arial" w:eastAsia="Arial" w:hAnsi="Arial"/>
          <w:sz w:val="16"/>
          <w:szCs w:val="16"/>
          <w:color w:val="auto"/>
        </w:rPr>
      </w:pPr>
    </w:p>
    <w:p>
      <w:pPr>
        <w:ind w:left="760" w:right="160" w:hanging="374"/>
        <w:spacing w:after="0" w:line="342"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15" w:lineRule="exact"/>
        <w:rPr>
          <w:rFonts w:ascii="Arial" w:cs="Arial" w:eastAsia="Arial" w:hAnsi="Arial"/>
          <w:sz w:val="16"/>
          <w:szCs w:val="16"/>
          <w:color w:val="auto"/>
        </w:rPr>
      </w:pPr>
    </w:p>
    <w:p>
      <w:pPr>
        <w:ind w:left="760" w:right="30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supply or quality of materials for drug candidates we develop or other materials necessary to conduct clinical trials may be insufficient or inadequate; and</w:t>
      </w:r>
    </w:p>
    <w:p>
      <w:pPr>
        <w:spacing w:after="0" w:line="62" w:lineRule="exact"/>
        <w:rPr>
          <w:rFonts w:ascii="Arial" w:cs="Arial" w:eastAsia="Arial" w:hAnsi="Arial"/>
          <w:sz w:val="18"/>
          <w:szCs w:val="18"/>
          <w:color w:val="auto"/>
        </w:rPr>
      </w:pPr>
    </w:p>
    <w:p>
      <w:pPr>
        <w:ind w:left="760" w:right="56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experience disruptions by man-made or natural disasters or public health pandemics or epidemics or other business interruptions, including the current COVID-19 pandemic and future outbreaks of the disease.</w:t>
      </w:r>
    </w:p>
    <w:p>
      <w:pPr>
        <w:spacing w:after="0" w:line="170"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177"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Further, we are currently conducting a clinical trial for each of ALG-010133 and ALG-000184 in many countries, including New Zealand, Hong Kong, the United Kingdom, South Korea, China and Moldova. We may also in the future conduct clinical trials for ALG-010133, ALG-000184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178" w:lineRule="exact"/>
        <w:rPr>
          <w:sz w:val="20"/>
          <w:szCs w:val="20"/>
          <w:color w:val="auto"/>
        </w:rPr>
      </w:pPr>
    </w:p>
    <w:p>
      <w:pPr>
        <w:ind w:right="40" w:firstLine="382"/>
        <w:spacing w:after="0" w:line="255" w:lineRule="auto"/>
        <w:rPr>
          <w:sz w:val="20"/>
          <w:szCs w:val="20"/>
          <w:color w:val="auto"/>
        </w:rPr>
      </w:pPr>
      <w:r>
        <w:rPr>
          <w:rFonts w:ascii="Arial" w:cs="Arial" w:eastAsia="Arial" w:hAnsi="Arial"/>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192"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Specifically, the clinical trial sites for our current drug trials, including for ALG-010133 and ALG-000184, and future planned trials may be affected by the COVID-19 outbreak due to prioritization of hospital resources toward COVID-19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w:t>
      </w:r>
    </w:p>
    <w:p>
      <w:pPr>
        <w:spacing w:after="0" w:line="164"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161" w:lineRule="exact"/>
        <w:rPr>
          <w:sz w:val="20"/>
          <w:szCs w:val="20"/>
          <w:color w:val="auto"/>
        </w:rPr>
      </w:pPr>
    </w:p>
    <w:p>
      <w:pPr>
        <w:jc w:val="both"/>
        <w:ind w:right="20" w:firstLine="382"/>
        <w:spacing w:after="0" w:line="263"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right="260"/>
        <w:spacing w:after="0" w:line="308" w:lineRule="auto"/>
        <w:rPr>
          <w:sz w:val="20"/>
          <w:szCs w:val="20"/>
          <w:color w:val="auto"/>
        </w:rPr>
      </w:pPr>
      <w:r>
        <w:rPr>
          <w:rFonts w:ascii="Arial" w:cs="Arial" w:eastAsia="Arial" w:hAnsi="Arial"/>
          <w:sz w:val="17"/>
          <w:szCs w:val="17"/>
          <w:b w:val="1"/>
          <w:bCs w:val="1"/>
          <w:i w:val="1"/>
          <w:iCs w:val="1"/>
          <w:color w:val="auto"/>
        </w:rPr>
        <w:t>Our pursuit of potential treatments for NASH is at an early stage and we may be unable to produce a therapy that successfully treats NASH. Even if successful, we may be unable to obtain regulatory approval for and successfully commercialize our drug candidates.</w:t>
      </w:r>
    </w:p>
    <w:p>
      <w:pPr>
        <w:spacing w:after="0" w:line="38" w:lineRule="exact"/>
        <w:rPr>
          <w:sz w:val="20"/>
          <w:szCs w:val="20"/>
          <w:color w:val="auto"/>
        </w:rPr>
      </w:pPr>
    </w:p>
    <w:p>
      <w:pPr>
        <w:ind w:right="180" w:firstLine="382"/>
        <w:spacing w:after="0" w:line="296" w:lineRule="auto"/>
        <w:rPr>
          <w:sz w:val="20"/>
          <w:szCs w:val="20"/>
          <w:color w:val="auto"/>
        </w:rPr>
      </w:pPr>
      <w:r>
        <w:rPr>
          <w:rFonts w:ascii="Arial" w:cs="Arial" w:eastAsia="Arial" w:hAnsi="Arial"/>
          <w:sz w:val="16"/>
          <w:szCs w:val="16"/>
          <w:color w:val="auto"/>
        </w:rPr>
        <w:t>We have invested, and will continue to invest, a significant portion of our time and financial resources in the pursuit of a treatment for NASH.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p>
    <w:p>
      <w:pPr>
        <w:spacing w:after="0" w:line="161"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NASH or any other applicable indication. 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p>
    <w:p>
      <w:pPr>
        <w:spacing w:after="0" w:line="188" w:lineRule="exact"/>
        <w:rPr>
          <w:sz w:val="20"/>
          <w:szCs w:val="20"/>
          <w:color w:val="auto"/>
        </w:rPr>
      </w:pPr>
    </w:p>
    <w:p>
      <w:pPr>
        <w:jc w:val="both"/>
        <w:ind w:right="140" w:firstLine="382"/>
        <w:spacing w:after="0" w:line="311" w:lineRule="auto"/>
        <w:rPr>
          <w:sz w:val="20"/>
          <w:szCs w:val="20"/>
          <w:color w:val="auto"/>
        </w:rPr>
      </w:pPr>
      <w:r>
        <w:rPr>
          <w:rFonts w:ascii="Arial" w:cs="Arial" w:eastAsia="Arial" w:hAnsi="Arial"/>
          <w:sz w:val="16"/>
          <w:szCs w:val="16"/>
          <w:color w:val="auto"/>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potential therapies for COVID-19 is at an early stage.</w:t>
      </w:r>
    </w:p>
    <w:p>
      <w:pPr>
        <w:spacing w:after="0" w:line="117" w:lineRule="exact"/>
        <w:rPr>
          <w:sz w:val="20"/>
          <w:szCs w:val="20"/>
          <w:color w:val="auto"/>
        </w:rPr>
      </w:pPr>
    </w:p>
    <w:p>
      <w:pPr>
        <w:ind w:right="40" w:firstLine="382"/>
        <w:spacing w:after="0" w:line="286" w:lineRule="auto"/>
        <w:rPr>
          <w:sz w:val="20"/>
          <w:szCs w:val="20"/>
          <w:color w:val="auto"/>
        </w:rPr>
      </w:pPr>
      <w:r>
        <w:rPr>
          <w:rFonts w:ascii="Arial" w:cs="Arial" w:eastAsia="Arial" w:hAnsi="Arial"/>
          <w:sz w:val="17"/>
          <w:szCs w:val="17"/>
          <w:color w:val="auto"/>
        </w:rPr>
        <w:t>In response to the outbreak of COVID-19, the disease caused by the virus SARS-CoV-2, we are pursuing various potential therapies to address the disease, including protease inhibitors and oligonucleotides. Our identification and development of these potential therapies is at an early stage, and we may be unable to produce in a timely manner a therapy that successfully treats the virus or that has broad clinical applicability, if at all.</w:t>
      </w:r>
    </w:p>
    <w:p>
      <w:pPr>
        <w:spacing w:after="0" w:line="165" w:lineRule="exact"/>
        <w:rPr>
          <w:sz w:val="20"/>
          <w:szCs w:val="20"/>
          <w:color w:val="auto"/>
        </w:rPr>
      </w:pPr>
    </w:p>
    <w:p>
      <w:pPr>
        <w:ind w:right="100" w:firstLine="382"/>
        <w:spacing w:after="0" w:line="255" w:lineRule="auto"/>
        <w:rPr>
          <w:sz w:val="20"/>
          <w:szCs w:val="20"/>
          <w:color w:val="auto"/>
        </w:rPr>
      </w:pPr>
      <w:r>
        <w:rPr>
          <w:rFonts w:ascii="Arial" w:cs="Arial" w:eastAsia="Arial" w:hAnsi="Arial"/>
          <w:sz w:val="18"/>
          <w:szCs w:val="18"/>
          <w:color w:val="auto"/>
        </w:rPr>
        <w:t>For example, in June 2020, we entered into a Research, Licensing and Commercialization Agreement (the KU Leuven Agreement) with Katholieke Universiteit Leuven (KU Leuven) under which we are collaborating with KU Leuven’s Rega Institute for Medical Research, as well as its Centre for Drug Design and Discovery, to research, develop, manufacture and commercialize potential protease inhibitors for the treatment of coronaviruses, including SARS-CoV-2. We are in the earliest stages of our collaboration under the KU Leuven Agreement. The KU Leuven Agreement may not result in a therapy that successfully treats SARS-CoV-2. Further, if the KU Leuven Agreement does result in such a therapy, the therapy may not be developed and commercialized in a timely manner.</w:t>
      </w:r>
    </w:p>
    <w:p>
      <w:pPr>
        <w:spacing w:after="0" w:line="192"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and Moderna mRNA-1273 COVID-19 vaccines have been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186" w:lineRule="exact"/>
        <w:rPr>
          <w:sz w:val="20"/>
          <w:szCs w:val="20"/>
          <w:color w:val="auto"/>
        </w:rPr>
      </w:pPr>
    </w:p>
    <w:p>
      <w:pPr>
        <w:ind w:right="60" w:firstLine="382"/>
        <w:spacing w:after="0" w:line="286" w:lineRule="auto"/>
        <w:rPr>
          <w:sz w:val="20"/>
          <w:szCs w:val="20"/>
          <w:color w:val="auto"/>
        </w:rPr>
      </w:pPr>
      <w:r>
        <w:rPr>
          <w:rFonts w:ascii="Arial" w:cs="Arial" w:eastAsia="Arial" w:hAnsi="Arial"/>
          <w:sz w:val="17"/>
          <w:szCs w:val="17"/>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6" w:name="page47"/>
    <w:bookmarkEnd w:id="46"/>
    <w:p>
      <w:pPr>
        <w:ind w:firstLine="382"/>
        <w:spacing w:after="0" w:line="267" w:lineRule="auto"/>
        <w:rPr>
          <w:sz w:val="20"/>
          <w:szCs w:val="20"/>
          <w:color w:val="auto"/>
        </w:rPr>
      </w:pPr>
      <w:r>
        <w:rPr>
          <w:rFonts w:ascii="Arial" w:cs="Arial" w:eastAsia="Arial" w:hAnsi="Arial"/>
          <w:sz w:val="17"/>
          <w:szCs w:val="17"/>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Pfizer Inc. recently announced its COVID-19 experimental drug (an orally administered protease inhibitor) which entered the clinic in March 2021, may be available by the end of 2021. Similarly, Merck (together with Ridgeback Bio), is developing the drug Molnupiravir, an antiviral drug currently in a Phase 3 clinical trial which has the potential to become the first oral COVID-19 treatment. In such an event, the value and/or market potential of our COVID-19 protease inhibitor program which is further behind in terms of development process may be adversely impacted. Further, other therapies that are more affordable than our potential therapies may be used to treat COVID-19, including existing generic drugs, which could also hurt the funding of and demand for our potential therapies. In addition to BioNTech SE (together with Pfizer Inc.), Moderna, Inc. and Janssen Pharmaceutical Companies of Johnson &amp; Johnson, there are efforts by several other public and private entities to develop a therapy or vaccine for COVID-19, including Alexion Pharmaceuticals Inc., Atea Pharmaceuticals, Inc. (together with Roche), Incyte Corporation, Sanofi S.A., Regeneron Pharmaceuticals, Inc., Amgen Inc. (together with Adaptive Biotechnologies Corporation), Abcellera Biologics, Inc. (together with Eli Lilly and Company), Vir Biotechnology, Inc. (together with Alnylam Pharmaceuticals, GSK, Biogen Inc. and WuXi Biologics Ltd.), Altimmune, Inc., AstraZeneca PLC (together with Oxford University), GlaxoSmithKline (GSK) (together with Sanofi S.A.), Heat Biologics, Inc., Inovio Pharmaceuticals, Inc., Novavax, Inc., Regeneron Pharmaceuticals Inc., Synairgen plc, Takeda Pharmaceutical Company Limited, and Vaxart, Inc., many of which are further along in the development process than we are.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regulatory pathways for our drug candidates targeting SARS-CoV-2, the virus that causes COVID-19, are continually evolving, and may result in unexpected or unforeseen challenges.</w:t>
      </w:r>
    </w:p>
    <w:p>
      <w:pPr>
        <w:spacing w:after="0" w:line="62" w:lineRule="exact"/>
        <w:rPr>
          <w:sz w:val="20"/>
          <w:szCs w:val="20"/>
          <w:color w:val="auto"/>
        </w:rPr>
      </w:pPr>
    </w:p>
    <w:p>
      <w:pPr>
        <w:ind w:right="140" w:firstLine="382"/>
        <w:spacing w:after="0" w:line="255" w:lineRule="auto"/>
        <w:rPr>
          <w:sz w:val="20"/>
          <w:szCs w:val="20"/>
          <w:color w:val="auto"/>
        </w:rPr>
      </w:pPr>
      <w:r>
        <w:rPr>
          <w:rFonts w:ascii="Arial" w:cs="Arial" w:eastAsia="Arial" w:hAnsi="Arial"/>
          <w:sz w:val="18"/>
          <w:szCs w:val="18"/>
          <w:color w:val="auto"/>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p>
    <w:p>
      <w:pPr>
        <w:spacing w:after="0" w:line="192" w:lineRule="exact"/>
        <w:rPr>
          <w:sz w:val="20"/>
          <w:szCs w:val="20"/>
          <w:color w:val="auto"/>
        </w:rPr>
      </w:pPr>
    </w:p>
    <w:p>
      <w:pPr>
        <w:ind w:right="40" w:firstLine="382"/>
        <w:spacing w:after="0" w:line="286" w:lineRule="auto"/>
        <w:rPr>
          <w:sz w:val="20"/>
          <w:szCs w:val="20"/>
          <w:color w:val="auto"/>
        </w:rPr>
      </w:pPr>
      <w:r>
        <w:rPr>
          <w:rFonts w:ascii="Arial" w:cs="Arial" w:eastAsia="Arial" w:hAnsi="Arial"/>
          <w:sz w:val="16"/>
          <w:szCs w:val="16"/>
          <w:color w:val="auto"/>
        </w:rPr>
        <w:t>The FDA has the authority to grant an Emergency Use Authorization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granted an EUR for each of the COVID-19 vaccines developed by Pfizer/BioNTech, Moderna and Janssen Pharmaceutical Companies of Johnson &amp; Johnson. Depending on the outcomes of our planned nonclinical and initial clinical testing for 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nonclinical studies and early-stage clinical trials may not be predictive of future results.</w:t>
      </w:r>
    </w:p>
    <w:p>
      <w:pPr>
        <w:spacing w:after="0" w:line="117"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17"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From time to time, we may disclose interim data from our clinical trials, including the preliminary data included herein with respect to our CAM candidate, ALG-000184, and our STOPS candidate, ALG-000133.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2"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76" w:lineRule="exact"/>
        <w:rPr>
          <w:sz w:val="20"/>
          <w:szCs w:val="20"/>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760" w:right="30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62" w:lineRule="exact"/>
        <w:rPr>
          <w:rFonts w:ascii="Arial" w:cs="Arial" w:eastAsia="Arial" w:hAnsi="Arial"/>
          <w:sz w:val="18"/>
          <w:szCs w:val="18"/>
          <w:color w:val="auto"/>
        </w:rPr>
      </w:pPr>
    </w:p>
    <w:p>
      <w:pPr>
        <w:ind w:left="760" w:right="56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in the trial through the completion of evaluation; and</w:t>
      </w:r>
    </w:p>
    <w:p>
      <w:pPr>
        <w:spacing w:after="0" w:line="144" w:lineRule="exact"/>
        <w:rPr>
          <w:rFonts w:ascii="Arial" w:cs="Arial" w:eastAsia="Arial" w:hAnsi="Arial"/>
          <w:sz w:val="18"/>
          <w:szCs w:val="18"/>
          <w:color w:val="auto"/>
        </w:rPr>
      </w:pPr>
    </w:p>
    <w:p>
      <w:pPr>
        <w:ind w:left="760" w:right="48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 by man-made or natural disasters, or public health pandemics or epidemics or other business interruptions, including the current COVID-19 pandemic and future outbreaks of the virus.</w:t>
      </w:r>
    </w:p>
    <w:p>
      <w:pPr>
        <w:spacing w:after="0" w:line="170"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8" w:name="page49"/>
    <w:bookmarkEnd w:id="48"/>
    <w:p>
      <w:pPr>
        <w:ind w:right="260" w:firstLine="382"/>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drug candidate manufacturing or formulation may result in additional costs or delay.</w:t>
      </w:r>
    </w:p>
    <w:p>
      <w:pPr>
        <w:spacing w:after="0" w:line="117" w:lineRule="exact"/>
        <w:rPr>
          <w:sz w:val="20"/>
          <w:szCs w:val="20"/>
          <w:color w:val="auto"/>
        </w:rPr>
      </w:pPr>
    </w:p>
    <w:p>
      <w:pPr>
        <w:ind w:right="80" w:firstLine="382"/>
        <w:spacing w:after="0" w:line="296" w:lineRule="auto"/>
        <w:rPr>
          <w:sz w:val="20"/>
          <w:szCs w:val="20"/>
          <w:color w:val="auto"/>
        </w:rPr>
      </w:pPr>
      <w:r>
        <w:rPr>
          <w:rFonts w:ascii="Arial" w:cs="Arial" w:eastAsia="Arial" w:hAnsi="Arial"/>
          <w:sz w:val="16"/>
          <w:szCs w:val="16"/>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entails additional cost and risks potential delay if the reformulated or otherwise altered drug candidate performs different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161"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29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76"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187"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195"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188"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187" w:lineRule="exact"/>
        <w:rPr>
          <w:sz w:val="20"/>
          <w:szCs w:val="20"/>
          <w:color w:val="auto"/>
        </w:rPr>
      </w:pPr>
    </w:p>
    <w:p>
      <w:pPr>
        <w:ind w:right="160" w:firstLine="382"/>
        <w:spacing w:after="0" w:line="277" w:lineRule="auto"/>
        <w:rPr>
          <w:sz w:val="20"/>
          <w:szCs w:val="20"/>
          <w:color w:val="auto"/>
        </w:rPr>
      </w:pPr>
      <w:r>
        <w:rPr>
          <w:rFonts w:ascii="Arial" w:cs="Arial" w:eastAsia="Arial" w:hAnsi="Arial"/>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62" w:lineRule="exact"/>
        <w:rPr>
          <w:sz w:val="20"/>
          <w:szCs w:val="20"/>
          <w:color w:val="auto"/>
        </w:rPr>
      </w:pPr>
    </w:p>
    <w:p>
      <w:pPr>
        <w:ind w:left="760" w:hanging="374"/>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44" w:lineRule="exact"/>
        <w:rPr>
          <w:rFonts w:ascii="Arial" w:cs="Arial" w:eastAsia="Arial" w:hAnsi="Arial"/>
          <w:sz w:val="18"/>
          <w:szCs w:val="18"/>
          <w:color w:val="auto"/>
        </w:rPr>
      </w:pPr>
    </w:p>
    <w:p>
      <w:pPr>
        <w:ind w:left="760" w:right="720" w:hanging="374"/>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44" w:lineRule="exact"/>
        <w:rPr>
          <w:rFonts w:ascii="Arial" w:cs="Arial" w:eastAsia="Arial" w:hAnsi="Arial"/>
          <w:sz w:val="18"/>
          <w:szCs w:val="18"/>
          <w:color w:val="auto"/>
        </w:rPr>
      </w:pPr>
    </w:p>
    <w:p>
      <w:pPr>
        <w:ind w:left="760" w:right="240" w:hanging="374"/>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left="760" w:hanging="37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0" w:firstLine="382"/>
        <w:spacing w:after="0" w:line="279" w:lineRule="auto"/>
        <w:rPr>
          <w:sz w:val="20"/>
          <w:szCs w:val="20"/>
          <w:color w:val="auto"/>
        </w:rPr>
      </w:pPr>
      <w:r>
        <w:rPr>
          <w:rFonts w:ascii="Arial" w:cs="Arial" w:eastAsia="Arial" w:hAnsi="Arial"/>
          <w:sz w:val="17"/>
          <w:szCs w:val="17"/>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2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76"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79" w:lineRule="exact"/>
        <w:rPr>
          <w:sz w:val="20"/>
          <w:szCs w:val="20"/>
          <w:color w:val="auto"/>
        </w:rPr>
      </w:pPr>
    </w:p>
    <w:p>
      <w:pPr>
        <w:ind w:right="60" w:firstLine="382"/>
        <w:spacing w:after="0" w:line="290"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165" w:lineRule="exact"/>
        <w:rPr>
          <w:sz w:val="20"/>
          <w:szCs w:val="20"/>
          <w:color w:val="auto"/>
        </w:rPr>
      </w:pPr>
    </w:p>
    <w:p>
      <w:pPr>
        <w:ind w:right="240" w:firstLine="382"/>
        <w:spacing w:after="0" w:line="342" w:lineRule="auto"/>
        <w:rPr>
          <w:sz w:val="20"/>
          <w:szCs w:val="20"/>
          <w:color w:val="auto"/>
        </w:rPr>
      </w:pPr>
      <w:r>
        <w:rPr>
          <w:rFonts w:ascii="Arial" w:cs="Arial" w:eastAsia="Arial" w:hAnsi="Arial"/>
          <w:sz w:val="16"/>
          <w:szCs w:val="16"/>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20" w:firstLine="382"/>
        <w:spacing w:after="0" w:line="275" w:lineRule="auto"/>
        <w:rPr>
          <w:sz w:val="20"/>
          <w:szCs w:val="20"/>
          <w:color w:val="auto"/>
        </w:rPr>
      </w:pPr>
      <w:r>
        <w:rPr>
          <w:rFonts w:ascii="Arial" w:cs="Arial" w:eastAsia="Arial" w:hAnsi="Arial"/>
          <w:sz w:val="17"/>
          <w:szCs w:val="17"/>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p>
    <w:p>
      <w:pPr>
        <w:spacing w:after="0" w:line="68" w:lineRule="exact"/>
        <w:rPr>
          <w:sz w:val="20"/>
          <w:szCs w:val="20"/>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760" w:right="200" w:hanging="374"/>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3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62"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192"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273"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38" w:lineRule="exact"/>
        <w:rPr>
          <w:sz w:val="20"/>
          <w:szCs w:val="20"/>
          <w:color w:val="auto"/>
        </w:rPr>
      </w:pPr>
    </w:p>
    <w:p>
      <w:pPr>
        <w:ind w:right="160" w:firstLine="382"/>
        <w:spacing w:after="0" w:line="255" w:lineRule="auto"/>
        <w:rPr>
          <w:sz w:val="20"/>
          <w:szCs w:val="20"/>
          <w:color w:val="auto"/>
        </w:rPr>
      </w:pPr>
      <w:r>
        <w:rPr>
          <w:rFonts w:ascii="Arial" w:cs="Arial" w:eastAsia="Arial" w:hAnsi="Arial"/>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192"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28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76"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1" w:name="page52"/>
    <w:bookmarkEnd w:id="51"/>
    <w:p>
      <w:pPr>
        <w:ind w:right="120"/>
        <w:spacing w:after="0" w:line="277" w:lineRule="auto"/>
        <w:rPr>
          <w:sz w:val="20"/>
          <w:szCs w:val="20"/>
          <w:color w:val="auto"/>
        </w:rPr>
      </w:pPr>
      <w:r>
        <w:rPr>
          <w:rFonts w:ascii="Arial" w:cs="Arial" w:eastAsia="Arial" w:hAnsi="Arial"/>
          <w:sz w:val="18"/>
          <w:szCs w:val="18"/>
          <w:color w:val="auto"/>
        </w:rPr>
        <w:t>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62" w:lineRule="exact"/>
        <w:rPr>
          <w:sz w:val="20"/>
          <w:szCs w:val="20"/>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44" w:lineRule="exact"/>
        <w:rPr>
          <w:rFonts w:ascii="Arial" w:cs="Arial" w:eastAsia="Arial" w:hAnsi="Arial"/>
          <w:sz w:val="18"/>
          <w:szCs w:val="18"/>
          <w:color w:val="auto"/>
        </w:rPr>
      </w:pPr>
    </w:p>
    <w:p>
      <w:pPr>
        <w:ind w:left="760" w:right="760" w:hanging="374"/>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we filed or suspension or revocation of license approvals;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62"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182" w:lineRule="exact"/>
        <w:rPr>
          <w:sz w:val="20"/>
          <w:szCs w:val="20"/>
          <w:color w:val="auto"/>
        </w:rPr>
      </w:pPr>
    </w:p>
    <w:p>
      <w:pPr>
        <w:ind w:right="60" w:firstLine="382"/>
        <w:spacing w:after="0" w:line="254" w:lineRule="auto"/>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For example, we are conducting our initial clinical trials for ALG-010133 and ALG-000184 in many countries, including New Zealand, Hong Kong, the United Kingdom, South Korea, China and Moldova,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30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62"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76" w:lineRule="exact"/>
        <w:rPr>
          <w:sz w:val="20"/>
          <w:szCs w:val="20"/>
          <w:color w:val="auto"/>
        </w:rPr>
      </w:pPr>
    </w:p>
    <w:p>
      <w:pPr>
        <w:ind w:left="760" w:right="920" w:hanging="374"/>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 candidates in foreign countries, including challenging processes for marketing biopharmaceutical products;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protection for and enforcement of intellectual property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heightened or different data privacy and information security laws, regulations and policies;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760" w:right="200" w:hanging="374"/>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w:t>
      </w:r>
    </w:p>
    <w:p>
      <w:pPr>
        <w:spacing w:after="0" w:line="144" w:lineRule="exact"/>
        <w:rPr>
          <w:rFonts w:ascii="Arial" w:cs="Arial" w:eastAsia="Arial" w:hAnsi="Arial"/>
          <w:sz w:val="18"/>
          <w:szCs w:val="18"/>
          <w:color w:val="auto"/>
        </w:rPr>
      </w:pPr>
    </w:p>
    <w:p>
      <w:pPr>
        <w:ind w:left="760" w:right="380" w:hanging="374"/>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and</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disruptions resulting from the impact of public health pandemics or epidemics (including, for example, the ongoing COVID-19 pandemic).</w:t>
      </w:r>
    </w:p>
    <w:p>
      <w:pPr>
        <w:spacing w:after="0" w:line="264" w:lineRule="exact"/>
        <w:rPr>
          <w:sz w:val="20"/>
          <w:szCs w:val="20"/>
          <w:color w:val="auto"/>
        </w:rPr>
      </w:pPr>
    </w:p>
    <w:p>
      <w:pPr>
        <w:ind w:right="460" w:firstLine="382"/>
        <w:spacing w:after="0" w:line="277" w:lineRule="auto"/>
        <w:rPr>
          <w:sz w:val="20"/>
          <w:szCs w:val="20"/>
          <w:color w:val="auto"/>
        </w:rPr>
      </w:pPr>
      <w:r>
        <w:rPr>
          <w:rFonts w:ascii="Arial" w:cs="Arial" w:eastAsia="Arial" w:hAnsi="Arial"/>
          <w:sz w:val="18"/>
          <w:szCs w:val="18"/>
          <w:color w:val="auto"/>
        </w:rPr>
        <w:t>In addition, there are complex regulatory, tax, labor and other legal requirements imposed by many of the individual countries in which we may operate, with which we will need to comply.</w:t>
      </w:r>
    </w:p>
    <w:p>
      <w:pPr>
        <w:spacing w:after="0" w:line="27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95"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Relatedly,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mission-critical inspections to resumption of all regulatory activities. The resumption of prioritized domestic inspections is dependent on the current COVID-19 data in a given state or county and the rules and guidelines established by state and local government. Regulatory authorities outside the United States may adopt similar restrictions or other policy measures in response to events such as the COVID-19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3" w:name="page54"/>
    <w:bookmarkEnd w:id="53"/>
    <w:p>
      <w:pPr>
        <w:ind w:right="4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If the market opportunities for our drug candidates are smaller than we estimate, it could have an adverse effect on our business, financial condition, results of operations and prospects.</w:t>
      </w:r>
    </w:p>
    <w:p>
      <w:pPr>
        <w:spacing w:after="0" w:line="179" w:lineRule="exact"/>
        <w:rPr>
          <w:sz w:val="20"/>
          <w:szCs w:val="20"/>
          <w:color w:val="auto"/>
        </w:rPr>
      </w:pPr>
    </w:p>
    <w:p>
      <w:pPr>
        <w:ind w:firstLine="386"/>
        <w:spacing w:after="0" w:line="253" w:lineRule="auto"/>
        <w:rPr>
          <w:sz w:val="20"/>
          <w:szCs w:val="20"/>
          <w:color w:val="auto"/>
        </w:rPr>
      </w:pPr>
      <w:r>
        <w:rPr>
          <w:rFonts w:ascii="Arial" w:cs="Arial" w:eastAsia="Arial" w:hAnsi="Arial"/>
          <w:sz w:val="18"/>
          <w:szCs w:val="18"/>
          <w:color w:val="auto"/>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 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p>
    <w:p>
      <w:pPr>
        <w:spacing w:after="0" w:line="196" w:lineRule="exact"/>
        <w:rPr>
          <w:sz w:val="20"/>
          <w:szCs w:val="20"/>
          <w:color w:val="auto"/>
        </w:rPr>
      </w:pPr>
    </w:p>
    <w:p>
      <w:pPr>
        <w:ind w:right="200" w:firstLine="386"/>
        <w:spacing w:after="0" w:line="259" w:lineRule="auto"/>
        <w:rPr>
          <w:sz w:val="20"/>
          <w:szCs w:val="20"/>
          <w:color w:val="auto"/>
        </w:rPr>
      </w:pPr>
      <w:r>
        <w:rPr>
          <w:rFonts w:ascii="Arial" w:cs="Arial" w:eastAsia="Arial" w:hAnsi="Arial"/>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2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62"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185"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4" w:name="page55"/>
    <w:bookmarkEnd w:id="54"/>
    <w:p>
      <w:pPr>
        <w:ind w:right="4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2"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86" w:lineRule="exact"/>
        <w:rPr>
          <w:sz w:val="20"/>
          <w:szCs w:val="20"/>
          <w:color w:val="auto"/>
        </w:rPr>
      </w:pPr>
    </w:p>
    <w:p>
      <w:pPr>
        <w:ind w:right="80" w:firstLine="382"/>
        <w:spacing w:after="0" w:line="253" w:lineRule="auto"/>
        <w:rPr>
          <w:sz w:val="20"/>
          <w:szCs w:val="20"/>
          <w:color w:val="auto"/>
        </w:rPr>
      </w:pPr>
      <w:r>
        <w:rPr>
          <w:rFonts w:ascii="Arial" w:cs="Arial" w:eastAsia="Arial" w:hAnsi="Arial"/>
          <w:sz w:val="18"/>
          <w:szCs w:val="18"/>
          <w:color w:val="auto"/>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w:t>
      </w:r>
    </w:p>
    <w:p>
      <w:pPr>
        <w:spacing w:after="0" w:line="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and Vaxart, Inc. For example, BioNTech SE (together with Pfizer Inc.), Janssen Pharmaceutical Companies of Johnson &amp; Johnson and Moderna Inc. have developed COVID-19 vaccines that have received authorization for emergency use and are being widely administered. In addition, Pfizer, Inc. recently announced its COVID-19 experimental drug (an orally administered protease inhibitor) which entered the clinic in March 2021, may be available by the end of 2021. Similarly, Merck (together with Ridgeback Bio), is developing the drug Molnupiravir, an antiviral drug currently in a Phase 3 clinical trial which has the potential to become the first oral COVID-19 treatment. The availability of such COVID-19 vaccines and Pfizer’s oral COVID-19 drug may reduce or eliminate the need for our potential COVID therapies to treat the disease and therefore negatively impact the commercial opportunity therefor.</w:t>
      </w:r>
    </w:p>
    <w:p>
      <w:pPr>
        <w:spacing w:after="0" w:line="76"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Blade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p>
    <w:p>
      <w:pPr>
        <w:spacing w:after="0" w:line="195" w:lineRule="exact"/>
        <w:rPr>
          <w:sz w:val="20"/>
          <w:szCs w:val="20"/>
          <w:color w:val="auto"/>
        </w:rPr>
      </w:pPr>
    </w:p>
    <w:p>
      <w:pPr>
        <w:ind w:right="120" w:firstLine="382"/>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195" w:lineRule="exact"/>
        <w:rPr>
          <w:sz w:val="20"/>
          <w:szCs w:val="20"/>
          <w:color w:val="auto"/>
        </w:rPr>
      </w:pPr>
    </w:p>
    <w:p>
      <w:pPr>
        <w:ind w:right="380" w:firstLine="382"/>
        <w:spacing w:after="0" w:line="277"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both"/>
        <w:ind w:right="120" w:firstLine="382"/>
        <w:spacing w:after="0" w:line="263" w:lineRule="auto"/>
        <w:rPr>
          <w:sz w:val="20"/>
          <w:szCs w:val="20"/>
          <w:color w:val="auto"/>
        </w:rPr>
      </w:pPr>
      <w:r>
        <w:rPr>
          <w:rFonts w:ascii="Arial" w:cs="Arial" w:eastAsia="Arial" w:hAnsi="Arial"/>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184" w:lineRule="exact"/>
        <w:rPr>
          <w:sz w:val="20"/>
          <w:szCs w:val="20"/>
          <w:color w:val="auto"/>
        </w:rPr>
      </w:pPr>
    </w:p>
    <w:p>
      <w:pPr>
        <w:ind w:right="80" w:firstLine="382"/>
        <w:spacing w:after="0" w:line="286" w:lineRule="auto"/>
        <w:rPr>
          <w:sz w:val="20"/>
          <w:szCs w:val="20"/>
          <w:color w:val="auto"/>
        </w:rPr>
      </w:pPr>
      <w:r>
        <w:rPr>
          <w:rFonts w:ascii="Arial" w:cs="Arial" w:eastAsia="Arial" w:hAnsi="Arial"/>
          <w:sz w:val="17"/>
          <w:szCs w:val="17"/>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179"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76"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2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62"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177" w:lineRule="exact"/>
        <w:rPr>
          <w:sz w:val="20"/>
          <w:szCs w:val="20"/>
          <w:color w:val="auto"/>
        </w:rPr>
      </w:pPr>
    </w:p>
    <w:p>
      <w:pPr>
        <w:ind w:right="200" w:firstLine="382"/>
        <w:spacing w:after="0" w:line="275" w:lineRule="auto"/>
        <w:rPr>
          <w:sz w:val="20"/>
          <w:szCs w:val="20"/>
          <w:color w:val="auto"/>
        </w:rPr>
      </w:pPr>
      <w:r>
        <w:rPr>
          <w:rFonts w:ascii="Arial" w:cs="Arial" w:eastAsia="Arial" w:hAnsi="Arial"/>
          <w:sz w:val="17"/>
          <w:szCs w:val="17"/>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firstLine="382"/>
        <w:spacing w:after="0" w:line="253"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96"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2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62"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187"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risk/benefit profiles through Phase 1 clinical trials of our drug candidates, ALG-010133 and ALG-000184.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182" w:lineRule="exact"/>
        <w:rPr>
          <w:sz w:val="20"/>
          <w:szCs w:val="20"/>
          <w:color w:val="auto"/>
        </w:rPr>
      </w:pPr>
    </w:p>
    <w:p>
      <w:pPr>
        <w:jc w:val="both"/>
        <w:ind w:right="80" w:firstLine="382"/>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60"/>
        <w:spacing w:after="0" w:line="301" w:lineRule="auto"/>
        <w:rPr>
          <w:sz w:val="20"/>
          <w:szCs w:val="20"/>
          <w:color w:val="auto"/>
        </w:rPr>
      </w:pPr>
      <w:r>
        <w:rPr>
          <w:rFonts w:ascii="Arial" w:cs="Arial" w:eastAsia="Arial" w:hAnsi="Arial"/>
          <w:sz w:val="16"/>
          <w:szCs w:val="16"/>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49"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92"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181" w:lineRule="exact"/>
        <w:rPr>
          <w:sz w:val="20"/>
          <w:szCs w:val="20"/>
          <w:color w:val="auto"/>
        </w:rPr>
      </w:pPr>
    </w:p>
    <w:p>
      <w:pPr>
        <w:ind w:right="40" w:firstLine="382"/>
        <w:spacing w:after="0" w:line="275" w:lineRule="auto"/>
        <w:rPr>
          <w:sz w:val="20"/>
          <w:szCs w:val="20"/>
          <w:color w:val="auto"/>
        </w:rPr>
      </w:pPr>
      <w:r>
        <w:rPr>
          <w:rFonts w:ascii="Arial" w:cs="Arial" w:eastAsia="Arial" w:hAnsi="Arial"/>
          <w:sz w:val="17"/>
          <w:szCs w:val="17"/>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176"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right="140" w:firstLine="382"/>
        <w:spacing w:after="0" w:line="272" w:lineRule="auto"/>
        <w:rPr>
          <w:sz w:val="20"/>
          <w:szCs w:val="20"/>
          <w:color w:val="auto"/>
        </w:rPr>
      </w:pPr>
      <w:r>
        <w:rPr>
          <w:rFonts w:ascii="Arial" w:cs="Arial" w:eastAsia="Arial" w:hAnsi="Arial"/>
          <w:sz w:val="17"/>
          <w:szCs w:val="17"/>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8" w:name="page59"/>
    <w:bookmarkEnd w:id="58"/>
    <w:p>
      <w:pPr>
        <w:ind w:firstLine="382"/>
        <w:spacing w:after="0" w:line="290" w:lineRule="auto"/>
        <w:rPr>
          <w:sz w:val="20"/>
          <w:szCs w:val="20"/>
          <w:color w:val="auto"/>
        </w:rPr>
      </w:pPr>
      <w:r>
        <w:rPr>
          <w:rFonts w:ascii="Arial" w:cs="Arial" w:eastAsia="Arial" w:hAnsi="Arial"/>
          <w:sz w:val="16"/>
          <w:szCs w:val="16"/>
          <w:color w:val="auto"/>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65"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188"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required to make significant payments under our license agreements with Emory University and Luxna Biotech Co., Ltd.</w:t>
      </w:r>
    </w:p>
    <w:p>
      <w:pPr>
        <w:spacing w:after="0" w:line="129"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We entered into a License Agreement with Emory in June 2018 (the Emory License Agreement), and a License Agreement with Luxna in December 2018 and an amendment in April 2020 (as amended, the Luxna Agreement). Under the Emory License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2020, previously filed with the SEC. If these payments become due under the terms of either the Emory University License Agreement or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62"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payments to trial participants or patients;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effects to our results of operations and business;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any drug candidate;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52" w:lineRule="exact"/>
        <w:rPr>
          <w:sz w:val="20"/>
          <w:szCs w:val="20"/>
          <w:color w:val="auto"/>
        </w:rPr>
      </w:pPr>
    </w:p>
    <w:p>
      <w:pPr>
        <w:ind w:right="340" w:firstLine="382"/>
        <w:spacing w:after="0" w:line="277" w:lineRule="auto"/>
        <w:rPr>
          <w:sz w:val="20"/>
          <w:szCs w:val="20"/>
          <w:color w:val="auto"/>
        </w:rPr>
      </w:pPr>
      <w:r>
        <w:rPr>
          <w:rFonts w:ascii="Arial" w:cs="Arial" w:eastAsia="Arial" w:hAnsi="Arial"/>
          <w:sz w:val="18"/>
          <w:szCs w:val="18"/>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170"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firstLine="386"/>
        <w:spacing w:after="0" w:line="291"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p>
    <w:p>
      <w:pPr>
        <w:spacing w:after="0" w:line="166" w:lineRule="exact"/>
        <w:rPr>
          <w:sz w:val="20"/>
          <w:szCs w:val="20"/>
          <w:color w:val="auto"/>
        </w:rPr>
      </w:pPr>
    </w:p>
    <w:p>
      <w:pPr>
        <w:ind w:right="60" w:firstLine="386"/>
        <w:spacing w:after="0" w:line="271" w:lineRule="auto"/>
        <w:rPr>
          <w:sz w:val="20"/>
          <w:szCs w:val="20"/>
          <w:color w:val="auto"/>
        </w:rPr>
      </w:pPr>
      <w:r>
        <w:rPr>
          <w:rFonts w:ascii="Arial" w:cs="Arial" w:eastAsia="Arial" w:hAnsi="Arial"/>
          <w:sz w:val="17"/>
          <w:szCs w:val="17"/>
          <w:color w:val="auto"/>
        </w:rPr>
        <w:t>Since its enactment, there have been judicial, executive and Congressional challenges to the ACA. By way of example, the Tax Cuts and Jobs Act of 2017 (the TCJA) was signed into law, which included a provision repealing, effective January 1, 2019, the tax-based shared responsibility payment imposed by the ACA on certain individuals who fail to maintain qualifying health coverage for all or part of a year, commonly referred to as the individual mandate. On December 14, 2018, a Texas U.S. District Court Judge ruled that the ACA is unconstitutional in its entirety because the “individual mandate” was repealed by Congress as part of the TCJA. Additionally, on December 18, 2019, the U.S. Court of Appeals for the 5th Circuit ruled that that the individual mandate was unconstitutional and remanded the case back to the District Court to determine whether the remaining provisions of the ACA are invalid as well. The U.S. Supreme Court is currently reviewing this case, although it is unclear how the Supreme Court will rule. It is also unclear how other efforts, if any, to challenge, repeal or replace the ACA will impact the ACA or our business.</w:t>
      </w:r>
    </w:p>
    <w:p>
      <w:pPr>
        <w:spacing w:after="0" w:line="178" w:lineRule="exact"/>
        <w:rPr>
          <w:sz w:val="20"/>
          <w:szCs w:val="20"/>
          <w:color w:val="auto"/>
        </w:rPr>
      </w:pPr>
    </w:p>
    <w:p>
      <w:pPr>
        <w:ind w:right="40" w:firstLine="386"/>
        <w:spacing w:after="0" w:line="296"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2021, unless additional Congressional action is taken. In addition, on January 2, 2013, the American Taxpayer Relief Act of 2012 was signed into law, which, among other things, further reduced Medicare payments to several types of providers.</w:t>
      </w:r>
    </w:p>
    <w:p>
      <w:pPr>
        <w:spacing w:after="0" w:line="161" w:lineRule="exact"/>
        <w:rPr>
          <w:sz w:val="20"/>
          <w:szCs w:val="20"/>
          <w:color w:val="auto"/>
        </w:rPr>
      </w:pPr>
    </w:p>
    <w:p>
      <w:pPr>
        <w:ind w:firstLine="386"/>
        <w:spacing w:after="0" w:line="259"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 For example, it is possible that additional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governmental action will be taken to address the COVID-19 pandemic, which could impact our business in an as-yet unknown manner.</w:t>
      </w:r>
    </w:p>
    <w:p>
      <w:pPr>
        <w:spacing w:after="0" w:line="225"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It is unclear whether the Biden administration will work to reverse these measures or pursue similar policy initiatives to control drug costs. Any reduction in reimbursement from Medicare and other government programs may result in a similar reduction in payments from private payers.</w:t>
      </w:r>
    </w:p>
    <w:p>
      <w:pPr>
        <w:spacing w:after="0" w:line="28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76" w:lineRule="exact"/>
        <w:rPr>
          <w:sz w:val="20"/>
          <w:szCs w:val="20"/>
          <w:color w:val="auto"/>
        </w:rPr>
      </w:pPr>
    </w:p>
    <w:p>
      <w:pPr>
        <w:ind w:right="40" w:firstLine="382"/>
        <w:spacing w:after="0" w:line="289" w:lineRule="auto"/>
        <w:rPr>
          <w:sz w:val="20"/>
          <w:szCs w:val="20"/>
          <w:color w:val="auto"/>
        </w:rPr>
      </w:pPr>
      <w:r>
        <w:rPr>
          <w:rFonts w:ascii="Arial" w:cs="Arial" w:eastAsia="Arial" w:hAnsi="Arial"/>
          <w:sz w:val="16"/>
          <w:szCs w:val="16"/>
          <w:color w:val="auto"/>
        </w:rPr>
        <w:t>We and our partners may be subject to federal, state and foreign data privacy and security laws and regulations. Failure by us or our third-party vendors, collaborators, contractors and consultants to comply with any of these laws and regulations could result in 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166"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provided to us by a HIPAA-covered entity in a manner that is not authorized or permitted by HIPAA.</w:t>
      </w:r>
    </w:p>
    <w:p>
      <w:pPr>
        <w:spacing w:after="0" w:line="177" w:lineRule="exact"/>
        <w:rPr>
          <w:sz w:val="20"/>
          <w:szCs w:val="20"/>
          <w:color w:val="auto"/>
        </w:rPr>
      </w:pPr>
    </w:p>
    <w:p>
      <w:pPr>
        <w:ind w:right="80" w:firstLine="382"/>
        <w:spacing w:after="0" w:line="286" w:lineRule="auto"/>
        <w:rPr>
          <w:sz w:val="20"/>
          <w:szCs w:val="20"/>
          <w:color w:val="auto"/>
        </w:rPr>
      </w:pPr>
      <w:r>
        <w:rPr>
          <w:rFonts w:ascii="Arial" w:cs="Arial" w:eastAsia="Arial" w:hAnsi="Arial"/>
          <w:sz w:val="16"/>
          <w:szCs w:val="16"/>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of 2018 (CCPA) went into effect on January 1, 2020. The CCPA, among other things, creates individual privacy rights for California consumers, such as the right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The CCPA may increase our compliance costs and potential liability, and many similar laws have been proposed at the federal level and in other states. Further, the California Privacy Rights Act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or other domestic privacy and data protection laws, any liability from failure to comply with the requirements of these laws could adversely affect our financial condition.</w:t>
      </w:r>
    </w:p>
    <w:p>
      <w:pPr>
        <w:spacing w:after="0" w:line="201"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We currently operate in countries outside of the United States, including Belgium, Australia and China, where laws may in some cases be more stringent than the requirements in the United States. For example, in Europe, the General Data Protection Regulation (GDPR) went into effect in May 2018 and imposes strict requirements for the collection, storage, use, disclosure, transfer and other processing of the personal data of individuals within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limit retention of personal information and apply enhanced protections to health data and other special categories of personal data. The GDPR also applies to</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1" w:name="page62"/>
    <w:bookmarkEnd w:id="61"/>
    <w:p>
      <w:pPr>
        <w:spacing w:after="0" w:line="283" w:lineRule="auto"/>
        <w:rPr>
          <w:sz w:val="20"/>
          <w:szCs w:val="20"/>
          <w:color w:val="auto"/>
        </w:rPr>
      </w:pPr>
      <w:r>
        <w:rPr>
          <w:rFonts w:ascii="Arial" w:cs="Arial" w:eastAsia="Arial" w:hAnsi="Arial"/>
          <w:sz w:val="16"/>
          <w:szCs w:val="16"/>
          <w:color w:val="auto"/>
        </w:rPr>
        <w:t>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could result in fines of up to €20 million or 4% of the total worldwide annual turnover of our preceding fiscal year, whichever is higher, and other administrative penalties. Further, from January 1, 2021, we have to comply with the GDPR and also the United Kingdom GDPR (UK GDPR), which, together, with the amended Data Protection Act 2018, retains the GDPR in UK national law, the latter regime having the ability to separately fine up to the greater of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U.K. Trade and Cooperation Agreement, ending</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June 30, 2021 at the latest, whilst the parties discuss an adequacy decision. The European Commission published a draft adequacy decision on February 19, 2021. If adopted, the decision will enable data transfers from EU member states to the United Kingdom for a four-year period, subject to subsequent extensions.</w:t>
      </w:r>
    </w:p>
    <w:p>
      <w:pPr>
        <w:spacing w:after="0" w:line="82" w:lineRule="exact"/>
        <w:rPr>
          <w:sz w:val="20"/>
          <w:szCs w:val="20"/>
          <w:color w:val="auto"/>
        </w:rPr>
      </w:pPr>
    </w:p>
    <w:p>
      <w:pPr>
        <w:ind w:right="60" w:firstLine="382"/>
        <w:spacing w:after="0" w:line="289" w:lineRule="auto"/>
        <w:rPr>
          <w:sz w:val="20"/>
          <w:szCs w:val="20"/>
          <w:color w:val="auto"/>
        </w:rPr>
      </w:pPr>
      <w:r>
        <w:rPr>
          <w:rFonts w:ascii="Arial" w:cs="Arial" w:eastAsia="Arial" w:hAnsi="Arial"/>
          <w:sz w:val="16"/>
          <w:szCs w:val="16"/>
          <w:color w:val="auto"/>
        </w:rPr>
        <w:t>The GDPR further prohibits, without an appropriate legal basis, the transfer of personal data to countries outside of the EEA, such as the United States, which are not considered by the European Commission to provide an adequate level of data protection. Recent legal developments in Europe have created complexity and uncertainty regarding transfers of personal data from the EEA to the United States. For example, on July 16, 2020, the Court of Justice of the European Union (CJEU) invalidated the EU-US Privacy Shield Framework (the Privacy Shield) under which personal data could be transferred from the EEA to United States entities that had self-certified under the Privacy Shield scheme. While the CJEU upheld the adequacy, subject to certain conditions, of the standard contractual clauses (a standard form of contract approved by the European Commission as an adequate personal data transfer mechanism), future regulatory guidance could result in changes to the use of standard contractual clauses. Failure to comply with the GDPR and other countries’ privacy or data security-related laws, rules or regulations could result in material penalties imposed by regulators, affect our compliance with contracts entered into with our collaborators and other third-party payors, and have an adverse effect on our business and financial condition.</w:t>
      </w:r>
    </w:p>
    <w:p>
      <w:pPr>
        <w:spacing w:after="0" w:line="58" w:lineRule="exact"/>
        <w:rPr>
          <w:sz w:val="20"/>
          <w:szCs w:val="20"/>
          <w:color w:val="auto"/>
        </w:rPr>
      </w:pPr>
    </w:p>
    <w:p>
      <w:pPr>
        <w:ind w:right="220" w:firstLine="382"/>
        <w:spacing w:after="0" w:line="275" w:lineRule="auto"/>
        <w:rPr>
          <w:sz w:val="20"/>
          <w:szCs w:val="20"/>
          <w:color w:val="auto"/>
        </w:rPr>
      </w:pPr>
      <w:r>
        <w:rPr>
          <w:rFonts w:ascii="Arial" w:cs="Arial" w:eastAsia="Arial" w:hAnsi="Arial"/>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129" w:lineRule="exact"/>
        <w:rPr>
          <w:sz w:val="20"/>
          <w:szCs w:val="20"/>
          <w:color w:val="auto"/>
        </w:rPr>
      </w:pPr>
    </w:p>
    <w:p>
      <w:pPr>
        <w:ind w:right="80" w:firstLine="382"/>
        <w:spacing w:after="0" w:line="285"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57"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We are currently collaborating with third parties to develop certain of our potential drug candidates. For example, we are collaborating with the Rega Institute and Centre for Drug Design and Discovery at KU Leuven with respect to potential protease inhibitors for the treatment of coronaviruses, including SARS-CoV-2, with Emory University with respect to certain aspects of our small molecule CHB program and with Merck with respect to the discovery, research and development of oligonucleotides against a NASH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44" w:lineRule="exact"/>
        <w:rPr>
          <w:rFonts w:ascii="Arial" w:cs="Arial" w:eastAsia="Arial" w:hAnsi="Arial"/>
          <w:sz w:val="18"/>
          <w:szCs w:val="18"/>
          <w:color w:val="auto"/>
        </w:rPr>
      </w:pPr>
    </w:p>
    <w:p>
      <w:pPr>
        <w:ind w:left="760" w:right="300" w:hanging="374"/>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62" w:lineRule="exact"/>
        <w:rPr>
          <w:rFonts w:ascii="Arial" w:cs="Arial" w:eastAsia="Arial" w:hAnsi="Arial"/>
          <w:sz w:val="18"/>
          <w:szCs w:val="18"/>
          <w:color w:val="auto"/>
        </w:rPr>
      </w:pPr>
    </w:p>
    <w:p>
      <w:pPr>
        <w:ind w:left="760" w:right="160" w:hanging="374"/>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(if any) or drug candidates;</w:t>
      </w:r>
    </w:p>
    <w:p>
      <w:pPr>
        <w:spacing w:after="0" w:line="62" w:lineRule="exact"/>
        <w:rPr>
          <w:rFonts w:ascii="Arial" w:cs="Arial" w:eastAsia="Arial" w:hAnsi="Arial"/>
          <w:sz w:val="18"/>
          <w:szCs w:val="18"/>
          <w:color w:val="auto"/>
        </w:rPr>
      </w:pPr>
    </w:p>
    <w:p>
      <w:pPr>
        <w:ind w:left="760" w:right="380" w:hanging="374"/>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62" w:lineRule="exact"/>
        <w:rPr>
          <w:rFonts w:ascii="Arial" w:cs="Arial" w:eastAsia="Arial" w:hAnsi="Arial"/>
          <w:sz w:val="18"/>
          <w:szCs w:val="18"/>
          <w:color w:val="auto"/>
        </w:rPr>
      </w:pPr>
    </w:p>
    <w:p>
      <w:pPr>
        <w:ind w:left="760" w:right="20" w:hanging="374"/>
        <w:spacing w:after="0" w:line="263"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44" w:lineRule="exact"/>
        <w:rPr>
          <w:rFonts w:ascii="Arial" w:cs="Arial" w:eastAsia="Arial" w:hAnsi="Arial"/>
          <w:sz w:val="18"/>
          <w:szCs w:val="18"/>
          <w:color w:val="auto"/>
        </w:rPr>
      </w:pPr>
    </w:p>
    <w:p>
      <w:pPr>
        <w:ind w:left="760" w:right="340" w:hanging="374"/>
        <w:spacing w:after="0" w:line="342"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760" w:right="420" w:hanging="374"/>
        <w:spacing w:after="0" w:line="308" w:lineRule="auto"/>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146" w:lineRule="exact"/>
        <w:rPr>
          <w:sz w:val="20"/>
          <w:szCs w:val="20"/>
          <w:color w:val="auto"/>
        </w:rPr>
      </w:pPr>
    </w:p>
    <w:p>
      <w:pPr>
        <w:ind w:right="40" w:firstLine="382"/>
        <w:spacing w:after="0" w:line="255" w:lineRule="auto"/>
        <w:rPr>
          <w:sz w:val="20"/>
          <w:szCs w:val="20"/>
          <w:color w:val="auto"/>
        </w:rPr>
      </w:pPr>
      <w:r>
        <w:rPr>
          <w:rFonts w:ascii="Arial" w:cs="Arial" w:eastAsia="Arial" w:hAnsi="Arial"/>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200" w:firstLine="382"/>
        <w:spacing w:after="0" w:line="257" w:lineRule="auto"/>
        <w:rPr>
          <w:sz w:val="20"/>
          <w:szCs w:val="20"/>
          <w:color w:val="auto"/>
        </w:rPr>
      </w:pPr>
      <w:r>
        <w:rPr>
          <w:rFonts w:ascii="Arial" w:cs="Arial" w:eastAsia="Arial" w:hAnsi="Arial"/>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3" w:name="page64"/>
    <w:bookmarkEnd w:id="63"/>
    <w:p>
      <w:pPr>
        <w:ind w:right="40" w:firstLine="382"/>
        <w:spacing w:after="0" w:line="287"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172" w:lineRule="exact"/>
        <w:rPr>
          <w:sz w:val="20"/>
          <w:szCs w:val="20"/>
          <w:color w:val="auto"/>
        </w:rPr>
      </w:pPr>
    </w:p>
    <w:p>
      <w:pPr>
        <w:ind w:right="960" w:firstLine="382"/>
        <w:spacing w:after="0" w:line="277" w:lineRule="auto"/>
        <w:rPr>
          <w:sz w:val="20"/>
          <w:szCs w:val="20"/>
          <w:color w:val="auto"/>
        </w:rPr>
      </w:pPr>
      <w:r>
        <w:rPr>
          <w:rFonts w:ascii="Arial" w:cs="Arial" w:eastAsia="Arial" w:hAnsi="Arial"/>
          <w:sz w:val="18"/>
          <w:szCs w:val="18"/>
          <w:color w:val="auto"/>
        </w:rPr>
        <w:t>We may also be restricted under future collaboration agreements from entering into additional agreements on certain terms with potential collaborators.</w:t>
      </w:r>
    </w:p>
    <w:p>
      <w:pPr>
        <w:spacing w:after="0" w:line="170" w:lineRule="exact"/>
        <w:rPr>
          <w:sz w:val="20"/>
          <w:szCs w:val="20"/>
          <w:color w:val="auto"/>
        </w:rPr>
      </w:pPr>
    </w:p>
    <w:p>
      <w:pPr>
        <w:ind w:right="440" w:firstLine="382"/>
        <w:spacing w:after="0" w:line="277"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70" w:lineRule="exact"/>
        <w:rPr>
          <w:sz w:val="20"/>
          <w:szCs w:val="20"/>
          <w:color w:val="auto"/>
        </w:rPr>
      </w:pPr>
    </w:p>
    <w:p>
      <w:pPr>
        <w:ind w:right="80" w:firstLine="382"/>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2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2"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184"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296"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23" w:lineRule="exact"/>
        <w:rPr>
          <w:sz w:val="20"/>
          <w:szCs w:val="20"/>
          <w:color w:val="auto"/>
        </w:rPr>
      </w:pPr>
    </w:p>
    <w:p>
      <w:pPr>
        <w:ind w:right="100" w:firstLine="382"/>
        <w:spacing w:after="0" w:line="218" w:lineRule="exact"/>
        <w:rPr>
          <w:sz w:val="20"/>
          <w:szCs w:val="20"/>
          <w:color w:val="auto"/>
        </w:rPr>
      </w:pPr>
      <w:r>
        <w:rPr>
          <w:rFonts w:ascii="Arial" w:cs="Arial" w:eastAsia="Arial" w:hAnsi="Arial"/>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010133 and ALG</w:t>
      </w:r>
      <w:r>
        <w:rPr>
          <w:rFonts w:ascii="MS PGothic" w:cs="MS PGothic" w:eastAsia="MS PGothic" w:hAnsi="MS PGothic"/>
          <w:sz w:val="18"/>
          <w:szCs w:val="18"/>
          <w:color w:val="auto"/>
        </w:rPr>
        <w:t>‑</w:t>
      </w:r>
      <w:r>
        <w:rPr>
          <w:rFonts w:ascii="Arial" w:cs="Arial" w:eastAsia="Arial" w:hAnsi="Arial"/>
          <w:sz w:val="18"/>
          <w:szCs w:val="18"/>
          <w:color w:val="auto"/>
        </w:rPr>
        <w:t>000184,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firstLine="382"/>
        <w:spacing w:after="0" w:line="268" w:lineRule="auto"/>
        <w:rPr>
          <w:sz w:val="20"/>
          <w:szCs w:val="20"/>
          <w:color w:val="auto"/>
        </w:rPr>
      </w:pPr>
      <w:r>
        <w:rPr>
          <w:rFonts w:ascii="Arial" w:cs="Arial" w:eastAsia="Arial" w:hAnsi="Arial"/>
          <w:sz w:val="17"/>
          <w:szCs w:val="17"/>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4"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4" w:lineRule="exact"/>
        <w:rPr>
          <w:sz w:val="20"/>
          <w:szCs w:val="20"/>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undergo changes in priorities;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become financially distressed; or</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177"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if the quality or accuracy of the nonclinical or clinical data they obtain are compromised due to the failure to adhere to our protocols, regulatory requirements or for other reasons, or if they are negatively impacted by the COVID-19 pandemic,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28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57"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ind w:firstLine="382"/>
        <w:spacing w:after="0" w:line="291" w:lineRule="auto"/>
        <w:rPr>
          <w:sz w:val="20"/>
          <w:szCs w:val="20"/>
          <w:color w:val="auto"/>
        </w:rPr>
      </w:pPr>
      <w:r>
        <w:rPr>
          <w:rFonts w:ascii="Arial" w:cs="Arial" w:eastAsia="Arial" w:hAnsi="Arial"/>
          <w:sz w:val="16"/>
          <w:szCs w:val="16"/>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166" w:lineRule="exact"/>
        <w:rPr>
          <w:sz w:val="20"/>
          <w:szCs w:val="20"/>
          <w:color w:val="auto"/>
        </w:rPr>
      </w:pPr>
    </w:p>
    <w:p>
      <w:pPr>
        <w:ind w:right="560" w:firstLine="382"/>
        <w:spacing w:after="0" w:line="286" w:lineRule="auto"/>
        <w:rPr>
          <w:sz w:val="20"/>
          <w:szCs w:val="20"/>
          <w:color w:val="auto"/>
        </w:rPr>
      </w:pPr>
      <w:r>
        <w:rPr>
          <w:rFonts w:ascii="Arial" w:cs="Arial" w:eastAsia="Arial" w:hAnsi="Arial"/>
          <w:sz w:val="17"/>
          <w:szCs w:val="17"/>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165"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187" w:lineRule="exact"/>
        <w:rPr>
          <w:sz w:val="20"/>
          <w:szCs w:val="20"/>
          <w:color w:val="auto"/>
        </w:rPr>
      </w:pPr>
    </w:p>
    <w:p>
      <w:pPr>
        <w:ind w:right="160" w:firstLine="382"/>
        <w:spacing w:after="0" w:line="342"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24" w:lineRule="exact"/>
        <w:rPr>
          <w:sz w:val="20"/>
          <w:szCs w:val="20"/>
          <w:color w:val="auto"/>
        </w:rPr>
      </w:pPr>
    </w:p>
    <w:p>
      <w:pPr>
        <w:ind w:right="220" w:firstLine="382"/>
        <w:spacing w:after="0" w:line="259"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9" w:lineRule="exact"/>
        <w:rPr>
          <w:sz w:val="20"/>
          <w:szCs w:val="20"/>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jc w:val="both"/>
        <w:ind w:right="320" w:firstLine="382"/>
        <w:spacing w:after="0" w:line="301" w:lineRule="auto"/>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157" w:lineRule="exact"/>
        <w:rPr>
          <w:sz w:val="20"/>
          <w:szCs w:val="20"/>
          <w:color w:val="auto"/>
        </w:rPr>
      </w:pPr>
    </w:p>
    <w:p>
      <w:pPr>
        <w:ind w:right="100" w:firstLine="382"/>
        <w:spacing w:after="0" w:line="342" w:lineRule="auto"/>
        <w:rPr>
          <w:sz w:val="20"/>
          <w:szCs w:val="20"/>
          <w:color w:val="auto"/>
        </w:rPr>
      </w:pPr>
      <w:r>
        <w:rPr>
          <w:rFonts w:ascii="Arial" w:cs="Arial" w:eastAsia="Arial" w:hAnsi="Arial"/>
          <w:sz w:val="16"/>
          <w:szCs w:val="16"/>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124"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188" w:lineRule="exact"/>
        <w:rPr>
          <w:sz w:val="20"/>
          <w:szCs w:val="20"/>
          <w:color w:val="auto"/>
        </w:rPr>
      </w:pPr>
    </w:p>
    <w:p>
      <w:pPr>
        <w:ind w:right="340" w:firstLine="382"/>
        <w:spacing w:after="0" w:line="263" w:lineRule="auto"/>
        <w:rPr>
          <w:sz w:val="20"/>
          <w:szCs w:val="20"/>
          <w:color w:val="auto"/>
        </w:rPr>
      </w:pPr>
      <w:r>
        <w:rPr>
          <w:rFonts w:ascii="Arial" w:cs="Arial" w:eastAsia="Arial" w:hAnsi="Arial"/>
          <w:sz w:val="18"/>
          <w:szCs w:val="18"/>
          <w:color w:val="auto"/>
        </w:rPr>
        <w:t>Some of our third-party manufacturers which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our clinical development.</w:t>
      </w:r>
    </w:p>
    <w:p>
      <w:pPr>
        <w:spacing w:after="0" w:line="184"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p>
      <w:pPr>
        <w:jc w:val="both"/>
        <w:ind w:right="200"/>
        <w:spacing w:after="0" w:line="311" w:lineRule="auto"/>
        <w:rPr>
          <w:sz w:val="20"/>
          <w:szCs w:val="20"/>
          <w:color w:val="auto"/>
        </w:rPr>
      </w:pPr>
      <w:r>
        <w:rPr>
          <w:rFonts w:ascii="Arial" w:cs="Arial" w:eastAsia="Arial" w:hAnsi="Arial"/>
          <w:sz w:val="16"/>
          <w:szCs w:val="16"/>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41"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69" w:lineRule="exact"/>
        <w:rPr>
          <w:sz w:val="20"/>
          <w:szCs w:val="20"/>
          <w:color w:val="auto"/>
        </w:rPr>
      </w:pPr>
    </w:p>
    <w:p>
      <w:pPr>
        <w:ind w:left="760" w:right="80" w:hanging="374"/>
        <w:spacing w:after="0" w:line="254"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86" w:lineRule="exact"/>
        <w:rPr>
          <w:rFonts w:ascii="Arial" w:cs="Arial" w:eastAsia="Arial" w:hAnsi="Arial"/>
          <w:sz w:val="18"/>
          <w:szCs w:val="18"/>
          <w:color w:val="auto"/>
        </w:rPr>
      </w:pPr>
    </w:p>
    <w:p>
      <w:pPr>
        <w:ind w:left="760" w:right="40" w:hanging="374"/>
        <w:spacing w:after="0" w:line="25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79" w:lineRule="exact"/>
        <w:rPr>
          <w:rFonts w:ascii="Arial" w:cs="Arial" w:eastAsia="Arial" w:hAnsi="Arial"/>
          <w:sz w:val="18"/>
          <w:szCs w:val="18"/>
          <w:color w:val="auto"/>
        </w:rPr>
      </w:pPr>
    </w:p>
    <w:p>
      <w:pPr>
        <w:ind w:left="760" w:right="40" w:hanging="374"/>
        <w:spacing w:after="0" w:line="293"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56" w:lineRule="exact"/>
        <w:rPr>
          <w:rFonts w:ascii="Arial" w:cs="Arial" w:eastAsia="Arial" w:hAnsi="Arial"/>
          <w:sz w:val="16"/>
          <w:szCs w:val="16"/>
          <w:color w:val="auto"/>
        </w:rPr>
      </w:pPr>
    </w:p>
    <w:p>
      <w:pPr>
        <w:ind w:left="760" w:hanging="374"/>
        <w:spacing w:after="0" w:line="272" w:lineRule="auto"/>
        <w:tabs>
          <w:tab w:leader="none" w:pos="7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such obligations will include payments and other transfers of value provided in the previous year to certain other healthcare professionals, including physician assistants, nurse practitioners, clinical nurse specialists, certified nurse anesthetists, anesthesiology assistants and certified nurse-midwives;</w:t>
      </w:r>
    </w:p>
    <w:p>
      <w:pPr>
        <w:spacing w:after="0" w:line="69" w:lineRule="exact"/>
        <w:rPr>
          <w:rFonts w:ascii="Arial" w:cs="Arial" w:eastAsia="Arial" w:hAnsi="Arial"/>
          <w:sz w:val="17"/>
          <w:szCs w:val="17"/>
          <w:color w:val="auto"/>
        </w:rPr>
      </w:pPr>
    </w:p>
    <w:p>
      <w:pPr>
        <w:ind w:left="760" w:right="480" w:hanging="374"/>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760" w:right="40" w:hanging="374"/>
        <w:spacing w:after="0" w:line="254"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ind w:firstLine="382"/>
        <w:spacing w:after="0" w:line="272"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77" w:lineRule="exact"/>
        <w:rPr>
          <w:sz w:val="20"/>
          <w:szCs w:val="20"/>
          <w:color w:val="auto"/>
        </w:rPr>
      </w:pPr>
    </w:p>
    <w:p>
      <w:pPr>
        <w:ind w:right="60" w:firstLine="382"/>
        <w:spacing w:after="0" w:line="253"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57" w:lineRule="exact"/>
        <w:rPr>
          <w:sz w:val="20"/>
          <w:szCs w:val="20"/>
          <w:color w:val="auto"/>
        </w:rPr>
      </w:pPr>
    </w:p>
    <w:p>
      <w:pPr>
        <w:ind w:right="80" w:firstLine="382"/>
        <w:spacing w:after="0" w:line="219" w:lineRule="exact"/>
        <w:rPr>
          <w:sz w:val="20"/>
          <w:szCs w:val="20"/>
          <w:color w:val="auto"/>
        </w:rPr>
      </w:pPr>
      <w:r>
        <w:rPr>
          <w:rFonts w:ascii="Arial" w:cs="Arial" w:eastAsia="Arial" w:hAnsi="Arial"/>
          <w:sz w:val="16"/>
          <w:szCs w:val="16"/>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We do not own any issued patents with respect to our programs, including our CHB and NASH programs, and we do not own or in-license any issued patents with claims that specifically recite our ALG</w:t>
      </w:r>
      <w:r>
        <w:rPr>
          <w:rFonts w:ascii="MS PGothic" w:cs="MS PGothic" w:eastAsia="MS PGothic" w:hAnsi="MS PGothic"/>
          <w:sz w:val="16"/>
          <w:szCs w:val="16"/>
          <w:color w:val="auto"/>
        </w:rPr>
        <w:t>‑</w:t>
      </w:r>
      <w:r>
        <w:rPr>
          <w:rFonts w:ascii="Arial" w:cs="Arial" w:eastAsia="Arial" w:hAnsi="Arial"/>
          <w:sz w:val="16"/>
          <w:szCs w:val="16"/>
          <w:color w:val="auto"/>
        </w:rPr>
        <w:t>010133, ALG</w:t>
      </w:r>
      <w:r>
        <w:rPr>
          <w:rFonts w:ascii="MS PGothic" w:cs="MS PGothic" w:eastAsia="MS PGothic" w:hAnsi="MS PGothic"/>
          <w:sz w:val="16"/>
          <w:szCs w:val="16"/>
          <w:color w:val="auto"/>
        </w:rPr>
        <w:t>‑</w:t>
      </w:r>
      <w:r>
        <w:rPr>
          <w:rFonts w:ascii="Arial" w:cs="Arial" w:eastAsia="Arial" w:hAnsi="Arial"/>
          <w:sz w:val="16"/>
          <w:szCs w:val="16"/>
          <w:color w:val="auto"/>
        </w:rPr>
        <w:t>000184, ALG</w:t>
      </w:r>
      <w:r>
        <w:rPr>
          <w:rFonts w:ascii="MS PGothic" w:cs="MS PGothic" w:eastAsia="MS PGothic" w:hAnsi="MS PGothic"/>
          <w:sz w:val="16"/>
          <w:szCs w:val="16"/>
          <w:color w:val="auto"/>
        </w:rPr>
        <w:t>‑</w:t>
      </w:r>
      <w:r>
        <w:rPr>
          <w:rFonts w:ascii="Arial" w:cs="Arial" w:eastAsia="Arial" w:hAnsi="Arial"/>
          <w:sz w:val="16"/>
          <w:szCs w:val="16"/>
          <w:color w:val="auto"/>
        </w:rPr>
        <w:t>020572, ALG</w:t>
      </w:r>
      <w:r>
        <w:rPr>
          <w:rFonts w:ascii="MS PGothic" w:cs="MS PGothic" w:eastAsia="MS PGothic" w:hAnsi="MS PGothic"/>
          <w:sz w:val="16"/>
          <w:szCs w:val="16"/>
          <w:color w:val="auto"/>
        </w:rPr>
        <w:t>‑</w:t>
      </w:r>
      <w:r>
        <w:rPr>
          <w:rFonts w:ascii="Arial" w:cs="Arial" w:eastAsia="Arial" w:hAnsi="Arial"/>
          <w:sz w:val="16"/>
          <w:szCs w:val="16"/>
          <w:color w:val="auto"/>
        </w:rPr>
        <w:t>125755 and ALG-055009 drug candidates. We can provide no assurance that any of our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For example, there are certain patents and patent applications (and there may be other patents and patent applications) that are owned by third parties, including our competitors, that have (or may have) an earlier filing date, and could be determined to have an earlier priority date, than our patent applications relating to our STOPS candidate, ALG-010133. If a patent or patent application is determined to have an earlier priority date, it may prevent our patent applications from issuing at all or issuing in a form that provides any competitive advantage for our product candidates. Failure to obtain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product candidates. We may not be able to obtain these licenses on acceptable or commercially reasonable terms, if at all, or these licenses may be non-exclusive, which could result in our competitors using the same intellectual property.</w:t>
      </w:r>
    </w:p>
    <w:p>
      <w:pPr>
        <w:spacing w:after="0" w:line="385" w:lineRule="exact"/>
        <w:rPr>
          <w:sz w:val="20"/>
          <w:szCs w:val="20"/>
          <w:color w:val="auto"/>
        </w:rPr>
      </w:pPr>
    </w:p>
    <w:p>
      <w:pPr>
        <w:ind w:right="220" w:firstLine="382"/>
        <w:spacing w:after="0" w:line="254"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120" w:firstLine="382"/>
        <w:spacing w:after="0" w:line="293" w:lineRule="auto"/>
        <w:rPr>
          <w:sz w:val="20"/>
          <w:szCs w:val="20"/>
          <w:color w:val="auto"/>
        </w:rPr>
      </w:pPr>
      <w:r>
        <w:rPr>
          <w:rFonts w:ascii="Arial" w:cs="Arial" w:eastAsia="Arial" w:hAnsi="Arial"/>
          <w:sz w:val="16"/>
          <w:szCs w:val="16"/>
          <w:color w:val="auto"/>
        </w:rPr>
        <w:t>We currently are the assignee of a number of U.S. provisional patent applications. U.S. provisional patent applications are not eligible to become issued patents until, among other things, we file a non-provisional patent application within 12 months of filing of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164"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77"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185" w:lineRule="exact"/>
        <w:rPr>
          <w:sz w:val="20"/>
          <w:szCs w:val="20"/>
          <w:color w:val="auto"/>
        </w:rPr>
      </w:pPr>
    </w:p>
    <w:p>
      <w:pPr>
        <w:ind w:right="40" w:firstLine="382"/>
        <w:spacing w:after="0" w:line="268"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186"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60"/>
        <w:spacing w:after="0" w:line="259" w:lineRule="auto"/>
        <w:rPr>
          <w:sz w:val="20"/>
          <w:szCs w:val="20"/>
          <w:color w:val="auto"/>
        </w:rPr>
      </w:pPr>
      <w:r>
        <w:rPr>
          <w:rFonts w:ascii="Arial" w:cs="Arial" w:eastAsia="Arial" w:hAnsi="Arial"/>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9" w:lineRule="exact"/>
        <w:rPr>
          <w:sz w:val="20"/>
          <w:szCs w:val="20"/>
          <w:color w:val="auto"/>
        </w:rPr>
      </w:pPr>
    </w:p>
    <w:p>
      <w:pPr>
        <w:ind w:right="40" w:firstLine="382"/>
        <w:spacing w:after="0" w:line="275" w:lineRule="auto"/>
        <w:rPr>
          <w:sz w:val="20"/>
          <w:szCs w:val="20"/>
          <w:color w:val="auto"/>
        </w:rPr>
      </w:pPr>
      <w:r>
        <w:rPr>
          <w:rFonts w:ascii="Arial" w:cs="Arial" w:eastAsia="Arial" w:hAnsi="Arial"/>
          <w:sz w:val="17"/>
          <w:szCs w:val="17"/>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176"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80"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182" w:lineRule="exact"/>
        <w:rPr>
          <w:sz w:val="20"/>
          <w:szCs w:val="20"/>
          <w:color w:val="auto"/>
        </w:rPr>
      </w:pPr>
    </w:p>
    <w:p>
      <w:pPr>
        <w:ind w:right="40" w:firstLine="382"/>
        <w:spacing w:after="0" w:line="289" w:lineRule="auto"/>
        <w:rPr>
          <w:sz w:val="20"/>
          <w:szCs w:val="20"/>
          <w:color w:val="auto"/>
        </w:rPr>
      </w:pPr>
      <w:r>
        <w:rPr>
          <w:rFonts w:ascii="Arial" w:cs="Arial" w:eastAsia="Arial" w:hAnsi="Arial"/>
          <w:sz w:val="16"/>
          <w:szCs w:val="16"/>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right="60" w:firstLine="382"/>
        <w:spacing w:after="0" w:line="270" w:lineRule="auto"/>
        <w:rPr>
          <w:sz w:val="20"/>
          <w:szCs w:val="20"/>
          <w:color w:val="auto"/>
        </w:rPr>
      </w:pPr>
      <w:r>
        <w:rPr>
          <w:rFonts w:ascii="Arial" w:cs="Arial" w:eastAsia="Arial" w:hAnsi="Arial"/>
          <w:sz w:val="17"/>
          <w:szCs w:val="17"/>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1" w:lineRule="exact"/>
        <w:rPr>
          <w:sz w:val="20"/>
          <w:szCs w:val="20"/>
          <w:color w:val="auto"/>
        </w:rPr>
      </w:pPr>
    </w:p>
    <w:p>
      <w:pPr>
        <w:jc w:val="both"/>
        <w:ind w:right="460" w:firstLine="382"/>
        <w:spacing w:after="0" w:line="263"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76" w:lineRule="exact"/>
        <w:rPr>
          <w:sz w:val="20"/>
          <w:szCs w:val="20"/>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intellectual property of the other party that are not subject to the licensing agreement;</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44" w:lineRule="exact"/>
        <w:rPr>
          <w:rFonts w:ascii="Arial" w:cs="Arial" w:eastAsia="Arial" w:hAnsi="Arial"/>
          <w:sz w:val="18"/>
          <w:szCs w:val="18"/>
          <w:color w:val="auto"/>
        </w:rPr>
      </w:pPr>
    </w:p>
    <w:p>
      <w:pPr>
        <w:ind w:left="760" w:right="600" w:hanging="374"/>
        <w:spacing w:after="0" w:line="27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252"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192"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187" w:lineRule="exact"/>
        <w:rPr>
          <w:sz w:val="20"/>
          <w:szCs w:val="20"/>
          <w:color w:val="auto"/>
        </w:rPr>
      </w:pPr>
    </w:p>
    <w:p>
      <w:pPr>
        <w:ind w:right="160" w:firstLine="382"/>
        <w:spacing w:after="0" w:line="279" w:lineRule="auto"/>
        <w:rPr>
          <w:sz w:val="20"/>
          <w:szCs w:val="20"/>
          <w:color w:val="auto"/>
        </w:rPr>
      </w:pPr>
      <w:r>
        <w:rPr>
          <w:rFonts w:ascii="Arial" w:cs="Arial" w:eastAsia="Arial" w:hAnsi="Arial"/>
          <w:sz w:val="17"/>
          <w:szCs w:val="17"/>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2020, previously filed with the SEC.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17"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20"/>
        <w:spacing w:after="0" w:line="270" w:lineRule="auto"/>
        <w:rPr>
          <w:sz w:val="20"/>
          <w:szCs w:val="20"/>
          <w:color w:val="auto"/>
        </w:rPr>
      </w:pPr>
      <w:r>
        <w:rPr>
          <w:rFonts w:ascii="Arial" w:cs="Arial" w:eastAsia="Arial" w:hAnsi="Arial"/>
          <w:sz w:val="17"/>
          <w:szCs w:val="17"/>
          <w:color w:val="auto"/>
        </w:rPr>
        <w:t>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Beginning in June 2022, the license to such patents will become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2020, previously filed with the SEC. Any of the foregoing could harm our competitive position, business, financial condition, results of operations and prospects.</w:t>
      </w:r>
    </w:p>
    <w:p>
      <w:pPr>
        <w:spacing w:after="0" w:line="28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38" w:lineRule="exact"/>
        <w:rPr>
          <w:sz w:val="20"/>
          <w:szCs w:val="20"/>
          <w:color w:val="auto"/>
        </w:rPr>
      </w:pPr>
    </w:p>
    <w:p>
      <w:pPr>
        <w:ind w:right="80" w:firstLine="382"/>
        <w:spacing w:after="0" w:line="286"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171" w:lineRule="exact"/>
        <w:rPr>
          <w:sz w:val="20"/>
          <w:szCs w:val="20"/>
          <w:color w:val="auto"/>
        </w:rPr>
      </w:pPr>
    </w:p>
    <w:p>
      <w:pPr>
        <w:ind w:right="20" w:firstLine="382"/>
        <w:spacing w:after="0" w:line="218" w:lineRule="exact"/>
        <w:rPr>
          <w:sz w:val="20"/>
          <w:szCs w:val="20"/>
          <w:color w:val="auto"/>
        </w:rPr>
      </w:pPr>
      <w:r>
        <w:rPr>
          <w:rFonts w:ascii="Arial" w:cs="Arial" w:eastAsia="Arial" w:hAnsi="Arial"/>
          <w:sz w:val="17"/>
          <w:szCs w:val="17"/>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7"/>
          <w:szCs w:val="17"/>
          <w:color w:val="auto"/>
        </w:rPr>
        <w:t>‑</w:t>
      </w:r>
      <w:r>
        <w:rPr>
          <w:rFonts w:ascii="Arial" w:cs="Arial" w:eastAsia="Arial" w:hAnsi="Arial"/>
          <w:sz w:val="17"/>
          <w:szCs w:val="17"/>
          <w:color w:val="auto"/>
        </w:rPr>
        <w:t>055009, ALG</w:t>
      </w:r>
      <w:r>
        <w:rPr>
          <w:rFonts w:ascii="MS PGothic" w:cs="MS PGothic" w:eastAsia="MS PGothic" w:hAnsi="MS PGothic"/>
          <w:sz w:val="17"/>
          <w:szCs w:val="17"/>
          <w:color w:val="auto"/>
        </w:rPr>
        <w:t>‑</w:t>
      </w:r>
      <w:r>
        <w:rPr>
          <w:rFonts w:ascii="Arial" w:cs="Arial" w:eastAsia="Arial" w:hAnsi="Arial"/>
          <w:sz w:val="17"/>
          <w:szCs w:val="17"/>
          <w:color w:val="auto"/>
        </w:rPr>
        <w:t>125755 and ALG</w:t>
      </w:r>
      <w:r>
        <w:rPr>
          <w:rFonts w:ascii="MS PGothic" w:cs="MS PGothic" w:eastAsia="MS PGothic" w:hAnsi="MS PGothic"/>
          <w:sz w:val="17"/>
          <w:szCs w:val="17"/>
          <w:color w:val="auto"/>
        </w:rPr>
        <w:t>‑</w:t>
      </w:r>
      <w:r>
        <w:rPr>
          <w:rFonts w:ascii="Arial" w:cs="Arial" w:eastAsia="Arial" w:hAnsi="Arial"/>
          <w:sz w:val="17"/>
          <w:szCs w:val="17"/>
          <w:color w:val="auto"/>
        </w:rPr>
        <w:t>010133.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206"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establish our competitive position on our drug candidates for an adequate amount of time.</w:t>
      </w:r>
    </w:p>
    <w:p>
      <w:pPr>
        <w:spacing w:after="0" w:line="117"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ind w:right="40" w:firstLine="382"/>
        <w:spacing w:after="0" w:line="268" w:lineRule="auto"/>
        <w:rPr>
          <w:sz w:val="20"/>
          <w:szCs w:val="20"/>
          <w:color w:val="auto"/>
        </w:rPr>
      </w:pPr>
      <w:r>
        <w:rPr>
          <w:rFonts w:ascii="Arial" w:cs="Arial" w:eastAsia="Arial" w:hAnsi="Arial"/>
          <w:sz w:val="17"/>
          <w:szCs w:val="17"/>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186" w:lineRule="exact"/>
        <w:rPr>
          <w:sz w:val="20"/>
          <w:szCs w:val="20"/>
          <w:color w:val="auto"/>
        </w:rPr>
      </w:pPr>
    </w:p>
    <w:p>
      <w:pPr>
        <w:jc w:val="both"/>
        <w:ind w:right="120" w:firstLine="382"/>
        <w:spacing w:after="0" w:line="293" w:lineRule="auto"/>
        <w:rPr>
          <w:sz w:val="20"/>
          <w:szCs w:val="20"/>
          <w:color w:val="auto"/>
        </w:rPr>
      </w:pPr>
      <w:r>
        <w:rPr>
          <w:rFonts w:ascii="Arial" w:cs="Arial" w:eastAsia="Arial" w:hAnsi="Arial"/>
          <w:sz w:val="16"/>
          <w:szCs w:val="16"/>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78"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95"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drug candidates.</w:t>
      </w:r>
    </w:p>
    <w:p>
      <w:pPr>
        <w:spacing w:after="0" w:line="117"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164"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288"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1"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68" w:lineRule="exact"/>
        <w:rPr>
          <w:sz w:val="20"/>
          <w:szCs w:val="20"/>
          <w:color w:val="auto"/>
        </w:rPr>
      </w:pPr>
    </w:p>
    <w:p>
      <w:pPr>
        <w:ind w:right="40" w:firstLine="382"/>
        <w:spacing w:after="0" w:line="289"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right="100"/>
        <w:spacing w:after="0" w:line="257" w:lineRule="auto"/>
        <w:rPr>
          <w:sz w:val="20"/>
          <w:szCs w:val="20"/>
          <w:color w:val="auto"/>
        </w:rPr>
      </w:pPr>
      <w:r>
        <w:rPr>
          <w:rFonts w:ascii="Arial" w:cs="Arial" w:eastAsia="Arial" w:hAnsi="Arial"/>
          <w:sz w:val="18"/>
          <w:szCs w:val="18"/>
          <w:color w:val="auto"/>
        </w:rPr>
        <w:t>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188"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87"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ind w:right="20" w:firstLine="382"/>
        <w:spacing w:after="0" w:line="289" w:lineRule="auto"/>
        <w:rPr>
          <w:sz w:val="20"/>
          <w:szCs w:val="20"/>
          <w:color w:val="auto"/>
        </w:rPr>
      </w:pPr>
      <w:r>
        <w:rPr>
          <w:rFonts w:ascii="Arial" w:cs="Arial" w:eastAsia="Arial" w:hAnsi="Arial"/>
          <w:sz w:val="16"/>
          <w:szCs w:val="16"/>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2" w:lineRule="exact"/>
        <w:rPr>
          <w:sz w:val="20"/>
          <w:szCs w:val="20"/>
          <w:color w:val="auto"/>
        </w:rPr>
      </w:pPr>
    </w:p>
    <w:p>
      <w:pPr>
        <w:ind w:right="140" w:firstLine="382"/>
        <w:spacing w:after="0" w:line="291" w:lineRule="auto"/>
        <w:rPr>
          <w:sz w:val="20"/>
          <w:szCs w:val="20"/>
          <w:color w:val="auto"/>
        </w:rPr>
      </w:pPr>
      <w:r>
        <w:rPr>
          <w:rFonts w:ascii="Arial" w:cs="Arial" w:eastAsia="Arial" w:hAnsi="Arial"/>
          <w:sz w:val="16"/>
          <w:szCs w:val="16"/>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166" w:lineRule="exact"/>
        <w:rPr>
          <w:sz w:val="20"/>
          <w:szCs w:val="20"/>
          <w:color w:val="auto"/>
        </w:rPr>
      </w:pPr>
    </w:p>
    <w:p>
      <w:pPr>
        <w:ind w:firstLine="382"/>
        <w:spacing w:after="0" w:line="285"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62"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192" w:lineRule="exact"/>
        <w:rPr>
          <w:sz w:val="20"/>
          <w:szCs w:val="20"/>
          <w:color w:val="auto"/>
        </w:rPr>
      </w:pPr>
    </w:p>
    <w:p>
      <w:pPr>
        <w:jc w:val="both"/>
        <w:ind w:right="180" w:firstLine="382"/>
        <w:spacing w:after="0" w:line="259"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20" w:firstLine="382"/>
        <w:spacing w:after="0" w:line="287"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300" w:firstLine="382"/>
        <w:spacing w:after="0" w:line="277" w:lineRule="auto"/>
        <w:rPr>
          <w:sz w:val="20"/>
          <w:szCs w:val="20"/>
          <w:color w:val="auto"/>
        </w:rPr>
      </w:pPr>
      <w:r>
        <w:rPr>
          <w:rFonts w:ascii="Arial" w:cs="Arial" w:eastAsia="Arial" w:hAnsi="Arial"/>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760" w:right="62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760" w:right="58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760" w:right="42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760" w:right="50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760" w:right="42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55" w:lineRule="exact"/>
        <w:rPr>
          <w:rFonts w:ascii="Arial" w:cs="Arial" w:eastAsia="Arial" w:hAnsi="Arial"/>
          <w:sz w:val="17"/>
          <w:szCs w:val="17"/>
          <w:color w:val="auto"/>
        </w:rPr>
      </w:pPr>
    </w:p>
    <w:p>
      <w:pPr>
        <w:ind w:left="760" w:right="80" w:hanging="374"/>
        <w:spacing w:after="0" w:line="277"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intellectual property rights of others may harm our business;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ind w:left="760" w:right="520" w:hanging="374"/>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directed to such intellectual property.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100" w:firstLine="382"/>
        <w:spacing w:after="0" w:line="311" w:lineRule="auto"/>
        <w:rPr>
          <w:sz w:val="20"/>
          <w:szCs w:val="20"/>
          <w:color w:val="auto"/>
        </w:rPr>
      </w:pPr>
      <w:r>
        <w:rPr>
          <w:rFonts w:ascii="Arial" w:cs="Arial" w:eastAsia="Arial" w:hAnsi="Arial"/>
          <w:sz w:val="16"/>
          <w:szCs w:val="16"/>
          <w:color w:val="auto"/>
        </w:rPr>
        <w:t>We are highly dependent on our management, scientific and medical personnel, including our Chief Executive Officer, Dr. Blatt, and our President, Dr. Beigelman.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149"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3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2" w:lineRule="exact"/>
        <w:rPr>
          <w:sz w:val="20"/>
          <w:szCs w:val="20"/>
          <w:color w:val="auto"/>
        </w:rPr>
      </w:pPr>
    </w:p>
    <w:p>
      <w:pPr>
        <w:ind w:right="60" w:firstLine="382"/>
        <w:spacing w:after="0" w:line="268" w:lineRule="auto"/>
        <w:rPr>
          <w:sz w:val="20"/>
          <w:szCs w:val="20"/>
          <w:color w:val="auto"/>
        </w:rPr>
      </w:pPr>
      <w:r>
        <w:rPr>
          <w:rFonts w:ascii="Arial" w:cs="Arial" w:eastAsia="Arial" w:hAnsi="Arial"/>
          <w:sz w:val="17"/>
          <w:szCs w:val="17"/>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right="220" w:firstLine="382"/>
        <w:spacing w:after="0" w:line="259" w:lineRule="auto"/>
        <w:rPr>
          <w:sz w:val="20"/>
          <w:szCs w:val="20"/>
          <w:color w:val="auto"/>
        </w:rPr>
      </w:pPr>
      <w:r>
        <w:rPr>
          <w:rFonts w:ascii="Arial" w:cs="Arial" w:eastAsia="Arial" w:hAnsi="Arial"/>
          <w:sz w:val="18"/>
          <w:szCs w:val="18"/>
          <w:color w:val="auto"/>
        </w:rPr>
        <w:t>As of June 30, 2021, we had 86 full-time employees, including 71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760" w:hanging="37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44" w:lineRule="exact"/>
        <w:rPr>
          <w:rFonts w:ascii="Arial" w:cs="Arial" w:eastAsia="Arial" w:hAnsi="Arial"/>
          <w:sz w:val="18"/>
          <w:szCs w:val="18"/>
          <w:color w:val="auto"/>
        </w:rPr>
      </w:pPr>
    </w:p>
    <w:p>
      <w:pPr>
        <w:ind w:left="760" w:right="240" w:hanging="374"/>
        <w:spacing w:after="0" w:line="308" w:lineRule="auto"/>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expanding and enhancing our operational, financial and management controls, reporting systems and procedures.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7" w:name="page78"/>
    <w:bookmarkEnd w:id="77"/>
    <w:p>
      <w:pPr>
        <w:ind w:right="100" w:firstLine="382"/>
        <w:spacing w:after="0" w:line="259"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ind w:right="40" w:firstLine="382"/>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jc w:val="both"/>
        <w:ind w:right="140" w:firstLine="38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40" w:firstLine="382"/>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164"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20" w:firstLine="382"/>
        <w:spacing w:after="0" w:line="217" w:lineRule="exact"/>
        <w:rPr>
          <w:sz w:val="20"/>
          <w:szCs w:val="20"/>
          <w:color w:val="auto"/>
        </w:rPr>
      </w:pPr>
      <w:r>
        <w:rPr>
          <w:rFonts w:ascii="Arial" w:cs="Arial" w:eastAsia="Arial" w:hAnsi="Arial"/>
          <w:sz w:val="16"/>
          <w:szCs w:val="16"/>
          <w:color w:val="auto"/>
        </w:rPr>
        <w:t>Our corporate headquarters and other facilities are located in the San Francisco Bay Area, which in the past has experienced both severe earthquakes and wildfires. We are also conducting our initial clinical trials for ALG</w:t>
      </w:r>
      <w:r>
        <w:rPr>
          <w:rFonts w:ascii="MS PGothic" w:cs="MS PGothic" w:eastAsia="MS PGothic" w:hAnsi="MS PGothic"/>
          <w:sz w:val="16"/>
          <w:szCs w:val="16"/>
          <w:color w:val="auto"/>
        </w:rPr>
        <w:t>‑</w:t>
      </w:r>
      <w:r>
        <w:rPr>
          <w:rFonts w:ascii="Arial" w:cs="Arial" w:eastAsia="Arial" w:hAnsi="Arial"/>
          <w:sz w:val="16"/>
          <w:szCs w:val="16"/>
          <w:color w:val="auto"/>
        </w:rPr>
        <w:t>010133 and ALG</w:t>
      </w:r>
      <w:r>
        <w:rPr>
          <w:rFonts w:ascii="MS PGothic" w:cs="MS PGothic" w:eastAsia="MS PGothic" w:hAnsi="MS PGothic"/>
          <w:sz w:val="16"/>
          <w:szCs w:val="16"/>
          <w:color w:val="auto"/>
        </w:rPr>
        <w:t>‑</w:t>
      </w:r>
      <w:r>
        <w:rPr>
          <w:rFonts w:ascii="Arial" w:cs="Arial" w:eastAsia="Arial" w:hAnsi="Arial"/>
          <w:sz w:val="16"/>
          <w:szCs w:val="16"/>
          <w:color w:val="auto"/>
        </w:rPr>
        <w:t>000184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8" w:name="page79"/>
    <w:bookmarkEnd w:id="78"/>
    <w:p>
      <w:pPr>
        <w:ind w:right="36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firstLine="382"/>
        <w:spacing w:after="0" w:line="267"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investors.</w:t>
      </w:r>
    </w:p>
    <w:p>
      <w:pPr>
        <w:spacing w:after="0" w:line="117" w:lineRule="exact"/>
        <w:rPr>
          <w:sz w:val="20"/>
          <w:szCs w:val="20"/>
          <w:color w:val="auto"/>
        </w:rPr>
      </w:pPr>
    </w:p>
    <w:p>
      <w:pPr>
        <w:ind w:right="80" w:firstLine="382"/>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ongoing COVID-19 pandemic, for example, has negatively affected the stock market and investor sentiment and has resulted in significant volatility. The market price for our common stock may be influenced by many factors, including:</w:t>
      </w:r>
    </w:p>
    <w:p>
      <w:pPr>
        <w:spacing w:after="0" w:line="79" w:lineRule="exact"/>
        <w:rPr>
          <w:sz w:val="20"/>
          <w:szCs w:val="20"/>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our and competitive products or technologies;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clinical trials and nonclinical studies or those of our competitors;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expenses related to our drug candidates or clinical development programs;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drug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and abroad;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ind w:firstLine="382"/>
        <w:spacing w:after="0" w:line="263"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84" w:lineRule="exact"/>
        <w:rPr>
          <w:sz w:val="20"/>
          <w:szCs w:val="20"/>
          <w:color w:val="auto"/>
        </w:rPr>
      </w:pPr>
    </w:p>
    <w:p>
      <w:pPr>
        <w:ind w:right="100" w:firstLine="382"/>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right="220" w:firstLine="382"/>
        <w:spacing w:after="0" w:line="263" w:lineRule="auto"/>
        <w:rPr>
          <w:sz w:val="20"/>
          <w:szCs w:val="20"/>
          <w:color w:val="auto"/>
        </w:rPr>
      </w:pPr>
      <w:r>
        <w:rPr>
          <w:rFonts w:ascii="Arial" w:cs="Arial" w:eastAsia="Arial" w:hAnsi="Arial"/>
          <w:sz w:val="18"/>
          <w:szCs w:val="18"/>
          <w:color w:val="auto"/>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p>
    <w:p>
      <w:pPr>
        <w:spacing w:after="0" w:line="184" w:lineRule="exact"/>
        <w:rPr>
          <w:sz w:val="20"/>
          <w:szCs w:val="20"/>
          <w:color w:val="auto"/>
        </w:rPr>
      </w:pPr>
    </w:p>
    <w:p>
      <w:pPr>
        <w:ind w:right="780" w:firstLine="382"/>
        <w:spacing w:after="0" w:line="277" w:lineRule="auto"/>
        <w:rPr>
          <w:sz w:val="20"/>
          <w:szCs w:val="20"/>
          <w:color w:val="auto"/>
        </w:rPr>
      </w:pPr>
      <w:r>
        <w:rPr>
          <w:rFonts w:ascii="Arial" w:cs="Arial" w:eastAsia="Arial" w:hAnsi="Arial"/>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29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38" w:lineRule="exact"/>
        <w:rPr>
          <w:sz w:val="20"/>
          <w:szCs w:val="20"/>
          <w:color w:val="auto"/>
        </w:rPr>
      </w:pPr>
    </w:p>
    <w:p>
      <w:pPr>
        <w:ind w:firstLine="382"/>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requires the market value of our common stock that is held by non-affiliates to exceed</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$700.0 million as of the prior June 30th, and (2) the date on which we have issued more than $1.0 billion in non-convertible debt during the prior three-year period.</w:t>
      </w:r>
    </w:p>
    <w:p>
      <w:pPr>
        <w:spacing w:after="0" w:line="185" w:lineRule="exact"/>
        <w:rPr>
          <w:sz w:val="20"/>
          <w:szCs w:val="20"/>
          <w:color w:val="auto"/>
        </w:rPr>
      </w:pPr>
    </w:p>
    <w:p>
      <w:pPr>
        <w:ind w:right="40" w:firstLine="382"/>
        <w:spacing w:after="0" w:line="275"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76" w:lineRule="exact"/>
        <w:rPr>
          <w:sz w:val="20"/>
          <w:szCs w:val="20"/>
          <w:color w:val="auto"/>
        </w:rPr>
      </w:pPr>
    </w:p>
    <w:p>
      <w:pPr>
        <w:ind w:right="120" w:firstLine="382"/>
        <w:spacing w:after="0" w:line="255" w:lineRule="auto"/>
        <w:rPr>
          <w:sz w:val="20"/>
          <w:szCs w:val="20"/>
          <w:color w:val="auto"/>
        </w:rPr>
      </w:pPr>
      <w:r>
        <w:rPr>
          <w:rFonts w:ascii="Arial" w:cs="Arial" w:eastAsia="Arial" w:hAnsi="Arial"/>
          <w:sz w:val="18"/>
          <w:szCs w:val="18"/>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0" w:name="page81"/>
    <w:bookmarkEnd w:id="80"/>
    <w:p>
      <w:pPr>
        <w:ind w:right="180" w:firstLine="382"/>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2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62"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As of June 30, 2021, our executive officers, directors and their affiliates beneficially own, in the aggregate, approximately 57.2% of our outstanding common stock (assuming all shares of non-voting common stock are converted into voting common stock in accordance with the terms of our amended and restated certificate of incorporation).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53" w:lineRule="exact"/>
        <w:rPr>
          <w:sz w:val="20"/>
          <w:szCs w:val="20"/>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62" w:lineRule="exact"/>
        <w:rPr>
          <w:sz w:val="20"/>
          <w:szCs w:val="20"/>
          <w:color w:val="auto"/>
        </w:rPr>
      </w:pPr>
    </w:p>
    <w:p>
      <w:pPr>
        <w:ind w:right="60" w:firstLine="382"/>
        <w:spacing w:after="0" w:line="269" w:lineRule="auto"/>
        <w:rPr>
          <w:sz w:val="20"/>
          <w:szCs w:val="20"/>
          <w:color w:val="auto"/>
        </w:rPr>
      </w:pPr>
      <w:r>
        <w:rPr>
          <w:rFonts w:ascii="Arial" w:cs="Arial" w:eastAsia="Arial" w:hAnsi="Arial"/>
          <w:sz w:val="17"/>
          <w:szCs w:val="17"/>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June 30, 2021,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Exchange Act of 1934, as amended (the Exchange Act), and may not be subject to the short-swing profit provisions of Section 16(b) of the Exchange Act.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w:t>
      </w:r>
    </w:p>
    <w:p>
      <w:pPr>
        <w:spacing w:after="0" w:line="170" w:lineRule="exact"/>
        <w:rPr>
          <w:sz w:val="20"/>
          <w:szCs w:val="20"/>
          <w:color w:val="auto"/>
        </w:rPr>
      </w:pPr>
    </w:p>
    <w:p>
      <w:pPr>
        <w:ind w:right="260" w:firstLine="382"/>
        <w:spacing w:after="0" w:line="291" w:lineRule="auto"/>
        <w:rPr>
          <w:sz w:val="20"/>
          <w:szCs w:val="20"/>
          <w:color w:val="auto"/>
        </w:rPr>
      </w:pPr>
      <w:r>
        <w:rPr>
          <w:rFonts w:ascii="Arial" w:cs="Arial" w:eastAsia="Arial" w:hAnsi="Arial"/>
          <w:sz w:val="16"/>
          <w:szCs w:val="16"/>
          <w:color w:val="auto"/>
        </w:rPr>
        <w:t>As of June 30, 2021, approximately 8,606,847 shares of common stock that are either subject to outstanding options or reserved for future issuance under our equity incentive plans are eligible for sale in the public market to the extent permitted by the provisions of various vesting schedules and</w:t>
      </w:r>
    </w:p>
    <w:p>
      <w:pPr>
        <w:ind w:right="20"/>
        <w:spacing w:after="0" w:line="260" w:lineRule="auto"/>
        <w:rPr>
          <w:sz w:val="20"/>
          <w:szCs w:val="20"/>
          <w:color w:val="auto"/>
        </w:rPr>
      </w:pPr>
      <w:r>
        <w:rPr>
          <w:rFonts w:ascii="Arial" w:cs="Arial" w:eastAsia="Arial" w:hAnsi="Arial"/>
          <w:sz w:val="18"/>
          <w:szCs w:val="18"/>
          <w:color w:val="auto"/>
        </w:rPr>
        <w:t>Rule 144 and Rule 701 under the Securities Act. If these additional shares of common stock are sold, or if it is perceived that they will be sold, in the public market, the market price of our common stock could decline.</w:t>
      </w:r>
    </w:p>
    <w:p>
      <w:pPr>
        <w:spacing w:after="0" w:line="185" w:lineRule="exact"/>
        <w:rPr>
          <w:sz w:val="20"/>
          <w:szCs w:val="20"/>
          <w:color w:val="auto"/>
        </w:rPr>
      </w:pPr>
    </w:p>
    <w:p>
      <w:pPr>
        <w:ind w:right="40" w:firstLine="382"/>
        <w:spacing w:after="0" w:line="301" w:lineRule="auto"/>
        <w:rPr>
          <w:sz w:val="20"/>
          <w:szCs w:val="20"/>
          <w:color w:val="auto"/>
        </w:rPr>
      </w:pPr>
      <w:r>
        <w:rPr>
          <w:rFonts w:ascii="Arial" w:cs="Arial" w:eastAsia="Arial" w:hAnsi="Arial"/>
          <w:sz w:val="16"/>
          <w:szCs w:val="16"/>
          <w:color w:val="auto"/>
        </w:rPr>
        <w:t>In addition, the holders of approximately 38.2 million of our total common stock and non-voting common stock (including 3,092,338 shares of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an IRC Section 382 analysis in 2020 and determined there was an ownership change that resulted in Section 382 limitations. The ownership change limited our ability to utilize net operating losses against future taxable income but will not result in the expiration of any NOLs. We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right="60"/>
        <w:spacing w:after="0" w:line="259" w:lineRule="auto"/>
        <w:rPr>
          <w:sz w:val="20"/>
          <w:szCs w:val="20"/>
          <w:color w:val="auto"/>
        </w:rPr>
      </w:pPr>
      <w:r>
        <w:rPr>
          <w:rFonts w:ascii="Arial" w:cs="Arial" w:eastAsia="Arial" w:hAnsi="Arial"/>
          <w:sz w:val="18"/>
          <w:szCs w:val="18"/>
          <w:color w:val="auto"/>
        </w:rPr>
        <w:t>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95"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195"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360" w:firstLine="382"/>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38" w:lineRule="exact"/>
        <w:rPr>
          <w:sz w:val="20"/>
          <w:szCs w:val="20"/>
          <w:color w:val="auto"/>
        </w:rPr>
      </w:pPr>
    </w:p>
    <w:p>
      <w:pPr>
        <w:ind w:left="760" w:right="520" w:hanging="374"/>
        <w:spacing w:after="0" w:line="277"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44" w:lineRule="exact"/>
        <w:rPr>
          <w:rFonts w:ascii="Arial" w:cs="Arial" w:eastAsia="Arial" w:hAnsi="Arial"/>
          <w:sz w:val="18"/>
          <w:szCs w:val="18"/>
          <w:color w:val="auto"/>
        </w:rPr>
      </w:pPr>
    </w:p>
    <w:p>
      <w:pPr>
        <w:ind w:left="760" w:right="760" w:hanging="374"/>
        <w:spacing w:after="0" w:line="342" w:lineRule="auto"/>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jc w:val="both"/>
        <w:ind w:left="760" w:right="380" w:hanging="374"/>
        <w:spacing w:after="0" w:line="263"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ind w:left="760" w:right="80" w:hanging="374"/>
        <w:spacing w:after="0" w:line="342" w:lineRule="auto"/>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15" w:lineRule="exact"/>
        <w:rPr>
          <w:rFonts w:ascii="Arial" w:cs="Arial" w:eastAsia="Arial" w:hAnsi="Arial"/>
          <w:sz w:val="16"/>
          <w:szCs w:val="16"/>
          <w:color w:val="auto"/>
        </w:rPr>
      </w:pPr>
    </w:p>
    <w:p>
      <w:pPr>
        <w:ind w:left="760" w:right="580" w:hanging="374"/>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760" w:right="220" w:hanging="374"/>
        <w:spacing w:after="0" w:line="263"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ind w:left="760" w:right="80" w:hanging="374"/>
        <w:spacing w:after="0" w:line="263"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4"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160" w:firstLine="382"/>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600" w:firstLine="382"/>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760" w:hanging="374"/>
        <w:spacing w:after="0" w:line="279" w:lineRule="auto"/>
        <w:tabs>
          <w:tab w:leader="none" w:pos="7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760" w:hanging="374"/>
        <w:spacing w:after="0"/>
        <w:tabs>
          <w:tab w:leader="none" w:pos="7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55" w:lineRule="exact"/>
        <w:rPr>
          <w:rFonts w:ascii="Arial" w:cs="Arial" w:eastAsia="Arial" w:hAnsi="Arial"/>
          <w:sz w:val="17"/>
          <w:szCs w:val="17"/>
          <w:color w:val="auto"/>
        </w:rPr>
      </w:pPr>
    </w:p>
    <w:p>
      <w:pPr>
        <w:jc w:val="both"/>
        <w:ind w:left="760" w:right="440" w:hanging="374"/>
        <w:spacing w:after="0" w:line="342" w:lineRule="auto"/>
        <w:tabs>
          <w:tab w:leader="none" w:pos="7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760" w:right="80" w:hanging="374"/>
        <w:spacing w:after="0" w:line="277"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62" w:lineRule="exact"/>
        <w:rPr>
          <w:rFonts w:ascii="Arial" w:cs="Arial" w:eastAsia="Arial" w:hAnsi="Arial"/>
          <w:sz w:val="18"/>
          <w:szCs w:val="18"/>
          <w:color w:val="auto"/>
        </w:rPr>
      </w:pPr>
    </w:p>
    <w:p>
      <w:pPr>
        <w:ind w:left="760" w:right="120" w:hanging="374"/>
        <w:spacing w:after="0" w:line="308" w:lineRule="auto"/>
        <w:tabs>
          <w:tab w:leader="none" w:pos="7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38" w:lineRule="exact"/>
        <w:rPr>
          <w:rFonts w:ascii="Arial" w:cs="Arial" w:eastAsia="Arial" w:hAnsi="Arial"/>
          <w:sz w:val="17"/>
          <w:szCs w:val="17"/>
          <w:color w:val="auto"/>
        </w:rPr>
      </w:pPr>
    </w:p>
    <w:p>
      <w:pPr>
        <w:ind w:left="760" w:right="400" w:hanging="374"/>
        <w:spacing w:after="0" w:line="277"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7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3" w:name="page84"/>
    <w:bookmarkEnd w:id="83"/>
    <w:p>
      <w:pPr>
        <w:ind w:right="20"/>
        <w:spacing w:after="0" w:line="269" w:lineRule="auto"/>
        <w:rPr>
          <w:sz w:val="20"/>
          <w:szCs w:val="20"/>
          <w:color w:val="auto"/>
        </w:rPr>
      </w:pPr>
      <w:r>
        <w:rPr>
          <w:rFonts w:ascii="Arial" w:cs="Arial" w:eastAsia="Arial" w:hAnsi="Arial"/>
          <w:sz w:val="17"/>
          <w:szCs w:val="17"/>
          <w:color w:val="auto"/>
        </w:rPr>
        <w:t>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w:t>
      </w:r>
    </w:p>
    <w:p>
      <w:pPr>
        <w:spacing w:after="0" w:line="140"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29"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2008 global financial crisis caused extreme volatility and disruptions in the capital and credit markets. A severe or prolonged economic downturn, such as the 2008 global financial crisis, could result in a variety of risks to our business, including, weakened demand for any drug candidates we may develop and our ability to raise additional capital when needed on acceptable terms, if at all. A weak or declining economy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40"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4" w:name="page85"/>
    <w:bookmarkEnd w:id="84"/>
    <w:p>
      <w:pPr>
        <w:ind w:right="140" w:firstLine="382"/>
        <w:spacing w:after="0" w:line="259" w:lineRule="auto"/>
        <w:rPr>
          <w:sz w:val="20"/>
          <w:szCs w:val="20"/>
          <w:color w:val="auto"/>
        </w:rPr>
      </w:pPr>
      <w:r>
        <w:rPr>
          <w:rFonts w:ascii="Arial" w:cs="Arial" w:eastAsia="Arial" w:hAnsi="Arial"/>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66" w:lineRule="exact"/>
        <w:rPr>
          <w:sz w:val="20"/>
          <w:szCs w:val="20"/>
          <w:color w:val="auto"/>
        </w:rPr>
      </w:pPr>
    </w:p>
    <w:p>
      <w:pPr>
        <w:jc w:val="both"/>
        <w:ind w:right="300" w:firstLine="382"/>
        <w:spacing w:after="0" w:line="259"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common stock.</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62"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29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76"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160" w:firstLine="382"/>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166" w:lineRule="exact"/>
        <w:rPr>
          <w:sz w:val="20"/>
          <w:szCs w:val="20"/>
          <w:color w:val="auto"/>
        </w:rPr>
      </w:pPr>
    </w:p>
    <w:p>
      <w:pPr>
        <w:ind w:right="80" w:firstLine="382"/>
        <w:spacing w:after="0" w:line="272"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ind w:right="540"/>
        <w:spacing w:after="0" w:line="308" w:lineRule="auto"/>
        <w:rPr>
          <w:sz w:val="20"/>
          <w:szCs w:val="20"/>
          <w:color w:val="auto"/>
        </w:rPr>
      </w:pPr>
      <w:r>
        <w:rPr>
          <w:rFonts w:ascii="Arial" w:cs="Arial" w:eastAsia="Arial" w:hAnsi="Arial"/>
          <w:sz w:val="17"/>
          <w:szCs w:val="17"/>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38" w:lineRule="exact"/>
        <w:rPr>
          <w:sz w:val="20"/>
          <w:szCs w:val="20"/>
          <w:color w:val="auto"/>
        </w:rPr>
      </w:pPr>
    </w:p>
    <w:p>
      <w:pPr>
        <w:ind w:right="360" w:firstLine="382"/>
        <w:spacing w:after="0" w:line="277"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w:t>
      </w:r>
    </w:p>
    <w:p>
      <w:pPr>
        <w:spacing w:after="0" w:line="170"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62"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62"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2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As a public company, we are incurring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68" w:lineRule="exact"/>
        <w:rPr>
          <w:sz w:val="20"/>
          <w:szCs w:val="20"/>
          <w:color w:val="auto"/>
        </w:rPr>
      </w:pPr>
    </w:p>
    <w:p>
      <w:pPr>
        <w:ind w:right="40" w:firstLine="382"/>
        <w:spacing w:after="0" w:line="290"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i w:val="1"/>
          <w:iCs w:val="1"/>
          <w:color w:val="auto"/>
        </w:rPr>
        <w:t>We may experience fluctuations in our tax obligations and effective tax rate, which could materially and adversely affect our results of operations.</w:t>
      </w:r>
    </w:p>
    <w:p>
      <w:pPr>
        <w:spacing w:after="0" w:line="140"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30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6"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IPO</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October 15, 2020, our registration statement on Form S-1 (File No. 333-249077) relating to our IPO of Common Stock became effective. The IPO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closed on October 20, 2020 at which time we issued 10,000,000 shares of common stock at a public offering price of $15.00 per share. We received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IPO of approximately $135.4 million, after deducting the underwriting discounts and commissions of $10.5 million and expenses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 million. None of the expenses associated with the IPO were paid to directors, officers, persons owning 10% or more of any class of equity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to our affiliates. On November 5, 2020 the underwriters of the IPO partially exercised their overallotment option by purchasing an additional 1,150,000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from the Company at the IPO price, resulting in an additional $16.0 million in net proceeds after deducting the underwriting discounts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commissions. J.P. Morgan Securities LLC, Jefferies LLC, Piper Sandler &amp; Co. acted as joint book-running managers for the offering.</w:t>
      </w:r>
    </w:p>
    <w:p>
      <w:pPr>
        <w:spacing w:after="0" w:line="211" w:lineRule="exact"/>
        <w:rPr>
          <w:sz w:val="20"/>
          <w:szCs w:val="20"/>
          <w:color w:val="auto"/>
        </w:rPr>
      </w:pPr>
    </w:p>
    <w:p>
      <w:pPr>
        <w:ind w:right="180" w:firstLine="382"/>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19,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purchasers of equity securities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ind w:left="20"/>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620" w:type="dxa"/>
            <w:vAlign w:val="bottom"/>
            <w:tcBorders>
              <w:bottom w:val="single" w:sz="8" w:color="auto"/>
            </w:tcBorders>
          </w:tcPr>
          <w:p>
            <w:pPr>
              <w:spacing w:after="0"/>
              <w:rPr>
                <w:sz w:val="14"/>
                <w:szCs w:val="14"/>
                <w:color w:val="auto"/>
              </w:rPr>
            </w:pPr>
          </w:p>
        </w:tc>
      </w:tr>
      <w:tr>
        <w:trPr>
          <w:trHeight w:val="142"/>
        </w:trPr>
        <w:tc>
          <w:tcPr>
            <w:tcW w:w="9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gridSpan w:val="14"/>
          </w:tcPr>
          <w:p>
            <w:pPr>
              <w:spacing w:after="0" w:line="142" w:lineRule="exact"/>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6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Form</w:t>
            </w:r>
          </w:p>
        </w:tc>
        <w:tc>
          <w:tcPr>
            <w:tcW w:w="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jc w:val="center"/>
              <w:ind w:left="48"/>
              <w:spacing w:after="0" w:line="142" w:lineRule="exact"/>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060" w:type="dxa"/>
            <w:vAlign w:val="bottom"/>
            <w:gridSpan w:val="19"/>
          </w:tcPr>
          <w:p>
            <w:pPr>
              <w:spacing w:after="0"/>
              <w:rPr>
                <w:rFonts w:ascii="Arial" w:cs="Arial" w:eastAsia="Arial" w:hAnsi="Arial"/>
                <w:sz w:val="18"/>
                <w:szCs w:val="18"/>
                <w:color w:val="0000EE"/>
              </w:rPr>
            </w:pPr>
            <w:hyperlink r:id="rId121">
              <w:r>
                <w:rPr>
                  <w:rFonts w:ascii="Arial" w:cs="Arial" w:eastAsia="Arial" w:hAnsi="Arial"/>
                  <w:sz w:val="18"/>
                  <w:szCs w:val="18"/>
                  <w:color w:val="0000EE"/>
                </w:rPr>
                <w:t>Amended and Restated Certificate of Incorporation.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75"/>
              <w:spacing w:after="0"/>
              <w:rPr>
                <w:sz w:val="20"/>
                <w:szCs w:val="20"/>
                <w:color w:val="auto"/>
              </w:rPr>
            </w:pPr>
            <w:r>
              <w:rPr>
                <w:rFonts w:ascii="Arial" w:cs="Arial" w:eastAsia="Arial" w:hAnsi="Arial"/>
                <w:sz w:val="18"/>
                <w:szCs w:val="18"/>
                <w:color w:val="auto"/>
                <w:w w:val="90"/>
              </w:rPr>
              <w:t>10/20/2020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3.1</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740" w:type="dxa"/>
            <w:vAlign w:val="bottom"/>
            <w:tcBorders>
              <w:top w:val="single" w:sz="8" w:color="0000EE"/>
            </w:tcBorders>
            <w:gridSpan w:val="9"/>
          </w:tcPr>
          <w:p>
            <w:pPr>
              <w:spacing w:after="0"/>
              <w:rPr>
                <w:rFonts w:ascii="Arial" w:cs="Arial" w:eastAsia="Arial" w:hAnsi="Arial"/>
                <w:sz w:val="18"/>
                <w:szCs w:val="18"/>
                <w:color w:val="0000EE"/>
              </w:rPr>
            </w:pPr>
            <w:hyperlink r:id="rId122">
              <w:r>
                <w:rPr>
                  <w:rFonts w:ascii="Arial" w:cs="Arial" w:eastAsia="Arial" w:hAnsi="Arial"/>
                  <w:sz w:val="18"/>
                  <w:szCs w:val="18"/>
                  <w:color w:val="0000EE"/>
                </w:rPr>
                <w:t>Amended and Restated Bylaws.</w:t>
              </w:r>
            </w:hyperlink>
          </w:p>
        </w:tc>
        <w:tc>
          <w:tcPr>
            <w:tcW w:w="2320" w:type="dxa"/>
            <w:vAlign w:val="bottom"/>
            <w:gridSpan w:val="10"/>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75"/>
              <w:spacing w:after="0"/>
              <w:rPr>
                <w:sz w:val="20"/>
                <w:szCs w:val="20"/>
                <w:color w:val="auto"/>
              </w:rPr>
            </w:pPr>
            <w:r>
              <w:rPr>
                <w:rFonts w:ascii="Arial" w:cs="Arial" w:eastAsia="Arial" w:hAnsi="Arial"/>
                <w:sz w:val="18"/>
                <w:szCs w:val="18"/>
                <w:color w:val="auto"/>
                <w:w w:val="90"/>
              </w:rPr>
              <w:t>10/20/2020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06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21">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22">
              <w:r>
                <w:rPr>
                  <w:rFonts w:ascii="Arial" w:cs="Arial" w:eastAsia="Arial" w:hAnsi="Arial"/>
                  <w:sz w:val="18"/>
                  <w:szCs w:val="18"/>
                  <w:color w:val="0000EE"/>
                </w:rPr>
                <w:t>3.2</w:t>
              </w:r>
            </w:hyperlink>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620" w:type="dxa"/>
            <w:vAlign w:val="bottom"/>
            <w:tcBorders>
              <w:bottom w:val="single" w:sz="8" w:color="0000EE"/>
            </w:tcBorders>
            <w:gridSpan w:val="5"/>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Form of Common Stock Certificate.</w:t>
              </w:r>
            </w:hyperlink>
          </w:p>
        </w:tc>
        <w:tc>
          <w:tcPr>
            <w:tcW w:w="3440" w:type="dxa"/>
            <w:vAlign w:val="bottom"/>
            <w:gridSpan w:val="14"/>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80" w:type="dxa"/>
            <w:vAlign w:val="bottom"/>
            <w:gridSpan w:val="3"/>
          </w:tcPr>
          <w:p>
            <w:pPr>
              <w:jc w:val="center"/>
              <w:ind w:left="95"/>
              <w:spacing w:after="0"/>
              <w:rPr>
                <w:sz w:val="20"/>
                <w:szCs w:val="20"/>
                <w:color w:val="auto"/>
              </w:rPr>
            </w:pPr>
            <w:r>
              <w:rPr>
                <w:rFonts w:ascii="Arial" w:cs="Arial" w:eastAsia="Arial" w:hAnsi="Arial"/>
                <w:sz w:val="18"/>
                <w:szCs w:val="18"/>
                <w:color w:val="auto"/>
                <w:w w:val="89"/>
              </w:rPr>
              <w:t>10/9/2020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6060" w:type="dxa"/>
            <w:vAlign w:val="bottom"/>
            <w:gridSpan w:val="19"/>
          </w:tcPr>
          <w:p>
            <w:pPr>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Consulting agreement by and between Aligos Therapeutics, Inc. and Kathleen</w:t>
              </w:r>
            </w:hyperlink>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Glaub, dated June 17, 2021.</w:t>
              </w:r>
            </w:hyperlink>
          </w:p>
        </w:tc>
        <w:tc>
          <w:tcPr>
            <w:tcW w:w="44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8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Certification of Principal Executive Officer Pursuant to Rules 13a-14(a) and 15d-</w:t>
              </w:r>
            </w:hyperlink>
          </w:p>
        </w:tc>
        <w:tc>
          <w:tcPr>
            <w:tcW w:w="18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gridSpan w:val="1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14(a) under the Securities Exchange Act of 1934, as Adopted Pursuant to</w:t>
              </w:r>
            </w:hyperlink>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Section 302 of the Sarbanes-Oxley Act of 2002.</w:t>
              </w:r>
            </w:hyperlink>
          </w:p>
        </w:tc>
        <w:tc>
          <w:tcPr>
            <w:tcW w:w="78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8"/>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6060" w:type="dxa"/>
            <w:vAlign w:val="bottom"/>
            <w:gridSpan w:val="19"/>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Certification of Principal Financial Officer Pursuant to Rules 13a-14(a) and 15d-</w:t>
              </w:r>
            </w:hyperlink>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20" w:type="dxa"/>
            <w:vAlign w:val="bottom"/>
            <w:tcBorders>
              <w:top w:val="single" w:sz="8" w:color="0000EE"/>
            </w:tcBorders>
            <w:gridSpan w:val="15"/>
          </w:tcPr>
          <w:p>
            <w:pPr>
              <w:spacing w:after="0" w:line="196" w:lineRule="exact"/>
              <w:rPr>
                <w:rFonts w:ascii="Arial" w:cs="Arial" w:eastAsia="Arial" w:hAnsi="Arial"/>
                <w:sz w:val="18"/>
                <w:szCs w:val="18"/>
                <w:color w:val="0000EE"/>
                <w:w w:val="98"/>
              </w:rPr>
            </w:pPr>
            <w:hyperlink w:anchor="page99">
              <w:r>
                <w:rPr>
                  <w:rFonts w:ascii="Arial" w:cs="Arial" w:eastAsia="Arial" w:hAnsi="Arial"/>
                  <w:sz w:val="18"/>
                  <w:szCs w:val="18"/>
                  <w:color w:val="0000EE"/>
                  <w:w w:val="98"/>
                </w:rPr>
                <w:t>14(a) under the Securities Exchange Act of 1934, as Adopted Pursuant to</w:t>
              </w:r>
            </w:hyperlink>
          </w:p>
        </w:tc>
        <w:tc>
          <w:tcPr>
            <w:tcW w:w="24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Section 302 of the Sarbanes-Oxley Act of 2002.</w:t>
              </w:r>
            </w:hyperlink>
          </w:p>
        </w:tc>
        <w:tc>
          <w:tcPr>
            <w:tcW w:w="78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8"/>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6060" w:type="dxa"/>
            <w:vAlign w:val="bottom"/>
            <w:gridSpan w:val="19"/>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Certification of Principal Executive Officer Pursuant to 18 U.S.C. Section 1350,</w:t>
              </w:r>
            </w:hyperlink>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as Adopted Pursuant to Section 906 of the Sarbanes-Oxley Act of 2002.</w:t>
              </w:r>
            </w:hyperlink>
          </w:p>
        </w:tc>
        <w:tc>
          <w:tcPr>
            <w:tcW w:w="28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gridSpan w:val="10"/>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6060" w:type="dxa"/>
            <w:vAlign w:val="bottom"/>
            <w:gridSpan w:val="19"/>
          </w:tcPr>
          <w:p>
            <w:pPr>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Certification of Principal Financial Officer Pursuant to 18 U.S.C. Section 1350, as</w:t>
              </w:r>
            </w:hyperlink>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Adopted Pursuant to Section 906 of the Sarbanes-Oxley Act of 2002.</w:t>
              </w:r>
            </w:hyperlink>
          </w:p>
        </w:tc>
        <w:tc>
          <w:tcPr>
            <w:tcW w:w="1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49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Inline XBRL Instance Document.</w:t>
            </w:r>
          </w:p>
        </w:tc>
        <w:tc>
          <w:tcPr>
            <w:tcW w:w="1080" w:type="dxa"/>
            <w:vAlign w:val="bottom"/>
            <w:gridSpan w:val="9"/>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606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606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606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606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606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80" w:lineRule="exact"/>
        <w:rPr>
          <w:sz w:val="20"/>
          <w:szCs w:val="20"/>
          <w:color w:val="auto"/>
        </w:rPr>
      </w:pPr>
    </w:p>
    <w:p>
      <w:pPr>
        <w:ind w:left="1040" w:right="3500" w:hanging="1032"/>
        <w:spacing w:after="0" w:line="182" w:lineRule="auto"/>
        <w:tabs>
          <w:tab w:leader="none" w:pos="1040" w:val="left"/>
        </w:tabs>
        <w:numPr>
          <w:ilvl w:val="0"/>
          <w:numId w:val="53"/>
        </w:numPr>
        <w:rPr>
          <w:rFonts w:ascii="Arial" w:cs="Arial" w:eastAsia="Arial" w:hAnsi="Arial"/>
          <w:sz w:val="34"/>
          <w:szCs w:val="34"/>
          <w:color w:val="auto"/>
          <w:vertAlign w:val="subscript"/>
        </w:rPr>
      </w:pPr>
      <w:r>
        <w:rPr>
          <w:rFonts w:ascii="Arial" w:cs="Arial" w:eastAsia="Arial" w:hAnsi="Arial"/>
          <w:sz w:val="17"/>
          <w:szCs w:val="17"/>
          <w:color w:val="auto"/>
        </w:rPr>
        <w:t>The cover page from the Company’s Quarterly Report on Form 10-Q for the quarter ended June 30, 2021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24942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Provided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3810</wp:posOffset>
            </wp:positionV>
            <wp:extent cx="6858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w:t>
      </w:r>
    </w:p>
    <w:p>
      <w:pPr>
        <w:spacing w:after="0" w:line="329" w:lineRule="exact"/>
        <w:rPr>
          <w:sz w:val="20"/>
          <w:szCs w:val="20"/>
          <w:color w:val="auto"/>
        </w:rPr>
      </w:pPr>
    </w:p>
    <w:p>
      <w:pPr>
        <w:sectPr>
          <w:pgSz w:w="11900" w:h="16838" w:orient="portrait"/>
          <w:cols w:equalWidth="0" w:num="2">
            <w:col w:w="10040" w:space="440"/>
            <w:col w:w="740"/>
          </w:cols>
          <w:pgMar w:left="320" w:top="337" w:right="359" w:bottom="1440" w:gutter="0" w:footer="0" w:header="0"/>
        </w:sectPr>
      </w:pPr>
    </w:p>
    <w:p>
      <w:pPr>
        <w:spacing w:after="0" w:line="111"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380" w:hanging="372"/>
        <w:spacing w:after="0" w:line="279"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080"/>
              <w:spacing w:after="0"/>
              <w:rPr>
                <w:sz w:val="20"/>
                <w:szCs w:val="20"/>
                <w:color w:val="auto"/>
              </w:rPr>
            </w:pPr>
            <w:r>
              <w:rPr>
                <w:rFonts w:ascii="Arial" w:cs="Arial" w:eastAsia="Arial" w:hAnsi="Arial"/>
                <w:sz w:val="18"/>
                <w:szCs w:val="18"/>
                <w:color w:val="auto"/>
              </w:rPr>
              <w:t>ALIGOS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5, 2021</w:t>
            </w:r>
          </w:p>
        </w:tc>
        <w:tc>
          <w:tcPr>
            <w:tcW w:w="2460" w:type="dxa"/>
            <w:vAlign w:val="bottom"/>
          </w:tcPr>
          <w:p>
            <w:pPr>
              <w:ind w:left="20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Lawrence Blatt</w:t>
            </w:r>
          </w:p>
        </w:tc>
      </w:tr>
      <w:tr>
        <w:trPr>
          <w:trHeight w:val="191"/>
        </w:trPr>
        <w:tc>
          <w:tcPr>
            <w:tcW w:w="35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Pr>
          <w:p>
            <w:pPr>
              <w:jc w:val="center"/>
              <w:ind w:left="50"/>
              <w:spacing w:after="0" w:line="191" w:lineRule="exact"/>
              <w:rPr>
                <w:sz w:val="20"/>
                <w:szCs w:val="20"/>
                <w:color w:val="auto"/>
              </w:rPr>
            </w:pPr>
            <w:r>
              <w:rPr>
                <w:rFonts w:ascii="Arial" w:cs="Arial" w:eastAsia="Arial" w:hAnsi="Arial"/>
                <w:sz w:val="18"/>
                <w:szCs w:val="18"/>
                <w:b w:val="1"/>
                <w:bCs w:val="1"/>
                <w:color w:val="auto"/>
                <w:w w:val="92"/>
              </w:rPr>
              <w:t>Lawrence Blatt</w:t>
            </w:r>
          </w:p>
        </w:tc>
      </w:tr>
      <w:tr>
        <w:trPr>
          <w:trHeight w:val="234"/>
        </w:trPr>
        <w:tc>
          <w:tcPr>
            <w:tcW w:w="3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Chief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5, 2021</w:t>
            </w:r>
          </w:p>
        </w:tc>
        <w:tc>
          <w:tcPr>
            <w:tcW w:w="2460" w:type="dxa"/>
            <w:vAlign w:val="bottom"/>
          </w:tcPr>
          <w:p>
            <w:pPr>
              <w:ind w:left="20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Lesley Ann Calhoun</w:t>
            </w:r>
          </w:p>
        </w:tc>
      </w:tr>
      <w:tr>
        <w:trPr>
          <w:trHeight w:val="191"/>
        </w:trPr>
        <w:tc>
          <w:tcPr>
            <w:tcW w:w="35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Pr>
          <w:p>
            <w:pPr>
              <w:jc w:val="center"/>
              <w:ind w:left="50"/>
              <w:spacing w:after="0" w:line="191" w:lineRule="exact"/>
              <w:rPr>
                <w:sz w:val="20"/>
                <w:szCs w:val="20"/>
                <w:color w:val="auto"/>
              </w:rPr>
            </w:pPr>
            <w:r>
              <w:rPr>
                <w:rFonts w:ascii="Arial" w:cs="Arial" w:eastAsia="Arial" w:hAnsi="Arial"/>
                <w:sz w:val="18"/>
                <w:szCs w:val="18"/>
                <w:b w:val="1"/>
                <w:bCs w:val="1"/>
                <w:color w:val="auto"/>
                <w:w w:val="91"/>
              </w:rPr>
              <w:t>Lesley Ann Calhoun</w:t>
            </w:r>
          </w:p>
        </w:tc>
      </w:tr>
      <w:tr>
        <w:trPr>
          <w:trHeight w:val="234"/>
        </w:trPr>
        <w:tc>
          <w:tcPr>
            <w:tcW w:w="3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Chief Financial Officer</w:t>
            </w:r>
          </w:p>
        </w:tc>
      </w:tr>
      <w:tr>
        <w:trPr>
          <w:trHeight w:val="648"/>
        </w:trPr>
        <w:tc>
          <w:tcPr>
            <w:tcW w:w="3540" w:type="dxa"/>
            <w:vAlign w:val="bottom"/>
          </w:tcPr>
          <w:p>
            <w:pPr>
              <w:spacing w:after="0"/>
              <w:rPr>
                <w:sz w:val="24"/>
                <w:szCs w:val="24"/>
                <w:color w:val="auto"/>
              </w:rPr>
            </w:pP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85</w:t>
            </w:r>
          </w:p>
        </w:tc>
        <w:tc>
          <w:tcPr>
            <w:tcW w:w="52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1"/>
          <w:szCs w:val="21"/>
          <w:b w:val="1"/>
          <w:bCs w:val="1"/>
          <w:color w:val="auto"/>
        </w:rPr>
        <w:t>Exhibit 10.1</w:t>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CONFIDENTIAL</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CONSULTING AGREEMENT</w:t>
      </w:r>
    </w:p>
    <w:p>
      <w:pPr>
        <w:spacing w:after="0" w:line="218"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CONSULTING AGREEMENT</w:t>
      </w:r>
      <w:r>
        <w:rPr>
          <w:rFonts w:ascii="Arial" w:cs="Arial" w:eastAsia="Arial" w:hAnsi="Arial"/>
          <w:sz w:val="19"/>
          <w:szCs w:val="19"/>
          <w:color w:val="auto"/>
        </w:rPr>
        <w:t xml:space="preserve"> is made and entered into as of June 17,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A</w:t>
      </w:r>
      <w:r>
        <w:rPr>
          <w:rFonts w:ascii="Arial" w:cs="Arial" w:eastAsia="Arial" w:hAnsi="Arial"/>
          <w:sz w:val="13"/>
          <w:szCs w:val="13"/>
          <w:b w:val="1"/>
          <w:bCs w:val="1"/>
          <w:color w:val="auto"/>
        </w:rPr>
        <w:t>LIGOS</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9"/>
          <w:szCs w:val="19"/>
          <w:b w:val="1"/>
          <w:bCs w:val="1"/>
          <w:color w:val="auto"/>
        </w:rPr>
        <w:t>, I</w:t>
      </w:r>
      <w:r>
        <w:rPr>
          <w:rFonts w:ascii="Arial" w:cs="Arial" w:eastAsia="Arial" w:hAnsi="Arial"/>
          <w:sz w:val="13"/>
          <w:szCs w:val="13"/>
          <w:b w:val="1"/>
          <w:bCs w:val="1"/>
          <w:color w:val="auto"/>
        </w:rPr>
        <w:t>NC</w:t>
      </w:r>
      <w:r>
        <w:rPr>
          <w:rFonts w:ascii="Arial" w:cs="Arial" w:eastAsia="Arial" w:hAnsi="Arial"/>
          <w:sz w:val="19"/>
          <w:szCs w:val="19"/>
          <w:b w:val="1"/>
          <w:bCs w:val="1"/>
          <w:color w:val="auto"/>
        </w:rPr>
        <w:t>.</w:t>
      </w:r>
      <w:r>
        <w:rPr>
          <w:rFonts w:ascii="Arial" w:cs="Arial" w:eastAsia="Arial" w:hAnsi="Arial"/>
          <w:sz w:val="19"/>
          <w:szCs w:val="19"/>
          <w:color w:val="auto"/>
        </w:rPr>
        <w:t>, a Delaware corporation having a principal place of business at 1 Corporate Drive, 2</w:t>
      </w:r>
      <w:r>
        <w:rPr>
          <w:rFonts w:ascii="Arial" w:cs="Arial" w:eastAsia="Arial" w:hAnsi="Arial"/>
          <w:sz w:val="15"/>
          <w:szCs w:val="15"/>
          <w:color w:val="auto"/>
        </w:rPr>
        <w:t>nd</w:t>
      </w:r>
      <w:r>
        <w:rPr>
          <w:rFonts w:ascii="Arial" w:cs="Arial" w:eastAsia="Arial" w:hAnsi="Arial"/>
          <w:sz w:val="19"/>
          <w:szCs w:val="19"/>
          <w:b w:val="1"/>
          <w:bCs w:val="1"/>
          <w:color w:val="auto"/>
        </w:rPr>
        <w:t xml:space="preserve"> </w:t>
      </w:r>
      <w:r>
        <w:rPr>
          <w:rFonts w:ascii="Arial" w:cs="Arial" w:eastAsia="Arial" w:hAnsi="Arial"/>
          <w:sz w:val="19"/>
          <w:szCs w:val="19"/>
          <w:color w:val="auto"/>
        </w:rPr>
        <w:t>Floor, South San</w:t>
      </w:r>
      <w:r>
        <w:rPr>
          <w:rFonts w:ascii="Arial" w:cs="Arial" w:eastAsia="Arial" w:hAnsi="Arial"/>
          <w:sz w:val="19"/>
          <w:szCs w:val="19"/>
          <w:b w:val="1"/>
          <w:bCs w:val="1"/>
          <w:color w:val="auto"/>
        </w:rPr>
        <w:t xml:space="preserve"> </w:t>
      </w:r>
      <w:r>
        <w:rPr>
          <w:rFonts w:ascii="Arial" w:cs="Arial" w:eastAsia="Arial" w:hAnsi="Arial"/>
          <w:sz w:val="19"/>
          <w:szCs w:val="19"/>
          <w:color w:val="auto"/>
        </w:rPr>
        <w:t>Francisco, CA 94080 (“</w:t>
      </w:r>
      <w:r>
        <w:rPr>
          <w:rFonts w:ascii="Arial" w:cs="Arial" w:eastAsia="Arial" w:hAnsi="Arial"/>
          <w:sz w:val="19"/>
          <w:szCs w:val="19"/>
          <w:u w:val="single" w:color="auto"/>
          <w:color w:val="auto"/>
        </w:rPr>
        <w:t>Aligos</w:t>
      </w:r>
      <w:r>
        <w:rPr>
          <w:rFonts w:ascii="Arial" w:cs="Arial" w:eastAsia="Arial" w:hAnsi="Arial"/>
          <w:sz w:val="19"/>
          <w:szCs w:val="19"/>
          <w:color w:val="auto"/>
        </w:rPr>
        <w:t>”) and Kathleen Sereda Glaub, an individual with an address of 1050 Lee Avenue, San Leandro, CA 94577 (“</w:t>
      </w:r>
      <w:r>
        <w:rPr>
          <w:rFonts w:ascii="Arial" w:cs="Arial" w:eastAsia="Arial" w:hAnsi="Arial"/>
          <w:sz w:val="19"/>
          <w:szCs w:val="19"/>
          <w:u w:val="single" w:color="auto"/>
          <w:color w:val="auto"/>
        </w:rPr>
        <w:t>Consultant</w:t>
      </w:r>
      <w:r>
        <w:rPr>
          <w:rFonts w:ascii="Arial" w:cs="Arial" w:eastAsia="Arial" w:hAnsi="Arial"/>
          <w:sz w:val="19"/>
          <w:szCs w:val="19"/>
          <w:color w:val="auto"/>
        </w:rPr>
        <w:t>”). Aligos and the Consultant may be referred to herein individually as “</w:t>
      </w:r>
      <w:r>
        <w:rPr>
          <w:rFonts w:ascii="Arial" w:cs="Arial" w:eastAsia="Arial" w:hAnsi="Arial"/>
          <w:sz w:val="19"/>
          <w:szCs w:val="19"/>
          <w:u w:val="single" w:color="auto"/>
          <w:color w:val="auto"/>
        </w:rPr>
        <w:t>Party</w:t>
      </w:r>
      <w:r>
        <w:rPr>
          <w:rFonts w:ascii="Arial" w:cs="Arial" w:eastAsia="Arial" w:hAnsi="Arial"/>
          <w:sz w:val="19"/>
          <w:szCs w:val="19"/>
          <w:color w:val="auto"/>
        </w:rPr>
        <w:t>” or collectively, as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77" w:lineRule="exact"/>
        <w:rPr>
          <w:sz w:val="20"/>
          <w:szCs w:val="20"/>
          <w:color w:val="auto"/>
        </w:rPr>
      </w:pPr>
    </w:p>
    <w:p>
      <w:pPr>
        <w:jc w:val="both"/>
        <w:ind w:firstLine="8"/>
        <w:spacing w:after="0" w:line="257" w:lineRule="auto"/>
        <w:tabs>
          <w:tab w:leader="none" w:pos="803"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NGAGEMENT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ERVICES</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understand and agree that Consultant will be stepping off the Board of Director of</w:t>
      </w:r>
      <w:r>
        <w:rPr>
          <w:rFonts w:ascii="Arial" w:cs="Arial" w:eastAsia="Arial" w:hAnsi="Arial"/>
          <w:sz w:val="20"/>
          <w:szCs w:val="20"/>
          <w:b w:val="1"/>
          <w:bCs w:val="1"/>
          <w:color w:val="auto"/>
        </w:rPr>
        <w:t xml:space="preserve"> </w:t>
      </w:r>
      <w:r>
        <w:rPr>
          <w:rFonts w:ascii="Arial" w:cs="Arial" w:eastAsia="Arial" w:hAnsi="Arial"/>
          <w:sz w:val="20"/>
          <w:szCs w:val="20"/>
          <w:color w:val="auto"/>
        </w:rPr>
        <w:t>Aligos effective as of June 17, 2021. However, the Parties desire for Consultant to continue performing certain services for Aligos as a consultant pursuant to this Agreement. As a result, Aligos hereby retains Consultant, and Consultant hereby agrees to perform services for Aligos that may be mutually agreed upon by Consultant and Aligos from time to time with respect to financing, business development and overall corporate development strategies (the “Services”). This Agreement and Consultant’s status as a consultant of Aligos providing Services hereunder shall commence on the Effective Date which date coincides with the date of Consultant’s last day as a member of Aligos’ Board of Director. The terms of this Agreement will govern all Services undertaken by Consultant for Aligos. Subject to the terms and conditions of this Agreement, Consultant will use her best efforts to perform the Services and provide the results thereof, with the highest degree of professional skill and expertise, by the completion dates requested by Aligos and agreed upon by Consultant. Consultant may not subcontract or otherwise delegate his or her obligations under this Agreement without Aligos’s prior written consent.</w:t>
      </w:r>
    </w:p>
    <w:p>
      <w:pPr>
        <w:spacing w:after="0" w:line="180" w:lineRule="exact"/>
        <w:rPr>
          <w:rFonts w:ascii="Arial" w:cs="Arial" w:eastAsia="Arial" w:hAnsi="Arial"/>
          <w:sz w:val="20"/>
          <w:szCs w:val="20"/>
          <w:b w:val="1"/>
          <w:bCs w:val="1"/>
          <w:color w:val="auto"/>
        </w:rPr>
      </w:pPr>
    </w:p>
    <w:p>
      <w:pPr>
        <w:ind w:left="820" w:hanging="812"/>
        <w:spacing w:after="0"/>
        <w:tabs>
          <w:tab w:leader="none" w:pos="820"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ONSIDERATION</w:t>
      </w:r>
      <w:r>
        <w:rPr>
          <w:rFonts w:ascii="Arial" w:cs="Arial" w:eastAsia="Arial" w:hAnsi="Arial"/>
          <w:sz w:val="21"/>
          <w:szCs w:val="21"/>
          <w:b w:val="1"/>
          <w:bCs w:val="1"/>
          <w:color w:val="auto"/>
        </w:rPr>
        <w:t>.</w:t>
      </w:r>
    </w:p>
    <w:p>
      <w:pPr>
        <w:spacing w:after="0" w:line="21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color w:val="auto"/>
        </w:rPr>
        <w:t>As consideration for the Services to be peformed by Consultant hereunder, Consultant will continue vesting of</w:t>
      </w:r>
      <w:r>
        <w:rPr>
          <w:rFonts w:ascii="Arial" w:cs="Arial" w:eastAsia="Arial" w:hAnsi="Arial"/>
          <w:sz w:val="19"/>
          <w:szCs w:val="19"/>
          <w:b w:val="1"/>
          <w:bCs w:val="1"/>
          <w:color w:val="auto"/>
        </w:rPr>
        <w:t xml:space="preserve"> </w:t>
      </w:r>
      <w:r>
        <w:rPr>
          <w:rFonts w:ascii="Arial" w:cs="Arial" w:eastAsia="Arial" w:hAnsi="Arial"/>
          <w:sz w:val="19"/>
          <w:szCs w:val="19"/>
          <w:color w:val="auto"/>
        </w:rPr>
        <w:t>any option(s) granted to Consultant by Aligos to purchase shares of Aligos’s common stock (the “Equity Grants”), which as of the Effective Date, consist of a total of 27,147 shares that have not yet vested under the Equity Grants. All Equity Grants shall continue to be subject to the terms and conditions set forth in the Aligos Therapeutics, Inc. 2018 Equity Incentive Plan (as amended) or the Aligos Therapeutics, Inc. 2020 Equity Incentive Plan (as amended), as applicable, (both plans collectivetly referred to herein as the “Equity Plans”). Subject to the terms and conditions of the Equity Plans and the applicable Aligos forms of stock option agreement included with the Equity Grants, for so long as the Consultant continues to provide continuous services to Aligos hereunder, the options under the Equity Grants will continue to vest pursuant to the vesting schedule provided under the Equity Grants and become exercisable monthly until 100% of the stock options covered by the Equity Grants are fully vest and excerisable. Without limiting the terms and conditions set forth in the Equity Plans or the Equity Grants, for purposes of clarification, in the event of expiration or early termination of this Agreement and Consultant’s ceasing to provide continuous services to Aligos, Consultant’s vesting rights under the Equity Grants will be suspended on the effective date of the termination.</w:t>
      </w:r>
    </w:p>
    <w:p>
      <w:pPr>
        <w:spacing w:after="0" w:line="161"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color w:val="auto"/>
        </w:rPr>
        <w:t>Consultant shall be reimbursed for any reasonable documented out-of-pocket expenses actually incurred by</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 in the performance of the Services hereunder. Consultant shall maintain adequate books and records relating to any expenses to be reimbursed and shall submit requests for reimbursement, accompanied by a description of activities performed in rendering the Services, on a monthly basis and in a form acceptable to Aligos. All reimbursement shall be sent in a</w:t>
      </w:r>
    </w:p>
    <w:p>
      <w:pPr>
        <w:spacing w:after="0" w:line="393" w:lineRule="exact"/>
        <w:rPr>
          <w:sz w:val="20"/>
          <w:szCs w:val="20"/>
          <w:color w:val="auto"/>
        </w:rPr>
      </w:pPr>
    </w:p>
    <w:p>
      <w:pPr>
        <w:spacing w:after="0"/>
        <w:tabs>
          <w:tab w:leader="none" w:pos="10260" w:val="left"/>
        </w:tabs>
        <w:rPr>
          <w:sz w:val="20"/>
          <w:szCs w:val="20"/>
          <w:color w:val="auto"/>
        </w:rPr>
      </w:pPr>
      <w:r>
        <w:rPr>
          <w:rFonts w:ascii="Arial" w:cs="Arial" w:eastAsia="Arial" w:hAnsi="Arial"/>
          <w:sz w:val="21"/>
          <w:szCs w:val="21"/>
          <w:b w:val="1"/>
          <w:bCs w:val="1"/>
          <w:color w:val="auto"/>
        </w:rPr>
        <w:t>Consulting Agreement</w:t>
      </w:r>
      <w:r>
        <w:rPr>
          <w:sz w:val="20"/>
          <w:szCs w:val="20"/>
          <w:color w:val="auto"/>
        </w:rPr>
        <w:tab/>
      </w:r>
      <w:r>
        <w:rPr>
          <w:rFonts w:ascii="Arial" w:cs="Arial" w:eastAsia="Arial" w:hAnsi="Arial"/>
          <w:sz w:val="18"/>
          <w:szCs w:val="18"/>
          <w:b w:val="1"/>
          <w:bCs w:val="1"/>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1" w:name="page92"/>
    <w:bookmarkEnd w:id="91"/>
    <w:p>
      <w:pPr>
        <w:ind w:left="9640"/>
        <w:spacing w:after="0"/>
        <w:rPr>
          <w:sz w:val="20"/>
          <w:szCs w:val="20"/>
          <w:color w:val="auto"/>
        </w:rPr>
      </w:pPr>
      <w:r>
        <w:rPr>
          <w:rFonts w:ascii="Arial" w:cs="Arial" w:eastAsia="Arial" w:hAnsi="Arial"/>
          <w:sz w:val="21"/>
          <w:szCs w:val="21"/>
          <w:b w:val="1"/>
          <w:bCs w:val="1"/>
          <w:color w:val="auto"/>
        </w:rPr>
        <w:t>CONFIDENTIAL</w:t>
      </w:r>
    </w:p>
    <w:p>
      <w:pPr>
        <w:spacing w:after="0" w:line="27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monthly statement by email to Aligos at </w:t>
      </w:r>
      <w:r>
        <w:rPr>
          <w:rFonts w:ascii="Arial" w:cs="Arial" w:eastAsia="Arial" w:hAnsi="Arial"/>
          <w:sz w:val="21"/>
          <w:szCs w:val="21"/>
          <w:u w:val="single" w:color="auto"/>
          <w:color w:val="auto"/>
        </w:rPr>
        <w:t>invoicing.us@aligos.com</w:t>
      </w:r>
      <w:r>
        <w:rPr>
          <w:rFonts w:ascii="Arial" w:cs="Arial" w:eastAsia="Arial" w:hAnsi="Arial"/>
          <w:sz w:val="21"/>
          <w:szCs w:val="21"/>
          <w:color w:val="auto"/>
        </w:rPr>
        <w:t>, copy to ap@aligos.com.</w:t>
      </w:r>
    </w:p>
    <w:p>
      <w:pPr>
        <w:spacing w:after="0" w:line="212"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0"/>
          <w:szCs w:val="20"/>
          <w:color w:val="auto"/>
        </w:rPr>
        <w:t>Upon receipt by Aligos of copies of receipts or other appropriate evidence of expenditures by Consultant, Aligos</w:t>
      </w:r>
      <w:r>
        <w:rPr>
          <w:rFonts w:ascii="Arial" w:cs="Arial" w:eastAsia="Arial" w:hAnsi="Arial"/>
          <w:sz w:val="20"/>
          <w:szCs w:val="20"/>
          <w:b w:val="1"/>
          <w:bCs w:val="1"/>
          <w:color w:val="auto"/>
        </w:rPr>
        <w:t xml:space="preserve"> </w:t>
      </w:r>
      <w:r>
        <w:rPr>
          <w:rFonts w:ascii="Arial" w:cs="Arial" w:eastAsia="Arial" w:hAnsi="Arial"/>
          <w:sz w:val="20"/>
          <w:szCs w:val="20"/>
          <w:color w:val="auto"/>
        </w:rPr>
        <w:t>shall reimburse Consultant for travel expenses actually incurred by Consultant in performing the Services, including but not limited to expenses for coach class airfare, ground transportation, lodging and meals, provided that such expenses are reasonable and necessary as determined by Aligos and approved in writing in advance by Aligos. Aligos shall not compensate Consultant for time spent traveling unless agreed otherwise in writing in advance by the Parties.</w:t>
      </w:r>
    </w:p>
    <w:p>
      <w:pPr>
        <w:spacing w:after="0" w:line="166" w:lineRule="exact"/>
        <w:rPr>
          <w:sz w:val="20"/>
          <w:szCs w:val="20"/>
          <w:color w:val="auto"/>
        </w:rPr>
      </w:pPr>
    </w:p>
    <w:p>
      <w:pPr>
        <w:jc w:val="both"/>
        <w:ind w:firstLine="864"/>
        <w:spacing w:after="0" w:line="295" w:lineRule="auto"/>
        <w:rPr>
          <w:sz w:val="20"/>
          <w:szCs w:val="20"/>
          <w:color w:val="auto"/>
        </w:rPr>
      </w:pPr>
      <w:r>
        <w:rPr>
          <w:rFonts w:ascii="Arial" w:cs="Arial" w:eastAsia="Arial" w:hAnsi="Arial"/>
          <w:sz w:val="19"/>
          <w:szCs w:val="19"/>
          <w:b w:val="1"/>
          <w:bCs w:val="1"/>
          <w:color w:val="auto"/>
        </w:rPr>
        <w:t xml:space="preserve">2.4 </w:t>
      </w:r>
      <w:r>
        <w:rPr>
          <w:rFonts w:ascii="Arial" w:cs="Arial" w:eastAsia="Arial" w:hAnsi="Arial"/>
          <w:sz w:val="19"/>
          <w:szCs w:val="19"/>
          <w:color w:val="auto"/>
        </w:rPr>
        <w:t>Aligos shall have the right to withhold from Consultant’s payment any taxes, and/or to report payments, as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by applicable federal, state or local tax laws or regulations. Consultant acknowledges and agrees that it shall be Consultant’s sole obligation to report as self-employment income all compensation for Services received by Consultant from Aligos.</w:t>
      </w:r>
    </w:p>
    <w:p>
      <w:pPr>
        <w:spacing w:after="0" w:line="139" w:lineRule="exact"/>
        <w:rPr>
          <w:sz w:val="20"/>
          <w:szCs w:val="20"/>
          <w:color w:val="auto"/>
        </w:rPr>
      </w:pPr>
    </w:p>
    <w:p>
      <w:pPr>
        <w:jc w:val="both"/>
        <w:ind w:firstLine="8"/>
        <w:spacing w:after="0" w:line="281" w:lineRule="auto"/>
        <w:tabs>
          <w:tab w:leader="none" w:pos="803"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NDEPENDENT</w:t>
      </w:r>
      <w:r>
        <w:rPr>
          <w:rFonts w:ascii="Arial" w:cs="Arial" w:eastAsia="Arial" w:hAnsi="Arial"/>
          <w:sz w:val="19"/>
          <w:szCs w:val="19"/>
          <w:b w:val="1"/>
          <w:bCs w:val="1"/>
          <w:color w:val="auto"/>
        </w:rPr>
        <w:t xml:space="preserve"> C</w:t>
      </w:r>
      <w:r>
        <w:rPr>
          <w:rFonts w:ascii="Arial" w:cs="Arial" w:eastAsia="Arial" w:hAnsi="Arial"/>
          <w:sz w:val="13"/>
          <w:szCs w:val="13"/>
          <w:b w:val="1"/>
          <w:bCs w:val="1"/>
          <w:color w:val="auto"/>
        </w:rPr>
        <w:t>ONTRACTOR</w:t>
      </w:r>
      <w:r>
        <w:rPr>
          <w:rFonts w:ascii="Arial" w:cs="Arial" w:eastAsia="Arial" w:hAnsi="Arial"/>
          <w:sz w:val="19"/>
          <w:szCs w:val="19"/>
          <w:b w:val="1"/>
          <w:bCs w:val="1"/>
          <w:color w:val="auto"/>
        </w:rPr>
        <w:t xml:space="preserve"> R</w:t>
      </w:r>
      <w:r>
        <w:rPr>
          <w:rFonts w:ascii="Arial" w:cs="Arial" w:eastAsia="Arial" w:hAnsi="Arial"/>
          <w:sz w:val="13"/>
          <w:szCs w:val="13"/>
          <w:b w:val="1"/>
          <w:bCs w:val="1"/>
          <w:color w:val="auto"/>
        </w:rPr>
        <w:t>ELATIONSHIP</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Consultant’s relationship with Aligos shall be that of an independent contractor,</w:t>
      </w:r>
      <w:r>
        <w:rPr>
          <w:rFonts w:ascii="Arial" w:cs="Arial" w:eastAsia="Arial" w:hAnsi="Arial"/>
          <w:sz w:val="19"/>
          <w:szCs w:val="19"/>
          <w:b w:val="1"/>
          <w:bCs w:val="1"/>
          <w:color w:val="auto"/>
        </w:rPr>
        <w:t xml:space="preserve"> </w:t>
      </w:r>
      <w:r>
        <w:rPr>
          <w:rFonts w:ascii="Arial" w:cs="Arial" w:eastAsia="Arial" w:hAnsi="Arial"/>
          <w:sz w:val="19"/>
          <w:szCs w:val="19"/>
          <w:color w:val="auto"/>
        </w:rPr>
        <w:t>and nothing in this Agreement should be construed to create a partnership, joint venture, or employer-employee relationship. Consultant is not the agent of Aligos and is not authorized to make any representation, contract, or commitment on behalf of Aligos. Consultant will be solely responsible for all tax returns and payments required to be filed with or made to any federal, state or local tax authority with respect to Consultant’s performance of Services and receipt of compensation under this Agreement.</w:t>
      </w:r>
    </w:p>
    <w:p>
      <w:pPr>
        <w:spacing w:after="0" w:line="151" w:lineRule="exact"/>
        <w:rPr>
          <w:rFonts w:ascii="Arial" w:cs="Arial" w:eastAsia="Arial" w:hAnsi="Arial"/>
          <w:sz w:val="19"/>
          <w:szCs w:val="19"/>
          <w:b w:val="1"/>
          <w:bCs w:val="1"/>
          <w:color w:val="auto"/>
        </w:rPr>
      </w:pPr>
    </w:p>
    <w:p>
      <w:pPr>
        <w:ind w:left="820" w:hanging="812"/>
        <w:spacing w:after="0"/>
        <w:tabs>
          <w:tab w:leader="none" w:pos="820"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color w:val="auto"/>
        </w:rPr>
        <w:t>T</w:t>
      </w:r>
      <w:r>
        <w:rPr>
          <w:rFonts w:ascii="Arial" w:cs="Arial" w:eastAsia="Arial" w:hAnsi="Arial"/>
          <w:sz w:val="14"/>
          <w:szCs w:val="14"/>
          <w:b w:val="1"/>
          <w:bCs w:val="1"/>
          <w:color w:val="auto"/>
        </w:rPr>
        <w:t>RADE</w:t>
      </w:r>
      <w:r>
        <w:rPr>
          <w:rFonts w:ascii="Arial" w:cs="Arial" w:eastAsia="Arial" w:hAnsi="Arial"/>
          <w:sz w:val="21"/>
          <w:szCs w:val="21"/>
          <w:b w:val="1"/>
          <w:bCs w:val="1"/>
          <w:color w:val="auto"/>
        </w:rPr>
        <w:t xml:space="preserve"> S</w:t>
      </w:r>
      <w:r>
        <w:rPr>
          <w:rFonts w:ascii="Arial" w:cs="Arial" w:eastAsia="Arial" w:hAnsi="Arial"/>
          <w:sz w:val="14"/>
          <w:szCs w:val="14"/>
          <w:b w:val="1"/>
          <w:bCs w:val="1"/>
          <w:color w:val="auto"/>
        </w:rPr>
        <w:t>ECRETS</w:t>
      </w:r>
      <w:r>
        <w:rPr>
          <w:rFonts w:ascii="Arial" w:cs="Arial" w:eastAsia="Arial" w:hAnsi="Arial"/>
          <w:sz w:val="21"/>
          <w:szCs w:val="21"/>
          <w:b w:val="1"/>
          <w:bCs w:val="1"/>
          <w:color w:val="auto"/>
        </w:rPr>
        <w:t xml:space="preserve"> - I</w:t>
      </w:r>
      <w:r>
        <w:rPr>
          <w:rFonts w:ascii="Arial" w:cs="Arial" w:eastAsia="Arial" w:hAnsi="Arial"/>
          <w:sz w:val="14"/>
          <w:szCs w:val="14"/>
          <w:b w:val="1"/>
          <w:bCs w:val="1"/>
          <w:color w:val="auto"/>
        </w:rPr>
        <w:t>NTELLECTUAL</w:t>
      </w:r>
      <w:r>
        <w:rPr>
          <w:rFonts w:ascii="Arial" w:cs="Arial" w:eastAsia="Arial" w:hAnsi="Arial"/>
          <w:sz w:val="21"/>
          <w:szCs w:val="21"/>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21"/>
          <w:szCs w:val="21"/>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21"/>
          <w:szCs w:val="21"/>
          <w:b w:val="1"/>
          <w:bCs w:val="1"/>
          <w:color w:val="auto"/>
        </w:rPr>
        <w:t>.</w:t>
      </w:r>
    </w:p>
    <w:p>
      <w:pPr>
        <w:spacing w:after="0" w:line="209" w:lineRule="exact"/>
        <w:rPr>
          <w:sz w:val="20"/>
          <w:szCs w:val="20"/>
          <w:color w:val="auto"/>
        </w:rPr>
      </w:pPr>
    </w:p>
    <w:p>
      <w:pPr>
        <w:ind w:right="40" w:firstLine="864"/>
        <w:spacing w:after="0" w:line="272" w:lineRule="auto"/>
        <w:rPr>
          <w:sz w:val="20"/>
          <w:szCs w:val="20"/>
          <w:color w:val="auto"/>
        </w:rPr>
      </w:pPr>
      <w:r>
        <w:rPr>
          <w:rFonts w:ascii="Arial" w:cs="Arial" w:eastAsia="Arial" w:hAnsi="Arial"/>
          <w:sz w:val="19"/>
          <w:szCs w:val="19"/>
          <w:b w:val="1"/>
          <w:bCs w:val="1"/>
          <w:color w:val="auto"/>
        </w:rPr>
        <w:t xml:space="preserve">4.1 Proprietary Information. </w:t>
      </w:r>
      <w:r>
        <w:rPr>
          <w:rFonts w:ascii="Arial" w:cs="Arial" w:eastAsia="Arial" w:hAnsi="Arial"/>
          <w:sz w:val="19"/>
          <w:szCs w:val="19"/>
          <w:color w:val="auto"/>
        </w:rPr>
        <w:t>Consultant agrees that at all times during the term of this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Consultant will take all steps reasonably necessary to hold all Proprietary Information (defined below) in strictest confidence, will not disclose or use Proprietary Information in any manner or for any purpose not expressly set forth in this Agreement, and will not disclose any such Proprietary Information to any third party without first obtaining Aligos’s express written consent on a case-by-case basis. Consultant further agrees to take all reasonable precautions to prevent any unauthorized disclosure of the Proprietary Information including, but not limited to, ensuring that each employee, agent or representative of Consultant, if any, with access to any Proprietary Information is legally bound by obligations of non-disclosure and non-use at least as restrictive as those contained herein, and has been apprised of the duty and obligation to maintain and use Proprietary Information in accordance with the terms and conditions of this Agreement.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means any and all trade secrets, confidential knowledge, know-how, results, data or other proprietary information or materials of Aligos, and all information created or discovered by Consultant in the course of performing the Services hereunder. The Proprietary Information will remain the sole property of Aligos. Notwithstanding any other provision of this Agreement, the obligations of nondisclosure and non-use contained in this Agreement shall not apply with respect to any Proprietary Information that has been published or is otherwise readily available to the public other than by a breach of this Agreement.</w:t>
      </w:r>
    </w:p>
    <w:p>
      <w:pPr>
        <w:spacing w:after="0" w:line="151" w:lineRule="exact"/>
        <w:rPr>
          <w:sz w:val="20"/>
          <w:szCs w:val="20"/>
          <w:color w:val="auto"/>
        </w:rPr>
      </w:pPr>
    </w:p>
    <w:p>
      <w:pPr>
        <w:ind w:right="280" w:firstLine="864"/>
        <w:spacing w:after="0" w:line="239" w:lineRule="auto"/>
        <w:rPr>
          <w:sz w:val="20"/>
          <w:szCs w:val="20"/>
          <w:color w:val="auto"/>
        </w:rPr>
      </w:pPr>
      <w:r>
        <w:rPr>
          <w:rFonts w:ascii="Arial" w:cs="Arial" w:eastAsia="Arial" w:hAnsi="Arial"/>
          <w:sz w:val="22"/>
          <w:szCs w:val="22"/>
          <w:b w:val="1"/>
          <w:bCs w:val="1"/>
          <w:color w:val="auto"/>
        </w:rPr>
        <w:t xml:space="preserve">4.2 Third-Party Information. </w:t>
      </w:r>
      <w:r>
        <w:rPr>
          <w:rFonts w:ascii="Arial" w:cs="Arial" w:eastAsia="Arial" w:hAnsi="Arial"/>
          <w:sz w:val="22"/>
          <w:szCs w:val="22"/>
          <w:color w:val="auto"/>
        </w:rPr>
        <w:t>Consultant understands that Aligos has received and will in the future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from third parties confidential or proprietary information (“</w:t>
      </w:r>
      <w:r>
        <w:rPr>
          <w:rFonts w:ascii="Arial" w:cs="Arial" w:eastAsia="Arial" w:hAnsi="Arial"/>
          <w:sz w:val="22"/>
          <w:szCs w:val="22"/>
          <w:u w:val="single" w:color="auto"/>
          <w:color w:val="auto"/>
        </w:rPr>
        <w:t>Third-Party Information</w:t>
      </w:r>
      <w:r>
        <w:rPr>
          <w:rFonts w:ascii="Arial" w:cs="Arial" w:eastAsia="Arial" w:hAnsi="Arial"/>
          <w:sz w:val="22"/>
          <w:szCs w:val="22"/>
          <w:color w:val="auto"/>
        </w:rPr>
        <w:t>”) subject to a duty on Aligos’s part to maintain the confidentiality of such information and use it only for certain limited purposes. Consultant agrees to hold Third-Party</w:t>
      </w:r>
    </w:p>
    <w:p>
      <w:pPr>
        <w:spacing w:after="0" w:line="200" w:lineRule="exact"/>
        <w:rPr>
          <w:sz w:val="20"/>
          <w:szCs w:val="20"/>
          <w:color w:val="auto"/>
        </w:rPr>
      </w:pPr>
    </w:p>
    <w:p>
      <w:pPr>
        <w:spacing w:after="0" w:line="231" w:lineRule="exact"/>
        <w:rPr>
          <w:sz w:val="20"/>
          <w:szCs w:val="20"/>
          <w:color w:val="auto"/>
        </w:rPr>
      </w:pPr>
    </w:p>
    <w:p>
      <w:pPr>
        <w:spacing w:after="0"/>
        <w:tabs>
          <w:tab w:leader="none" w:pos="10260" w:val="left"/>
        </w:tabs>
        <w:rPr>
          <w:sz w:val="20"/>
          <w:szCs w:val="20"/>
          <w:color w:val="auto"/>
        </w:rPr>
      </w:pPr>
      <w:r>
        <w:rPr>
          <w:rFonts w:ascii="Arial" w:cs="Arial" w:eastAsia="Arial" w:hAnsi="Arial"/>
          <w:sz w:val="21"/>
          <w:szCs w:val="21"/>
          <w:b w:val="1"/>
          <w:bCs w:val="1"/>
          <w:color w:val="auto"/>
        </w:rPr>
        <w:t>Consulting Agreement</w:t>
      </w:r>
      <w:r>
        <w:rPr>
          <w:sz w:val="20"/>
          <w:szCs w:val="20"/>
          <w:color w:val="auto"/>
        </w:rPr>
        <w:tab/>
      </w:r>
      <w:r>
        <w:rPr>
          <w:rFonts w:ascii="Arial" w:cs="Arial" w:eastAsia="Arial" w:hAnsi="Arial"/>
          <w:sz w:val="18"/>
          <w:szCs w:val="18"/>
          <w:b w:val="1"/>
          <w:bCs w:val="1"/>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2" w:name="page93"/>
    <w:bookmarkEnd w:id="92"/>
    <w:p>
      <w:pPr>
        <w:ind w:left="9640"/>
        <w:spacing w:after="0"/>
        <w:rPr>
          <w:sz w:val="20"/>
          <w:szCs w:val="20"/>
          <w:color w:val="auto"/>
        </w:rPr>
      </w:pPr>
      <w:r>
        <w:rPr>
          <w:rFonts w:ascii="Arial" w:cs="Arial" w:eastAsia="Arial" w:hAnsi="Arial"/>
          <w:sz w:val="21"/>
          <w:szCs w:val="21"/>
          <w:b w:val="1"/>
          <w:bCs w:val="1"/>
          <w:color w:val="auto"/>
        </w:rPr>
        <w:t>CONFIDENTIAL</w:t>
      </w:r>
    </w:p>
    <w:p>
      <w:pPr>
        <w:spacing w:after="0" w:line="269" w:lineRule="exact"/>
        <w:rPr>
          <w:sz w:val="20"/>
          <w:szCs w:val="20"/>
          <w:color w:val="auto"/>
        </w:rPr>
      </w:pPr>
    </w:p>
    <w:p>
      <w:pPr>
        <w:jc w:val="both"/>
        <w:ind w:right="480"/>
        <w:spacing w:after="0" w:line="257" w:lineRule="auto"/>
        <w:rPr>
          <w:sz w:val="20"/>
          <w:szCs w:val="20"/>
          <w:color w:val="auto"/>
        </w:rPr>
      </w:pPr>
      <w:r>
        <w:rPr>
          <w:rFonts w:ascii="Arial" w:cs="Arial" w:eastAsia="Arial" w:hAnsi="Arial"/>
          <w:sz w:val="21"/>
          <w:szCs w:val="21"/>
          <w:color w:val="auto"/>
        </w:rPr>
        <w:t>Information in confidence and not to disclose to anyone (other than Aligos personnel who need to know such information in connection with their work for Aligos) or to use, except in connection with Consultant’s performance of Services for Aligos, Third-Party Information unless expressly authorized in writing by an officer of Aligos.</w:t>
      </w:r>
    </w:p>
    <w:p>
      <w:pPr>
        <w:spacing w:after="0" w:line="163" w:lineRule="exact"/>
        <w:rPr>
          <w:sz w:val="20"/>
          <w:szCs w:val="20"/>
          <w:color w:val="auto"/>
        </w:rPr>
      </w:pPr>
    </w:p>
    <w:p>
      <w:pPr>
        <w:ind w:right="80" w:firstLine="864"/>
        <w:spacing w:after="0" w:line="247" w:lineRule="auto"/>
        <w:rPr>
          <w:sz w:val="20"/>
          <w:szCs w:val="20"/>
          <w:color w:val="auto"/>
        </w:rPr>
      </w:pPr>
      <w:r>
        <w:rPr>
          <w:rFonts w:ascii="Arial" w:cs="Arial" w:eastAsia="Arial" w:hAnsi="Arial"/>
          <w:sz w:val="21"/>
          <w:szCs w:val="21"/>
          <w:b w:val="1"/>
          <w:bCs w:val="1"/>
          <w:color w:val="auto"/>
        </w:rPr>
        <w:t xml:space="preserve">4.3 Disclosure of Work Product. </w:t>
      </w:r>
      <w:r>
        <w:rPr>
          <w:rFonts w:ascii="Arial" w:cs="Arial" w:eastAsia="Arial" w:hAnsi="Arial"/>
          <w:sz w:val="21"/>
          <w:szCs w:val="21"/>
          <w:color w:val="auto"/>
        </w:rPr>
        <w:t>As used in this Agreement, the term “</w:t>
      </w:r>
      <w:r>
        <w:rPr>
          <w:rFonts w:ascii="Arial" w:cs="Arial" w:eastAsia="Arial" w:hAnsi="Arial"/>
          <w:sz w:val="21"/>
          <w:szCs w:val="21"/>
          <w:u w:val="single" w:color="auto"/>
          <w:color w:val="auto"/>
        </w:rPr>
        <w:t>Work Product</w:t>
      </w:r>
      <w:r>
        <w:rPr>
          <w:rFonts w:ascii="Arial" w:cs="Arial" w:eastAsia="Arial" w:hAnsi="Arial"/>
          <w:sz w:val="21"/>
          <w:szCs w:val="21"/>
          <w:color w:val="auto"/>
        </w:rPr>
        <w:t>” means any ideas,</w:t>
      </w:r>
      <w:r>
        <w:rPr>
          <w:rFonts w:ascii="Arial" w:cs="Arial" w:eastAsia="Arial" w:hAnsi="Arial"/>
          <w:sz w:val="21"/>
          <w:szCs w:val="21"/>
          <w:b w:val="1"/>
          <w:bCs w:val="1"/>
          <w:color w:val="auto"/>
        </w:rPr>
        <w:t xml:space="preserve"> </w:t>
      </w:r>
      <w:r>
        <w:rPr>
          <w:rFonts w:ascii="Arial" w:cs="Arial" w:eastAsia="Arial" w:hAnsi="Arial"/>
          <w:sz w:val="21"/>
          <w:szCs w:val="21"/>
          <w:color w:val="auto"/>
        </w:rPr>
        <w:t>inventions, technologies, discoveries, improvements, know-how, information, reports, documents and techniques, whether or not patentable. Consultant agrees to disclose promptly in writing to Aligos, or any person designated by Aligos, all Work Product that is solely or jointly conceived, made, reduced to practice, or learned by Consultant in the course of performing Services for Aligos or as a result of disclosure of Proprietary Information by Aligos (“</w:t>
      </w:r>
      <w:r>
        <w:rPr>
          <w:rFonts w:ascii="Arial" w:cs="Arial" w:eastAsia="Arial" w:hAnsi="Arial"/>
          <w:sz w:val="21"/>
          <w:szCs w:val="21"/>
          <w:u w:val="single" w:color="auto"/>
          <w:color w:val="auto"/>
        </w:rPr>
        <w:t>Aligos Work Product</w:t>
      </w:r>
      <w:r>
        <w:rPr>
          <w:rFonts w:ascii="Arial" w:cs="Arial" w:eastAsia="Arial" w:hAnsi="Arial"/>
          <w:sz w:val="21"/>
          <w:szCs w:val="21"/>
          <w:color w:val="auto"/>
        </w:rPr>
        <w:t>”). Consultant agrees to keep and maintain current, accurate and reasonably complete records (in the form of notes, sketches, drawings or in any other form that may be required by Aligos) of all Services provided and results thereof and such records shall be available to and remain the sole property of Aligos at all times.</w:t>
      </w:r>
    </w:p>
    <w:p>
      <w:pPr>
        <w:spacing w:after="0" w:line="172" w:lineRule="exact"/>
        <w:rPr>
          <w:sz w:val="20"/>
          <w:szCs w:val="20"/>
          <w:color w:val="auto"/>
        </w:rPr>
      </w:pPr>
    </w:p>
    <w:p>
      <w:pPr>
        <w:ind w:right="60" w:firstLine="864"/>
        <w:spacing w:after="0" w:line="249" w:lineRule="auto"/>
        <w:rPr>
          <w:sz w:val="20"/>
          <w:szCs w:val="20"/>
          <w:color w:val="auto"/>
        </w:rPr>
      </w:pPr>
      <w:r>
        <w:rPr>
          <w:rFonts w:ascii="Arial" w:cs="Arial" w:eastAsia="Arial" w:hAnsi="Arial"/>
          <w:sz w:val="21"/>
          <w:szCs w:val="21"/>
          <w:b w:val="1"/>
          <w:bCs w:val="1"/>
          <w:color w:val="auto"/>
        </w:rPr>
        <w:t xml:space="preserve">4.4 Ownership of Work Product. </w:t>
      </w:r>
      <w:r>
        <w:rPr>
          <w:rFonts w:ascii="Arial" w:cs="Arial" w:eastAsia="Arial" w:hAnsi="Arial"/>
          <w:sz w:val="21"/>
          <w:szCs w:val="21"/>
          <w:color w:val="auto"/>
        </w:rPr>
        <w:t>Consultant agrees that any and all Aligos Work Product, and any intellectual</w:t>
      </w:r>
      <w:r>
        <w:rPr>
          <w:rFonts w:ascii="Arial" w:cs="Arial" w:eastAsia="Arial" w:hAnsi="Arial"/>
          <w:sz w:val="21"/>
          <w:szCs w:val="21"/>
          <w:b w:val="1"/>
          <w:bCs w:val="1"/>
          <w:color w:val="auto"/>
        </w:rPr>
        <w:t xml:space="preserve"> </w:t>
      </w:r>
      <w:r>
        <w:rPr>
          <w:rFonts w:ascii="Arial" w:cs="Arial" w:eastAsia="Arial" w:hAnsi="Arial"/>
          <w:sz w:val="21"/>
          <w:szCs w:val="21"/>
          <w:color w:val="auto"/>
        </w:rPr>
        <w:t>property rights therein, including without limitation copyrights, trademarks, trade secrets, patents, moral rights, contract and licensing rights (the “</w:t>
      </w:r>
      <w:r>
        <w:rPr>
          <w:rFonts w:ascii="Arial" w:cs="Arial" w:eastAsia="Arial" w:hAnsi="Arial"/>
          <w:sz w:val="21"/>
          <w:szCs w:val="21"/>
          <w:u w:val="single" w:color="auto"/>
          <w:color w:val="auto"/>
        </w:rPr>
        <w:t>Proprietary Rights</w:t>
      </w:r>
      <w:r>
        <w:rPr>
          <w:rFonts w:ascii="Arial" w:cs="Arial" w:eastAsia="Arial" w:hAnsi="Arial"/>
          <w:sz w:val="21"/>
          <w:szCs w:val="21"/>
          <w:color w:val="auto"/>
        </w:rPr>
        <w:t>”), shall be the sole and exclusive property of Aligos. For the avoidance of doubt, Aligos Work Product shall exclude any technology that was made, conceived or first reduced to practice by Consultant alone or jointly with third parties prior to the Effective Date of the Agreement and that is in existence in the form of a writing or working prototype prior to the Effective Date of this Agreement (“</w:t>
      </w:r>
      <w:r>
        <w:rPr>
          <w:rFonts w:ascii="Arial" w:cs="Arial" w:eastAsia="Arial" w:hAnsi="Arial"/>
          <w:sz w:val="21"/>
          <w:szCs w:val="21"/>
          <w:u w:val="single" w:color="auto"/>
          <w:color w:val="auto"/>
        </w:rPr>
        <w:t>Background Technology</w:t>
      </w:r>
      <w:r>
        <w:rPr>
          <w:rFonts w:ascii="Arial" w:cs="Arial" w:eastAsia="Arial" w:hAnsi="Arial"/>
          <w:sz w:val="21"/>
          <w:szCs w:val="21"/>
          <w:color w:val="auto"/>
        </w:rPr>
        <w:t>”).</w:t>
      </w:r>
    </w:p>
    <w:p>
      <w:pPr>
        <w:spacing w:after="0" w:line="171" w:lineRule="exact"/>
        <w:rPr>
          <w:sz w:val="20"/>
          <w:szCs w:val="20"/>
          <w:color w:val="auto"/>
        </w:rPr>
      </w:pPr>
    </w:p>
    <w:p>
      <w:pPr>
        <w:ind w:right="160" w:firstLine="864"/>
        <w:spacing w:after="0" w:line="274" w:lineRule="auto"/>
        <w:rPr>
          <w:sz w:val="20"/>
          <w:szCs w:val="20"/>
          <w:color w:val="auto"/>
        </w:rPr>
      </w:pPr>
      <w:r>
        <w:rPr>
          <w:rFonts w:ascii="Arial" w:cs="Arial" w:eastAsia="Arial" w:hAnsi="Arial"/>
          <w:sz w:val="19"/>
          <w:szCs w:val="19"/>
          <w:b w:val="1"/>
          <w:bCs w:val="1"/>
          <w:color w:val="auto"/>
        </w:rPr>
        <w:t xml:space="preserve">4.5 </w:t>
      </w:r>
      <w:r>
        <w:rPr>
          <w:rFonts w:ascii="Arial" w:cs="Arial" w:eastAsia="Arial" w:hAnsi="Arial"/>
          <w:sz w:val="18"/>
          <w:szCs w:val="18"/>
          <w:b w:val="1"/>
          <w:bCs w:val="1"/>
          <w:color w:val="auto"/>
        </w:rPr>
        <w:t>Assignment of Aligos Work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 irrevocably assigns to Aligos all right, title and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worldwide in and to the Aligos Work Product and all applicable Proprietary Rights. Consultant hereby designates Aligos as its agent for, and grants to Aligos a power of attorney, which power of attorney shall be deemed coupled with an interest, solely for the purpose of effecting the foregoing assignment from the Consultant to Aligos. Consultant will perform other activities necessary to effect the intent of this Section 4.5. Except as set forth below, Consultant retains no rights to use Aligos Work Product and agrees not to challenge the validity of Aligos’s ownership in Aligos Work Product. Consultant hereby grants to Aligos a non-exclusive, royalty-free, irrevocable and world-wide right, with rights to sublicense through multiple tiers of sublicensees, to reproduce, make derivative works of, publicly perform, and publicly display in any form or medium, whether now known or later developed, distribute, make, use and sell any Background Technology incorporated or used in Aligos Work Product for the purpose of developing and marketing Aligos products.</w:t>
      </w:r>
    </w:p>
    <w:p>
      <w:pPr>
        <w:spacing w:after="0" w:line="152" w:lineRule="exact"/>
        <w:rPr>
          <w:sz w:val="20"/>
          <w:szCs w:val="20"/>
          <w:color w:val="auto"/>
        </w:rPr>
      </w:pPr>
    </w:p>
    <w:p>
      <w:pPr>
        <w:ind w:right="80" w:firstLine="864"/>
        <w:spacing w:after="0" w:line="280" w:lineRule="auto"/>
        <w:rPr>
          <w:sz w:val="20"/>
          <w:szCs w:val="20"/>
          <w:color w:val="auto"/>
        </w:rPr>
      </w:pPr>
      <w:r>
        <w:rPr>
          <w:rFonts w:ascii="Arial" w:cs="Arial" w:eastAsia="Arial" w:hAnsi="Arial"/>
          <w:sz w:val="19"/>
          <w:szCs w:val="19"/>
          <w:b w:val="1"/>
          <w:bCs w:val="1"/>
          <w:color w:val="auto"/>
        </w:rPr>
        <w:t xml:space="preserve">4.6 Waiver or Assignment of Other Rights. </w:t>
      </w:r>
      <w:r>
        <w:rPr>
          <w:rFonts w:ascii="Arial" w:cs="Arial" w:eastAsia="Arial" w:hAnsi="Arial"/>
          <w:sz w:val="19"/>
          <w:szCs w:val="19"/>
          <w:color w:val="auto"/>
        </w:rPr>
        <w:t>If Consultant has any rights to Aligos Work Product that cannot</w:t>
      </w:r>
      <w:r>
        <w:rPr>
          <w:rFonts w:ascii="Arial" w:cs="Arial" w:eastAsia="Arial" w:hAnsi="Arial"/>
          <w:sz w:val="19"/>
          <w:szCs w:val="19"/>
          <w:b w:val="1"/>
          <w:bCs w:val="1"/>
          <w:color w:val="auto"/>
        </w:rPr>
        <w:t xml:space="preserve"> </w:t>
      </w:r>
      <w:r>
        <w:rPr>
          <w:rFonts w:ascii="Arial" w:cs="Arial" w:eastAsia="Arial" w:hAnsi="Arial"/>
          <w:sz w:val="19"/>
          <w:szCs w:val="19"/>
          <w:color w:val="auto"/>
        </w:rPr>
        <w:t>be assigned to Aligos, Consultant unconditionally and irrevocably waives the enforcement of such rights, and all claims and causes of action of any kind against Aligos with respect to such rights, and agrees, at Aligos’s request and expense, to consent to and join in any action to enforce such rights. If Consultant has any right to Aligos Work Product that cannot be assigned to Aligos or waived by Consultant, Consultant unconditionally and irrevocably grants to Aligos during the term of such rights, an exclusive, irrevocable, perpetual, worldwide, fully paid and royalty-free license, with rights to sublicense through multiple levels</w:t>
      </w:r>
    </w:p>
    <w:p>
      <w:pPr>
        <w:spacing w:after="0" w:line="396" w:lineRule="exact"/>
        <w:rPr>
          <w:sz w:val="20"/>
          <w:szCs w:val="20"/>
          <w:color w:val="auto"/>
        </w:rPr>
      </w:pPr>
    </w:p>
    <w:p>
      <w:pPr>
        <w:spacing w:after="0"/>
        <w:tabs>
          <w:tab w:leader="none" w:pos="10260" w:val="left"/>
        </w:tabs>
        <w:rPr>
          <w:sz w:val="20"/>
          <w:szCs w:val="20"/>
          <w:color w:val="auto"/>
        </w:rPr>
      </w:pPr>
      <w:r>
        <w:rPr>
          <w:rFonts w:ascii="Arial" w:cs="Arial" w:eastAsia="Arial" w:hAnsi="Arial"/>
          <w:sz w:val="21"/>
          <w:szCs w:val="21"/>
          <w:b w:val="1"/>
          <w:bCs w:val="1"/>
          <w:color w:val="auto"/>
        </w:rPr>
        <w:t>Consulting Agreement</w:t>
      </w:r>
      <w:r>
        <w:rPr>
          <w:sz w:val="20"/>
          <w:szCs w:val="20"/>
          <w:color w:val="auto"/>
        </w:rPr>
        <w:tab/>
      </w:r>
      <w:r>
        <w:rPr>
          <w:rFonts w:ascii="Arial" w:cs="Arial" w:eastAsia="Arial" w:hAnsi="Arial"/>
          <w:sz w:val="18"/>
          <w:szCs w:val="18"/>
          <w:b w:val="1"/>
          <w:bCs w:val="1"/>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3" w:name="page94"/>
    <w:bookmarkEnd w:id="93"/>
    <w:p>
      <w:pPr>
        <w:ind w:left="9640"/>
        <w:spacing w:after="0"/>
        <w:rPr>
          <w:sz w:val="20"/>
          <w:szCs w:val="20"/>
          <w:color w:val="auto"/>
        </w:rPr>
      </w:pPr>
      <w:r>
        <w:rPr>
          <w:rFonts w:ascii="Arial" w:cs="Arial" w:eastAsia="Arial" w:hAnsi="Arial"/>
          <w:sz w:val="21"/>
          <w:szCs w:val="21"/>
          <w:b w:val="1"/>
          <w:bCs w:val="1"/>
          <w:color w:val="auto"/>
        </w:rPr>
        <w:t>CONFIDENTIAL</w:t>
      </w:r>
    </w:p>
    <w:p>
      <w:pPr>
        <w:spacing w:after="0" w:line="269"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of sublicensees, to reproduce, create derivative works of, distribute, publicly perform and publicly display by all means now known or later developed, such rights.</w:t>
      </w:r>
    </w:p>
    <w:p>
      <w:pPr>
        <w:spacing w:after="0" w:line="169" w:lineRule="exact"/>
        <w:rPr>
          <w:sz w:val="20"/>
          <w:szCs w:val="20"/>
          <w:color w:val="auto"/>
        </w:rPr>
      </w:pPr>
    </w:p>
    <w:p>
      <w:pPr>
        <w:ind w:right="180" w:firstLine="864"/>
        <w:spacing w:after="0" w:line="334" w:lineRule="auto"/>
        <w:rPr>
          <w:sz w:val="20"/>
          <w:szCs w:val="20"/>
          <w:color w:val="auto"/>
        </w:rPr>
      </w:pPr>
      <w:r>
        <w:rPr>
          <w:rFonts w:ascii="Arial" w:cs="Arial" w:eastAsia="Arial" w:hAnsi="Arial"/>
          <w:sz w:val="19"/>
          <w:szCs w:val="19"/>
          <w:b w:val="1"/>
          <w:bCs w:val="1"/>
          <w:color w:val="auto"/>
        </w:rPr>
        <w:t xml:space="preserve">4.7 Enforcement of Proprietary Rights. </w:t>
      </w:r>
      <w:r>
        <w:rPr>
          <w:rFonts w:ascii="Arial" w:cs="Arial" w:eastAsia="Arial" w:hAnsi="Arial"/>
          <w:sz w:val="19"/>
          <w:szCs w:val="19"/>
          <w:color w:val="auto"/>
        </w:rPr>
        <w:t>Consultant further agrees to cooperate and provide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assistance to Aligos to obtain and from time to time enforce the Proprietary Rights covering or relating to Aligos Work Product.</w:t>
      </w:r>
    </w:p>
    <w:p>
      <w:pPr>
        <w:spacing w:after="0" w:line="94" w:lineRule="exact"/>
        <w:rPr>
          <w:sz w:val="20"/>
          <w:szCs w:val="20"/>
          <w:color w:val="auto"/>
        </w:rPr>
      </w:pPr>
    </w:p>
    <w:p>
      <w:pPr>
        <w:ind w:right="180" w:firstLine="864"/>
        <w:spacing w:after="0" w:line="300" w:lineRule="auto"/>
        <w:rPr>
          <w:sz w:val="20"/>
          <w:szCs w:val="20"/>
          <w:color w:val="auto"/>
        </w:rPr>
      </w:pPr>
      <w:r>
        <w:rPr>
          <w:rFonts w:ascii="Arial" w:cs="Arial" w:eastAsia="Arial" w:hAnsi="Arial"/>
          <w:sz w:val="19"/>
          <w:szCs w:val="19"/>
          <w:b w:val="1"/>
          <w:bCs w:val="1"/>
          <w:color w:val="auto"/>
        </w:rPr>
        <w:t xml:space="preserve">4.8 Publications. </w:t>
      </w:r>
      <w:r>
        <w:rPr>
          <w:rFonts w:ascii="Arial" w:cs="Arial" w:eastAsia="Arial" w:hAnsi="Arial"/>
          <w:sz w:val="19"/>
          <w:szCs w:val="19"/>
          <w:color w:val="auto"/>
        </w:rPr>
        <w:t>Consultant agrees to submit to Aligos any proposed publication that contains any discussion</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Aligos, Proprietary Information, Aligos Work Product and any Proprietary Rights therein, or Services performed hereunder. Consultant further agrees that no such publication shall be made without the prior written consent of Aligos.</w:t>
      </w:r>
    </w:p>
    <w:p>
      <w:pPr>
        <w:spacing w:after="0" w:line="126" w:lineRule="exact"/>
        <w:rPr>
          <w:sz w:val="20"/>
          <w:szCs w:val="20"/>
          <w:color w:val="auto"/>
        </w:rPr>
      </w:pPr>
    </w:p>
    <w:p>
      <w:pPr>
        <w:ind w:right="340" w:firstLine="864"/>
        <w:spacing w:after="0" w:line="243" w:lineRule="auto"/>
        <w:rPr>
          <w:sz w:val="20"/>
          <w:szCs w:val="20"/>
          <w:color w:val="auto"/>
        </w:rPr>
      </w:pPr>
      <w:r>
        <w:rPr>
          <w:rFonts w:ascii="Arial" w:cs="Arial" w:eastAsia="Arial" w:hAnsi="Arial"/>
          <w:sz w:val="22"/>
          <w:szCs w:val="22"/>
          <w:b w:val="1"/>
          <w:bCs w:val="1"/>
          <w:color w:val="auto"/>
        </w:rPr>
        <w:t xml:space="preserve">4.9 No License. </w:t>
      </w:r>
      <w:r>
        <w:rPr>
          <w:rFonts w:ascii="Arial" w:cs="Arial" w:eastAsia="Arial" w:hAnsi="Arial"/>
          <w:sz w:val="22"/>
          <w:szCs w:val="22"/>
          <w:color w:val="auto"/>
        </w:rPr>
        <w:t>Nothing in this Agreement is intended to grant any option, license, or other rights to either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under any intellectual property rights of the other Party, nor shall this Agreement grant Consultant any rights in or to the Proprietary Information, in each case except as expressly set forth herein.</w:t>
      </w:r>
    </w:p>
    <w:p>
      <w:pPr>
        <w:spacing w:after="0" w:line="185" w:lineRule="exact"/>
        <w:rPr>
          <w:sz w:val="20"/>
          <w:szCs w:val="20"/>
          <w:color w:val="auto"/>
        </w:rPr>
      </w:pPr>
    </w:p>
    <w:p>
      <w:pPr>
        <w:ind w:left="120" w:right="40" w:firstLine="749"/>
        <w:spacing w:after="0" w:line="275" w:lineRule="auto"/>
        <w:rPr>
          <w:sz w:val="20"/>
          <w:szCs w:val="20"/>
          <w:color w:val="auto"/>
        </w:rPr>
      </w:pPr>
      <w:r>
        <w:rPr>
          <w:rFonts w:ascii="Arial" w:cs="Arial" w:eastAsia="Arial" w:hAnsi="Arial"/>
          <w:sz w:val="20"/>
          <w:szCs w:val="20"/>
          <w:b w:val="1"/>
          <w:bCs w:val="1"/>
          <w:color w:val="auto"/>
        </w:rPr>
        <w:t>4.</w:t>
      </w:r>
      <w:r>
        <w:rPr>
          <w:rFonts w:ascii="Arial" w:cs="Arial" w:eastAsia="Arial" w:hAnsi="Arial"/>
          <w:sz w:val="18"/>
          <w:szCs w:val="18"/>
          <w:b w:val="1"/>
          <w:bCs w:val="1"/>
          <w:color w:val="auto"/>
        </w:rPr>
        <w:t>10 U.S. Securities Law.</w:t>
      </w:r>
      <w:r>
        <w:rPr>
          <w:rFonts w:ascii="Arial" w:cs="Arial" w:eastAsia="Arial" w:hAnsi="Arial"/>
          <w:sz w:val="20"/>
          <w:szCs w:val="20"/>
          <w:b w:val="1"/>
          <w:bCs w:val="1"/>
          <w:color w:val="auto"/>
        </w:rPr>
        <w:t xml:space="preserve"> </w:t>
      </w:r>
      <w:r>
        <w:rPr>
          <w:rFonts w:ascii="Arial" w:cs="Arial" w:eastAsia="Arial" w:hAnsi="Arial"/>
          <w:sz w:val="18"/>
          <w:szCs w:val="18"/>
          <w:color w:val="auto"/>
        </w:rPr>
        <w:t>Consultant understands and acknowledges the United States securities laws prohibit any person</w:t>
      </w:r>
      <w:r>
        <w:rPr>
          <w:rFonts w:ascii="Arial" w:cs="Arial" w:eastAsia="Arial" w:hAnsi="Arial"/>
          <w:sz w:val="20"/>
          <w:szCs w:val="20"/>
          <w:b w:val="1"/>
          <w:bCs w:val="1"/>
          <w:color w:val="auto"/>
        </w:rPr>
        <w:t xml:space="preserve"> </w:t>
      </w:r>
      <w:r>
        <w:rPr>
          <w:rFonts w:ascii="Arial" w:cs="Arial" w:eastAsia="Arial" w:hAnsi="Arial"/>
          <w:sz w:val="18"/>
          <w:szCs w:val="18"/>
          <w:color w:val="auto"/>
        </w:rPr>
        <w:t>who has material non-public (“inside”) information about a company from purchasing or selling securities of such company, and prohibits communicating such information to any other person under circumstances where it is reasonably foreseeable that such person is likely to purchase or sell securities of such company. Consultant further acknowledges that Aligos’ Proprietary Information can constitute such material non-public information and agrees to comply with United States securities laws governing the use of such information.</w:t>
      </w:r>
    </w:p>
    <w:p>
      <w:pPr>
        <w:spacing w:after="0" w:line="124" w:lineRule="exact"/>
        <w:rPr>
          <w:sz w:val="20"/>
          <w:szCs w:val="20"/>
          <w:color w:val="auto"/>
        </w:rPr>
      </w:pPr>
    </w:p>
    <w:p>
      <w:pPr>
        <w:ind w:left="820" w:hanging="812"/>
        <w:spacing w:after="0"/>
        <w:tabs>
          <w:tab w:leader="none" w:pos="820"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ONSULTANT</w:t>
      </w:r>
      <w:r>
        <w:rPr>
          <w:rFonts w:ascii="Arial" w:cs="Arial" w:eastAsia="Arial" w:hAnsi="Arial"/>
          <w:sz w:val="21"/>
          <w:szCs w:val="21"/>
          <w:b w:val="1"/>
          <w:bCs w:val="1"/>
          <w:color w:val="auto"/>
        </w:rPr>
        <w:t xml:space="preserve"> R</w:t>
      </w:r>
      <w:r>
        <w:rPr>
          <w:rFonts w:ascii="Arial" w:cs="Arial" w:eastAsia="Arial" w:hAnsi="Arial"/>
          <w:sz w:val="14"/>
          <w:szCs w:val="14"/>
          <w:b w:val="1"/>
          <w:bCs w:val="1"/>
          <w:color w:val="auto"/>
        </w:rPr>
        <w:t>EPRESENTATIONS AND</w:t>
      </w:r>
      <w:r>
        <w:rPr>
          <w:rFonts w:ascii="Arial" w:cs="Arial" w:eastAsia="Arial" w:hAnsi="Arial"/>
          <w:sz w:val="21"/>
          <w:szCs w:val="21"/>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21"/>
          <w:szCs w:val="21"/>
          <w:b w:val="1"/>
          <w:bCs w:val="1"/>
          <w:color w:val="auto"/>
        </w:rPr>
        <w:t>.</w:t>
      </w:r>
    </w:p>
    <w:p>
      <w:pPr>
        <w:spacing w:after="0" w:line="218"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0"/>
          <w:szCs w:val="20"/>
          <w:b w:val="1"/>
          <w:bCs w:val="1"/>
          <w:color w:val="auto"/>
        </w:rPr>
        <w:t xml:space="preserve">5.1 </w:t>
      </w:r>
      <w:r>
        <w:rPr>
          <w:rFonts w:ascii="Arial" w:cs="Arial" w:eastAsia="Arial" w:hAnsi="Arial"/>
          <w:sz w:val="20"/>
          <w:szCs w:val="20"/>
          <w:color w:val="auto"/>
        </w:rPr>
        <w:t>Consultant hereby represents and warrants that (a) Consultant will perform the Services in compliance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laws; (b) has full right and power to enter into and perform this Agreement without the consent of any third party; (c) Consultant will not grant, directly or indirectly, any rights or interest whatsoever in Aligos Work Product to third parties; (d) neither Aligos Work Product nor any element thereof will be subject to any restrictions or to any mortgages, liens, pledges, security interests, encumbrances or encroachments; and (e) each employee of Consultant, if any, who will receive or have access to Proprietary Information and/or perform Services hereunder will agree in writing to assign any and all right, title and interest in and to all Aligos Work Product and Proprietary Rights to Consultant and to protect the Proprietary Information in accordance with this Agreement, prior to the earlier to occur of (i) any disclosure of Proprietary Information to such employee or subcontractor or (ii) the commencement of any Services by such employee or subcontractor.</w:t>
      </w:r>
    </w:p>
    <w:p>
      <w:pPr>
        <w:spacing w:after="0" w:line="178"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5.2 Noncompetition and Nonsolicitation. </w:t>
      </w:r>
      <w:r>
        <w:rPr>
          <w:rFonts w:ascii="Arial" w:cs="Arial" w:eastAsia="Arial" w:hAnsi="Arial"/>
          <w:sz w:val="21"/>
          <w:szCs w:val="21"/>
          <w:color w:val="auto"/>
        </w:rPr>
        <w:t>Consultant agrees that during the term of this Agreement, Consultant will</w:t>
      </w:r>
      <w:r>
        <w:rPr>
          <w:rFonts w:ascii="Arial" w:cs="Arial" w:eastAsia="Arial" w:hAnsi="Arial"/>
          <w:sz w:val="21"/>
          <w:szCs w:val="21"/>
          <w:b w:val="1"/>
          <w:bCs w:val="1"/>
          <w:color w:val="auto"/>
        </w:rPr>
        <w:t xml:space="preserve"> </w:t>
      </w:r>
      <w:r>
        <w:rPr>
          <w:rFonts w:ascii="Arial" w:cs="Arial" w:eastAsia="Arial" w:hAnsi="Arial"/>
          <w:sz w:val="21"/>
          <w:szCs w:val="21"/>
          <w:color w:val="auto"/>
        </w:rPr>
        <w:t>not, without Aligos’s prior written consent, engage in any employment or business activity which is competitive with, or would otherwise conflict with, Consultant's engagement with Aligos. During the term of this Agreement and for one (1) year after its termination, Consultant will not personally or through others recruit, solicit or induce any employee of Aligos to terminate his or her employment with Aligos. If any restriction set forth in this Section 5.2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200" w:lineRule="exact"/>
        <w:rPr>
          <w:sz w:val="20"/>
          <w:szCs w:val="20"/>
          <w:color w:val="auto"/>
        </w:rPr>
      </w:pPr>
    </w:p>
    <w:p>
      <w:pPr>
        <w:spacing w:after="0" w:line="231" w:lineRule="exact"/>
        <w:rPr>
          <w:sz w:val="20"/>
          <w:szCs w:val="20"/>
          <w:color w:val="auto"/>
        </w:rPr>
      </w:pPr>
    </w:p>
    <w:p>
      <w:pPr>
        <w:spacing w:after="0"/>
        <w:tabs>
          <w:tab w:leader="none" w:pos="10260" w:val="left"/>
        </w:tabs>
        <w:rPr>
          <w:sz w:val="20"/>
          <w:szCs w:val="20"/>
          <w:color w:val="auto"/>
        </w:rPr>
      </w:pPr>
      <w:r>
        <w:rPr>
          <w:rFonts w:ascii="Arial" w:cs="Arial" w:eastAsia="Arial" w:hAnsi="Arial"/>
          <w:sz w:val="21"/>
          <w:szCs w:val="21"/>
          <w:b w:val="1"/>
          <w:bCs w:val="1"/>
          <w:color w:val="auto"/>
        </w:rPr>
        <w:t>Consulting Agreement</w:t>
      </w:r>
      <w:r>
        <w:rPr>
          <w:sz w:val="20"/>
          <w:szCs w:val="20"/>
          <w:color w:val="auto"/>
        </w:rPr>
        <w:tab/>
      </w:r>
      <w:r>
        <w:rPr>
          <w:rFonts w:ascii="Arial" w:cs="Arial" w:eastAsia="Arial" w:hAnsi="Arial"/>
          <w:sz w:val="18"/>
          <w:szCs w:val="18"/>
          <w:b w:val="1"/>
          <w:bCs w:val="1"/>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4" w:name="page95"/>
    <w:bookmarkEnd w:id="94"/>
    <w:p>
      <w:pPr>
        <w:ind w:left="9640"/>
        <w:spacing w:after="0"/>
        <w:rPr>
          <w:sz w:val="20"/>
          <w:szCs w:val="20"/>
          <w:color w:val="auto"/>
        </w:rPr>
      </w:pPr>
      <w:r>
        <w:rPr>
          <w:rFonts w:ascii="Arial" w:cs="Arial" w:eastAsia="Arial" w:hAnsi="Arial"/>
          <w:sz w:val="21"/>
          <w:szCs w:val="21"/>
          <w:b w:val="1"/>
          <w:bCs w:val="1"/>
          <w:color w:val="auto"/>
        </w:rPr>
        <w:t>CONFIDENTIAL</w:t>
      </w:r>
    </w:p>
    <w:p>
      <w:pPr>
        <w:spacing w:after="0" w:line="27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 xml:space="preserve">5.3 No Conflicting Obligation. </w:t>
      </w:r>
      <w:r>
        <w:rPr>
          <w:rFonts w:ascii="Arial" w:cs="Arial" w:eastAsia="Arial" w:hAnsi="Arial"/>
          <w:sz w:val="21"/>
          <w:szCs w:val="21"/>
          <w:color w:val="auto"/>
        </w:rPr>
        <w:t>Consultant represents and warrants that Consultant’s performance of all of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Agreement and performance of the Services for Aligos do not and will not breach or conflict with any agreement with a third party. Consultant has not entered into, and Consultant agrees Consultant will not enter into, any agreement either written or oral in conflict herewith.</w:t>
      </w:r>
    </w:p>
    <w:p>
      <w:pPr>
        <w:spacing w:after="0" w:line="178" w:lineRule="exact"/>
        <w:rPr>
          <w:sz w:val="20"/>
          <w:szCs w:val="20"/>
          <w:color w:val="auto"/>
        </w:rPr>
      </w:pPr>
    </w:p>
    <w:p>
      <w:pPr>
        <w:ind w:left="820" w:hanging="812"/>
        <w:spacing w:after="0"/>
        <w:tabs>
          <w:tab w:leader="none" w:pos="820"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color w:val="auto"/>
        </w:rPr>
        <w:t>[I</w:t>
      </w:r>
      <w:r>
        <w:rPr>
          <w:rFonts w:ascii="Arial" w:cs="Arial" w:eastAsia="Arial" w:hAnsi="Arial"/>
          <w:sz w:val="14"/>
          <w:szCs w:val="14"/>
          <w:b w:val="1"/>
          <w:bCs w:val="1"/>
          <w:color w:val="auto"/>
        </w:rPr>
        <w:t>NTENTIONALLY</w:t>
      </w:r>
      <w:r>
        <w:rPr>
          <w:rFonts w:ascii="Arial" w:cs="Arial" w:eastAsia="Arial" w:hAnsi="Arial"/>
          <w:sz w:val="21"/>
          <w:szCs w:val="21"/>
          <w:b w:val="1"/>
          <w:bCs w:val="1"/>
          <w:color w:val="auto"/>
        </w:rPr>
        <w:t xml:space="preserve"> O</w:t>
      </w:r>
      <w:r>
        <w:rPr>
          <w:rFonts w:ascii="Arial" w:cs="Arial" w:eastAsia="Arial" w:hAnsi="Arial"/>
          <w:sz w:val="14"/>
          <w:szCs w:val="14"/>
          <w:b w:val="1"/>
          <w:bCs w:val="1"/>
          <w:color w:val="auto"/>
        </w:rPr>
        <w:t>MITTED</w:t>
      </w:r>
      <w:r>
        <w:rPr>
          <w:rFonts w:ascii="Arial" w:cs="Arial" w:eastAsia="Arial" w:hAnsi="Arial"/>
          <w:sz w:val="21"/>
          <w:szCs w:val="21"/>
          <w:b w:val="1"/>
          <w:bCs w:val="1"/>
          <w:color w:val="auto"/>
        </w:rPr>
        <w:t>.]</w:t>
      </w:r>
    </w:p>
    <w:p>
      <w:pPr>
        <w:spacing w:after="0" w:line="217" w:lineRule="exact"/>
        <w:rPr>
          <w:rFonts w:ascii="Arial" w:cs="Arial" w:eastAsia="Arial" w:hAnsi="Arial"/>
          <w:sz w:val="21"/>
          <w:szCs w:val="21"/>
          <w:b w:val="1"/>
          <w:bCs w:val="1"/>
          <w:color w:val="auto"/>
        </w:rPr>
      </w:pPr>
    </w:p>
    <w:p>
      <w:pPr>
        <w:ind w:left="820" w:hanging="812"/>
        <w:spacing w:after="0"/>
        <w:tabs>
          <w:tab w:leader="none" w:pos="820"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color w:val="auto"/>
        </w:rPr>
        <w:t>T</w:t>
      </w:r>
      <w:r>
        <w:rPr>
          <w:rFonts w:ascii="Arial" w:cs="Arial" w:eastAsia="Arial" w:hAnsi="Arial"/>
          <w:sz w:val="14"/>
          <w:szCs w:val="14"/>
          <w:b w:val="1"/>
          <w:bCs w:val="1"/>
          <w:color w:val="auto"/>
        </w:rPr>
        <w:t>ERMINATION</w:t>
      </w:r>
      <w:r>
        <w:rPr>
          <w:rFonts w:ascii="Arial" w:cs="Arial" w:eastAsia="Arial" w:hAnsi="Arial"/>
          <w:sz w:val="21"/>
          <w:szCs w:val="21"/>
          <w:b w:val="1"/>
          <w:bCs w:val="1"/>
          <w:color w:val="auto"/>
        </w:rPr>
        <w:t>.</w:t>
      </w:r>
    </w:p>
    <w:p>
      <w:pPr>
        <w:spacing w:after="0" w:line="209" w:lineRule="exact"/>
        <w:rPr>
          <w:sz w:val="20"/>
          <w:szCs w:val="20"/>
          <w:color w:val="auto"/>
        </w:rPr>
      </w:pPr>
    </w:p>
    <w:p>
      <w:pPr>
        <w:ind w:right="640" w:firstLine="864"/>
        <w:spacing w:after="0" w:line="256" w:lineRule="auto"/>
        <w:rPr>
          <w:sz w:val="20"/>
          <w:szCs w:val="20"/>
          <w:color w:val="auto"/>
        </w:rPr>
      </w:pPr>
      <w:r>
        <w:rPr>
          <w:rFonts w:ascii="Arial" w:cs="Arial" w:eastAsia="Arial" w:hAnsi="Arial"/>
          <w:sz w:val="22"/>
          <w:szCs w:val="22"/>
          <w:b w:val="1"/>
          <w:bCs w:val="1"/>
          <w:color w:val="auto"/>
        </w:rPr>
        <w:t xml:space="preserve">7.1 Term. </w:t>
      </w:r>
      <w:r>
        <w:rPr>
          <w:rFonts w:ascii="Arial" w:cs="Arial" w:eastAsia="Arial" w:hAnsi="Arial"/>
          <w:sz w:val="22"/>
          <w:szCs w:val="22"/>
          <w:color w:val="auto"/>
        </w:rPr>
        <w:t>The term of this Agreement shall commence as of the Effective Date hereof and continue until</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Consultant’s Equity Grants have been fully vested, unless earlier terminated as permitted herein.</w:t>
      </w:r>
    </w:p>
    <w:p>
      <w:pPr>
        <w:spacing w:after="0" w:line="162" w:lineRule="exact"/>
        <w:rPr>
          <w:sz w:val="20"/>
          <w:szCs w:val="20"/>
          <w:color w:val="auto"/>
        </w:rPr>
      </w:pPr>
    </w:p>
    <w:p>
      <w:pPr>
        <w:ind w:firstLine="864"/>
        <w:spacing w:after="0" w:line="243" w:lineRule="auto"/>
        <w:rPr>
          <w:sz w:val="20"/>
          <w:szCs w:val="20"/>
          <w:color w:val="auto"/>
        </w:rPr>
      </w:pPr>
      <w:r>
        <w:rPr>
          <w:rFonts w:ascii="Arial" w:cs="Arial" w:eastAsia="Arial" w:hAnsi="Arial"/>
          <w:sz w:val="22"/>
          <w:szCs w:val="22"/>
          <w:b w:val="1"/>
          <w:bCs w:val="1"/>
          <w:color w:val="auto"/>
        </w:rPr>
        <w:t xml:space="preserve">7.2 Termination by Aligos. </w:t>
      </w:r>
      <w:r>
        <w:rPr>
          <w:rFonts w:ascii="Arial" w:cs="Arial" w:eastAsia="Arial" w:hAnsi="Arial"/>
          <w:sz w:val="22"/>
          <w:szCs w:val="22"/>
          <w:color w:val="auto"/>
        </w:rPr>
        <w:t>Aligos may terminate this Agreement at its convenience upon thirty (30) days’</w:t>
      </w:r>
      <w:r>
        <w:rPr>
          <w:rFonts w:ascii="Arial" w:cs="Arial" w:eastAsia="Arial" w:hAnsi="Arial"/>
          <w:sz w:val="22"/>
          <w:szCs w:val="22"/>
          <w:b w:val="1"/>
          <w:bCs w:val="1"/>
          <w:color w:val="auto"/>
        </w:rPr>
        <w:t xml:space="preserve"> </w:t>
      </w:r>
      <w:r>
        <w:rPr>
          <w:rFonts w:ascii="Arial" w:cs="Arial" w:eastAsia="Arial" w:hAnsi="Arial"/>
          <w:sz w:val="22"/>
          <w:szCs w:val="22"/>
          <w:color w:val="auto"/>
        </w:rPr>
        <w:t>prior written notice to Consultant. Aligos may also terminate this Agreement immediately in its sole discretion upon Consultant’s breach of this Agreement.</w:t>
      </w:r>
    </w:p>
    <w:p>
      <w:pPr>
        <w:spacing w:after="0" w:line="18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b w:val="1"/>
          <w:bCs w:val="1"/>
          <w:color w:val="auto"/>
        </w:rPr>
        <w:t xml:space="preserve">7.1 Termination by Consultant. </w:t>
      </w:r>
      <w:r>
        <w:rPr>
          <w:rFonts w:ascii="Arial" w:cs="Arial" w:eastAsia="Arial" w:hAnsi="Arial"/>
          <w:sz w:val="21"/>
          <w:szCs w:val="21"/>
          <w:color w:val="auto"/>
        </w:rPr>
        <w:t>Consultant may terminate this Agreement at any time upon thirty (30) days’ prior</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notice to Aligos.</w:t>
      </w:r>
    </w:p>
    <w:p>
      <w:pPr>
        <w:spacing w:after="0" w:line="159"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20"/>
          <w:szCs w:val="20"/>
          <w:b w:val="1"/>
          <w:bCs w:val="1"/>
          <w:color w:val="auto"/>
        </w:rPr>
        <w:t xml:space="preserve">7.2 Return of Aligos Property. </w:t>
      </w:r>
      <w:r>
        <w:rPr>
          <w:rFonts w:ascii="Arial" w:cs="Arial" w:eastAsia="Arial" w:hAnsi="Arial"/>
          <w:sz w:val="20"/>
          <w:szCs w:val="20"/>
          <w:color w:val="auto"/>
        </w:rPr>
        <w:t>Upon termination of the Agreement or earlier as requested by Aligos,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will deliver to Aligos any and all drawings, notes, memoranda, specifications, devices, formulas, and documents (including without limitation electronic documents), together with all copies thereof, and any other material containing or disclosing any Aligos Work Product, Third Party Information or Proprietary Information of Aligos. Consultant further agrees that any property situated on Aligos’s premises and owned by Aligos, including without limitation disks and other storage media, filing cabinets or other work areas, is subject to inspection by Aligos personnel at any time with or without notice.</w:t>
      </w:r>
    </w:p>
    <w:p>
      <w:pPr>
        <w:spacing w:after="0" w:line="168" w:lineRule="exact"/>
        <w:rPr>
          <w:sz w:val="20"/>
          <w:szCs w:val="20"/>
          <w:color w:val="auto"/>
        </w:rPr>
      </w:pPr>
    </w:p>
    <w:p>
      <w:pPr>
        <w:ind w:left="820" w:hanging="812"/>
        <w:spacing w:after="0"/>
        <w:tabs>
          <w:tab w:leader="none" w:pos="820"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color w:val="auto"/>
        </w:rPr>
        <w:t>G</w:t>
      </w:r>
      <w:r>
        <w:rPr>
          <w:rFonts w:ascii="Arial" w:cs="Arial" w:eastAsia="Arial" w:hAnsi="Arial"/>
          <w:sz w:val="14"/>
          <w:szCs w:val="14"/>
          <w:b w:val="1"/>
          <w:bCs w:val="1"/>
          <w:color w:val="auto"/>
        </w:rPr>
        <w:t>OVERNMENT OR</w:t>
      </w:r>
      <w:r>
        <w:rPr>
          <w:rFonts w:ascii="Arial" w:cs="Arial" w:eastAsia="Arial" w:hAnsi="Arial"/>
          <w:sz w:val="21"/>
          <w:szCs w:val="21"/>
          <w:b w:val="1"/>
          <w:bCs w:val="1"/>
          <w:color w:val="auto"/>
        </w:rPr>
        <w:t xml:space="preserve"> T</w:t>
      </w:r>
      <w:r>
        <w:rPr>
          <w:rFonts w:ascii="Arial" w:cs="Arial" w:eastAsia="Arial" w:hAnsi="Arial"/>
          <w:sz w:val="14"/>
          <w:szCs w:val="14"/>
          <w:b w:val="1"/>
          <w:bCs w:val="1"/>
          <w:color w:val="auto"/>
        </w:rPr>
        <w:t>HIRD</w:t>
      </w:r>
      <w:r>
        <w:rPr>
          <w:rFonts w:ascii="Arial" w:cs="Arial" w:eastAsia="Arial" w:hAnsi="Arial"/>
          <w:sz w:val="21"/>
          <w:szCs w:val="21"/>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ONTRACTS</w:t>
      </w:r>
      <w:r>
        <w:rPr>
          <w:rFonts w:ascii="Arial" w:cs="Arial" w:eastAsia="Arial" w:hAnsi="Arial"/>
          <w:sz w:val="21"/>
          <w:szCs w:val="21"/>
          <w:b w:val="1"/>
          <w:bCs w:val="1"/>
          <w:color w:val="auto"/>
        </w:rPr>
        <w:t>.</w:t>
      </w:r>
    </w:p>
    <w:p>
      <w:pPr>
        <w:spacing w:after="0" w:line="218"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b w:val="1"/>
          <w:bCs w:val="1"/>
          <w:color w:val="auto"/>
        </w:rPr>
        <w:t xml:space="preserve">8.1 Government Contracts. </w:t>
      </w:r>
      <w:r>
        <w:rPr>
          <w:rFonts w:ascii="Arial" w:cs="Arial" w:eastAsia="Arial" w:hAnsi="Arial"/>
          <w:sz w:val="21"/>
          <w:szCs w:val="21"/>
          <w:color w:val="auto"/>
        </w:rPr>
        <w:t>In the event that Consultant shall perform Services under this Agreement in connection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 any government contract in which Aligos may be the prime consultant or subconsultant, Consultant agrees to abide by all laws, rules and regulations relating thereto. To the extent that any such law, rule or regulation requires that a provision or clause be included in this Agreement, Consultant agrees that such provision or clause is automatically added to this Agreement, and the same shall then become a part of this Agreement.</w:t>
      </w:r>
    </w:p>
    <w:p>
      <w:pPr>
        <w:spacing w:after="0" w:line="18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b w:val="1"/>
          <w:bCs w:val="1"/>
          <w:color w:val="auto"/>
        </w:rPr>
        <w:t xml:space="preserve">8.2 Security. </w:t>
      </w:r>
      <w:r>
        <w:rPr>
          <w:rFonts w:ascii="Arial" w:cs="Arial" w:eastAsia="Arial" w:hAnsi="Arial"/>
          <w:sz w:val="21"/>
          <w:szCs w:val="21"/>
          <w:color w:val="auto"/>
        </w:rPr>
        <w:t>In the event Consultant’s performance of the Services should require Consultant to have access to</w:t>
      </w:r>
      <w:r>
        <w:rPr>
          <w:rFonts w:ascii="Arial" w:cs="Arial" w:eastAsia="Arial" w:hAnsi="Arial"/>
          <w:sz w:val="21"/>
          <w:szCs w:val="21"/>
          <w:b w:val="1"/>
          <w:bCs w:val="1"/>
          <w:color w:val="auto"/>
        </w:rPr>
        <w:t xml:space="preserve"> </w:t>
      </w:r>
      <w:r>
        <w:rPr>
          <w:rFonts w:ascii="Arial" w:cs="Arial" w:eastAsia="Arial" w:hAnsi="Arial"/>
          <w:sz w:val="21"/>
          <w:szCs w:val="21"/>
          <w:color w:val="auto"/>
        </w:rPr>
        <w:t>Department of Defense classified material, or other classified material in the possession of Aligos’s facility, such material shall not be removed from Aligos’s facility. Consultant agrees that all work performed under this Agreement by Consultant which involves the use of classified material mentioned above shall be performed in a secure fashion (consistent with applicable law and regulations for the handling of classified material) and only at Aligos’s facility.</w:t>
      </w:r>
    </w:p>
    <w:p>
      <w:pPr>
        <w:spacing w:after="0" w:line="183" w:lineRule="exact"/>
        <w:rPr>
          <w:sz w:val="20"/>
          <w:szCs w:val="20"/>
          <w:color w:val="auto"/>
        </w:rPr>
      </w:pPr>
    </w:p>
    <w:p>
      <w:pPr>
        <w:jc w:val="both"/>
        <w:ind w:right="20" w:firstLine="864"/>
        <w:spacing w:after="0" w:line="270" w:lineRule="auto"/>
        <w:rPr>
          <w:sz w:val="20"/>
          <w:szCs w:val="20"/>
          <w:color w:val="auto"/>
        </w:rPr>
      </w:pPr>
      <w:r>
        <w:rPr>
          <w:rFonts w:ascii="Arial" w:cs="Arial" w:eastAsia="Arial" w:hAnsi="Arial"/>
          <w:sz w:val="21"/>
          <w:szCs w:val="21"/>
          <w:b w:val="1"/>
          <w:bCs w:val="1"/>
          <w:color w:val="auto"/>
        </w:rPr>
        <w:t xml:space="preserve">8.3 Ownership. </w:t>
      </w:r>
      <w:r>
        <w:rPr>
          <w:rFonts w:ascii="Arial" w:cs="Arial" w:eastAsia="Arial" w:hAnsi="Arial"/>
          <w:sz w:val="21"/>
          <w:szCs w:val="21"/>
          <w:color w:val="auto"/>
        </w:rPr>
        <w:t>Consultant agrees to assign all of its right, title and interest in and to any Aligos Work Product to a</w:t>
      </w:r>
      <w:r>
        <w:rPr>
          <w:rFonts w:ascii="Arial" w:cs="Arial" w:eastAsia="Arial" w:hAnsi="Arial"/>
          <w:sz w:val="21"/>
          <w:szCs w:val="21"/>
          <w:b w:val="1"/>
          <w:bCs w:val="1"/>
          <w:color w:val="auto"/>
        </w:rPr>
        <w:t xml:space="preserve"> </w:t>
      </w:r>
      <w:r>
        <w:rPr>
          <w:rFonts w:ascii="Arial" w:cs="Arial" w:eastAsia="Arial" w:hAnsi="Arial"/>
          <w:sz w:val="21"/>
          <w:szCs w:val="21"/>
          <w:color w:val="auto"/>
        </w:rPr>
        <w:t>third party, including without limitation the United States, as directed by Aligos.</w:t>
      </w:r>
    </w:p>
    <w:p>
      <w:pPr>
        <w:spacing w:after="0" w:line="200" w:lineRule="exact"/>
        <w:rPr>
          <w:sz w:val="20"/>
          <w:szCs w:val="20"/>
          <w:color w:val="auto"/>
        </w:rPr>
      </w:pPr>
    </w:p>
    <w:p>
      <w:pPr>
        <w:spacing w:after="0" w:line="202" w:lineRule="exact"/>
        <w:rPr>
          <w:sz w:val="20"/>
          <w:szCs w:val="20"/>
          <w:color w:val="auto"/>
        </w:rPr>
      </w:pPr>
    </w:p>
    <w:p>
      <w:pPr>
        <w:spacing w:after="0"/>
        <w:tabs>
          <w:tab w:leader="none" w:pos="10260" w:val="left"/>
        </w:tabs>
        <w:rPr>
          <w:sz w:val="20"/>
          <w:szCs w:val="20"/>
          <w:color w:val="auto"/>
        </w:rPr>
      </w:pPr>
      <w:r>
        <w:rPr>
          <w:rFonts w:ascii="Arial" w:cs="Arial" w:eastAsia="Arial" w:hAnsi="Arial"/>
          <w:sz w:val="21"/>
          <w:szCs w:val="21"/>
          <w:b w:val="1"/>
          <w:bCs w:val="1"/>
          <w:color w:val="auto"/>
        </w:rPr>
        <w:t>Consulting Agreement</w:t>
      </w:r>
      <w:r>
        <w:rPr>
          <w:sz w:val="20"/>
          <w:szCs w:val="20"/>
          <w:color w:val="auto"/>
        </w:rPr>
        <w:tab/>
      </w:r>
      <w:r>
        <w:rPr>
          <w:rFonts w:ascii="Arial" w:cs="Arial" w:eastAsia="Arial" w:hAnsi="Arial"/>
          <w:sz w:val="18"/>
          <w:szCs w:val="18"/>
          <w:b w:val="1"/>
          <w:bCs w:val="1"/>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5" w:name="page96"/>
    <w:bookmarkEnd w:id="95"/>
    <w:p>
      <w:pPr>
        <w:ind w:left="9640"/>
        <w:spacing w:after="0"/>
        <w:rPr>
          <w:sz w:val="20"/>
          <w:szCs w:val="20"/>
          <w:color w:val="auto"/>
        </w:rPr>
      </w:pPr>
      <w:r>
        <w:rPr>
          <w:rFonts w:ascii="Arial" w:cs="Arial" w:eastAsia="Arial" w:hAnsi="Arial"/>
          <w:sz w:val="21"/>
          <w:szCs w:val="21"/>
          <w:b w:val="1"/>
          <w:bCs w:val="1"/>
          <w:color w:val="auto"/>
        </w:rPr>
        <w:t>CONFIDENTIAL</w:t>
      </w:r>
    </w:p>
    <w:p>
      <w:pPr>
        <w:spacing w:after="0" w:line="272" w:lineRule="exact"/>
        <w:rPr>
          <w:sz w:val="20"/>
          <w:szCs w:val="20"/>
          <w:color w:val="auto"/>
        </w:rPr>
      </w:pPr>
    </w:p>
    <w:p>
      <w:pPr>
        <w:ind w:left="820" w:hanging="812"/>
        <w:spacing w:after="0"/>
        <w:tabs>
          <w:tab w:leader="none" w:pos="820"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color w:val="auto"/>
        </w:rPr>
        <w:t>G</w:t>
      </w:r>
      <w:r>
        <w:rPr>
          <w:rFonts w:ascii="Arial" w:cs="Arial" w:eastAsia="Arial" w:hAnsi="Arial"/>
          <w:sz w:val="14"/>
          <w:szCs w:val="14"/>
          <w:b w:val="1"/>
          <w:bCs w:val="1"/>
          <w:color w:val="auto"/>
        </w:rPr>
        <w:t>ENERAL</w:t>
      </w:r>
      <w:r>
        <w:rPr>
          <w:rFonts w:ascii="Arial" w:cs="Arial" w:eastAsia="Arial" w:hAnsi="Arial"/>
          <w:sz w:val="21"/>
          <w:szCs w:val="21"/>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21"/>
          <w:szCs w:val="21"/>
          <w:b w:val="1"/>
          <w:bCs w:val="1"/>
          <w:color w:val="auto"/>
        </w:rPr>
        <w:t>.</w:t>
      </w:r>
    </w:p>
    <w:p>
      <w:pPr>
        <w:spacing w:after="0" w:line="218"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b w:val="1"/>
          <w:bCs w:val="1"/>
          <w:color w:val="auto"/>
        </w:rPr>
        <w:t xml:space="preserve">9.1 Governing Law. </w:t>
      </w:r>
      <w:r>
        <w:rPr>
          <w:rFonts w:ascii="Arial" w:cs="Arial" w:eastAsia="Arial" w:hAnsi="Arial"/>
          <w:sz w:val="19"/>
          <w:szCs w:val="19"/>
          <w:color w:val="auto"/>
        </w:rPr>
        <w:t>This Agreement will be governed in all respects by the laws of the State of California as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laws are applied to agreements between California residents entered into and to be performed entirely within California and without giving effect to conflict of laws principles that would result in the application of the laws of any other jurisdiction. Any disputes under this Agreement will be brought exclusively in the state and Federal courts located in the Northern District of California. The Parties hereby: (a) consent and submit solely to jurisdiction and venue of such courts; (b) agree that such courts shall be the sole courts utilized and (c) waive any jurisdictional or venue objections to such courts, including without limitation, </w:t>
      </w:r>
      <w:r>
        <w:rPr>
          <w:rFonts w:ascii="Arial" w:cs="Arial" w:eastAsia="Arial" w:hAnsi="Arial"/>
          <w:sz w:val="19"/>
          <w:szCs w:val="19"/>
          <w:i w:val="1"/>
          <w:iCs w:val="1"/>
          <w:color w:val="auto"/>
        </w:rPr>
        <w:t>forum non conveniens</w:t>
      </w:r>
      <w:r>
        <w:rPr>
          <w:rFonts w:ascii="Arial" w:cs="Arial" w:eastAsia="Arial" w:hAnsi="Arial"/>
          <w:sz w:val="19"/>
          <w:szCs w:val="19"/>
          <w:color w:val="auto"/>
        </w:rPr>
        <w:t>.</w:t>
      </w:r>
    </w:p>
    <w:p>
      <w:pPr>
        <w:spacing w:after="0" w:line="156"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20"/>
          <w:szCs w:val="20"/>
          <w:b w:val="1"/>
          <w:bCs w:val="1"/>
          <w:color w:val="auto"/>
        </w:rPr>
        <w:t xml:space="preserve">9.2 Severability. </w:t>
      </w:r>
      <w:r>
        <w:rPr>
          <w:rFonts w:ascii="Arial" w:cs="Arial" w:eastAsia="Arial" w:hAnsi="Arial"/>
          <w:sz w:val="20"/>
          <w:szCs w:val="20"/>
          <w:color w:val="auto"/>
        </w:rPr>
        <w:t>If any provision of this Agreement is held to be invalid, unenforceable, or illegal by a court of</w:t>
      </w:r>
      <w:r>
        <w:rPr>
          <w:rFonts w:ascii="Arial" w:cs="Arial" w:eastAsia="Arial" w:hAnsi="Arial"/>
          <w:sz w:val="20"/>
          <w:szCs w:val="20"/>
          <w:b w:val="1"/>
          <w:bCs w:val="1"/>
          <w:color w:val="auto"/>
        </w:rPr>
        <w:t xml:space="preserve"> </w:t>
      </w:r>
      <w:r>
        <w:rPr>
          <w:rFonts w:ascii="Arial" w:cs="Arial" w:eastAsia="Arial" w:hAnsi="Arial"/>
          <w:sz w:val="20"/>
          <w:szCs w:val="20"/>
          <w:color w:val="auto"/>
        </w:rPr>
        <w:t>competent jurisdiction, such ruling will not affect or impair the validity, enforceability, or legality of any remaining portions of this Agreement, and, in such event, such provision will be changed and interpreted so as to best accomplish the objectives of such unenforceable or invalid provision within the limits of applicable law. All remaining portions will remain in full force and effect as if the original Agreement had been executed without the invalidated, unenforceable, or illegal part.</w:t>
      </w:r>
    </w:p>
    <w:p>
      <w:pPr>
        <w:spacing w:after="0" w:line="166"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9"/>
          <w:szCs w:val="19"/>
          <w:b w:val="1"/>
          <w:bCs w:val="1"/>
          <w:color w:val="auto"/>
        </w:rPr>
        <w:t xml:space="preserve">9.3 No Assignment. </w:t>
      </w:r>
      <w:r>
        <w:rPr>
          <w:rFonts w:ascii="Arial" w:cs="Arial" w:eastAsia="Arial" w:hAnsi="Arial"/>
          <w:sz w:val="19"/>
          <w:szCs w:val="19"/>
          <w:color w:val="auto"/>
        </w:rPr>
        <w:t>This Agreement may not be assigned by Consultant without Aligos’s consent, and any such</w:t>
      </w:r>
      <w:r>
        <w:rPr>
          <w:rFonts w:ascii="Arial" w:cs="Arial" w:eastAsia="Arial" w:hAnsi="Arial"/>
          <w:sz w:val="19"/>
          <w:szCs w:val="19"/>
          <w:b w:val="1"/>
          <w:bCs w:val="1"/>
          <w:color w:val="auto"/>
        </w:rPr>
        <w:t xml:space="preserve"> </w:t>
      </w:r>
      <w:r>
        <w:rPr>
          <w:rFonts w:ascii="Arial" w:cs="Arial" w:eastAsia="Arial" w:hAnsi="Arial"/>
          <w:sz w:val="19"/>
          <w:szCs w:val="19"/>
          <w:color w:val="auto"/>
        </w:rPr>
        <w:t>attempted assignment shall be void and of no effect. This Agreement may not be assigned by Aligos without Consultant’s consent.</w:t>
      </w:r>
    </w:p>
    <w:p>
      <w:pPr>
        <w:spacing w:after="0" w:line="11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 xml:space="preserve">9.4 Notices. </w:t>
      </w:r>
      <w:r>
        <w:rPr>
          <w:rFonts w:ascii="Arial" w:cs="Arial" w:eastAsia="Arial" w:hAnsi="Arial"/>
          <w:sz w:val="21"/>
          <w:szCs w:val="21"/>
          <w:color w:val="auto"/>
        </w:rPr>
        <w:t>All notices, requests and other communications under this Agreement must be in writing, and must be</w:t>
      </w:r>
      <w:r>
        <w:rPr>
          <w:rFonts w:ascii="Arial" w:cs="Arial" w:eastAsia="Arial" w:hAnsi="Arial"/>
          <w:sz w:val="21"/>
          <w:szCs w:val="21"/>
          <w:b w:val="1"/>
          <w:bCs w:val="1"/>
          <w:color w:val="auto"/>
        </w:rPr>
        <w:t xml:space="preserve"> </w:t>
      </w:r>
      <w:r>
        <w:rPr>
          <w:rFonts w:ascii="Arial" w:cs="Arial" w:eastAsia="Arial" w:hAnsi="Arial"/>
          <w:sz w:val="21"/>
          <w:szCs w:val="21"/>
          <w:color w:val="auto"/>
        </w:rPr>
        <w:t>mailed by registered or certified mail, postage prepaid and return receipt requested, or delivered by hand to the Party to whom such notice is required or permitted to be given. If mailed, any such notice will be considered to have been given three (3) business days after it was mailed, as evidenced by the postmark. If delivered by hand, any such notice will be considered to have been given when received by the Party to whom notice is given, as evidenced by written and dated receipt of the receiving Party. The mailing address for notice to either Party will be the address shown in the first paragraph of this Agreement. Either Party may change its mailing address by notice as provided by this Section 9.4.</w:t>
      </w:r>
    </w:p>
    <w:p>
      <w:pPr>
        <w:spacing w:after="0" w:line="184"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 xml:space="preserve">9.5 Legal Fees. </w:t>
      </w:r>
      <w:r>
        <w:rPr>
          <w:rFonts w:ascii="Arial" w:cs="Arial" w:eastAsia="Arial" w:hAnsi="Arial"/>
          <w:sz w:val="21"/>
          <w:szCs w:val="21"/>
          <w:color w:val="auto"/>
        </w:rPr>
        <w:t>If any dispute arises between the Parties with respect to the matters covered by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which leads to a proceeding to resolve such dispute, the prevailing Party in such proceeding shall be entitled to receive its reasonable attorneys’ fees, expert witness fees and out-of-pocket costs incurred in connection with such proceeding, in addition to any other relief it may be awarded.</w:t>
      </w:r>
    </w:p>
    <w:p>
      <w:pPr>
        <w:spacing w:after="0" w:line="178"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9.6 Injunctive Relief. </w:t>
      </w:r>
      <w:r>
        <w:rPr>
          <w:rFonts w:ascii="Arial" w:cs="Arial" w:eastAsia="Arial" w:hAnsi="Arial"/>
          <w:sz w:val="21"/>
          <w:szCs w:val="21"/>
          <w:color w:val="auto"/>
        </w:rPr>
        <w:t>The obligations provided under Section 4 of this Agreement are acknowledged as necessary</w:t>
      </w:r>
      <w:r>
        <w:rPr>
          <w:rFonts w:ascii="Arial" w:cs="Arial" w:eastAsia="Arial" w:hAnsi="Arial"/>
          <w:sz w:val="21"/>
          <w:szCs w:val="21"/>
          <w:b w:val="1"/>
          <w:bCs w:val="1"/>
          <w:color w:val="auto"/>
        </w:rPr>
        <w:t xml:space="preserve"> </w:t>
      </w:r>
      <w:r>
        <w:rPr>
          <w:rFonts w:ascii="Arial" w:cs="Arial" w:eastAsia="Arial" w:hAnsi="Arial"/>
          <w:sz w:val="21"/>
          <w:szCs w:val="21"/>
          <w:color w:val="auto"/>
        </w:rPr>
        <w:t>and reasonable in order to protect Aligos and its business, and Consultant expressly agrees that monetary damages will be inadequate to compensate Aligos for the breach thereof. Accordingly, Consultant agrees and acknowledges that any such violation or threatened violation may cause irreparable injury to Aligos and that, in addition to any other remedies that may be available, in law, in equity or otherwise, Aligos shall be entitled to seek injunctive relief against the breach or threatened breach by Consultant of Section 4</w:t>
      </w:r>
      <w:r>
        <w:rPr>
          <w:rFonts w:ascii="Arial" w:cs="Arial" w:eastAsia="Arial" w:hAnsi="Arial"/>
          <w:sz w:val="21"/>
          <w:szCs w:val="21"/>
          <w:b w:val="1"/>
          <w:bCs w:val="1"/>
          <w:color w:val="auto"/>
        </w:rPr>
        <w:t>,</w:t>
      </w:r>
      <w:r>
        <w:rPr>
          <w:rFonts w:ascii="Arial" w:cs="Arial" w:eastAsia="Arial" w:hAnsi="Arial"/>
          <w:sz w:val="21"/>
          <w:szCs w:val="21"/>
          <w:color w:val="auto"/>
        </w:rPr>
        <w:t xml:space="preserve"> without the necessity of proving actual damages.</w:t>
      </w:r>
    </w:p>
    <w:p>
      <w:pPr>
        <w:spacing w:after="0" w:line="200" w:lineRule="exact"/>
        <w:rPr>
          <w:sz w:val="20"/>
          <w:szCs w:val="20"/>
          <w:color w:val="auto"/>
        </w:rPr>
      </w:pPr>
    </w:p>
    <w:p>
      <w:pPr>
        <w:spacing w:after="0" w:line="226" w:lineRule="exact"/>
        <w:rPr>
          <w:sz w:val="20"/>
          <w:szCs w:val="20"/>
          <w:color w:val="auto"/>
        </w:rPr>
      </w:pPr>
    </w:p>
    <w:p>
      <w:pPr>
        <w:spacing w:after="0"/>
        <w:tabs>
          <w:tab w:leader="none" w:pos="10260" w:val="left"/>
        </w:tabs>
        <w:rPr>
          <w:sz w:val="20"/>
          <w:szCs w:val="20"/>
          <w:color w:val="auto"/>
        </w:rPr>
      </w:pPr>
      <w:r>
        <w:rPr>
          <w:rFonts w:ascii="Arial" w:cs="Arial" w:eastAsia="Arial" w:hAnsi="Arial"/>
          <w:sz w:val="21"/>
          <w:szCs w:val="21"/>
          <w:b w:val="1"/>
          <w:bCs w:val="1"/>
          <w:color w:val="auto"/>
        </w:rPr>
        <w:t>Consulting Agreement</w:t>
      </w:r>
      <w:r>
        <w:rPr>
          <w:sz w:val="20"/>
          <w:szCs w:val="20"/>
          <w:color w:val="auto"/>
        </w:rPr>
        <w:tab/>
      </w:r>
      <w:r>
        <w:rPr>
          <w:rFonts w:ascii="Arial" w:cs="Arial" w:eastAsia="Arial" w:hAnsi="Arial"/>
          <w:sz w:val="18"/>
          <w:szCs w:val="18"/>
          <w:b w:val="1"/>
          <w:bCs w:val="1"/>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6" w:name="page97"/>
    <w:bookmarkEnd w:id="96"/>
    <w:p>
      <w:pPr>
        <w:ind w:left="9640"/>
        <w:spacing w:after="0"/>
        <w:rPr>
          <w:sz w:val="20"/>
          <w:szCs w:val="20"/>
          <w:color w:val="auto"/>
        </w:rPr>
      </w:pPr>
      <w:r>
        <w:rPr>
          <w:rFonts w:ascii="Arial" w:cs="Arial" w:eastAsia="Arial" w:hAnsi="Arial"/>
          <w:sz w:val="21"/>
          <w:szCs w:val="21"/>
          <w:b w:val="1"/>
          <w:bCs w:val="1"/>
          <w:color w:val="auto"/>
        </w:rPr>
        <w:t>CONFIDENTIAL</w:t>
      </w:r>
    </w:p>
    <w:p>
      <w:pPr>
        <w:spacing w:after="0" w:line="27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b w:val="1"/>
          <w:bCs w:val="1"/>
          <w:color w:val="auto"/>
        </w:rPr>
        <w:t>9.7</w:t>
      </w:r>
      <w:r>
        <w:rPr>
          <w:sz w:val="20"/>
          <w:szCs w:val="20"/>
          <w:color w:val="auto"/>
        </w:rPr>
        <w:tab/>
      </w: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following provisions shall survive termination of this Agreement:  Sections 3, 4, 5, 7.4, 8.3 and</w:t>
      </w:r>
    </w:p>
    <w:p>
      <w:pPr>
        <w:spacing w:after="0" w:line="26" w:lineRule="exact"/>
        <w:rPr>
          <w:sz w:val="20"/>
          <w:szCs w:val="20"/>
          <w:color w:val="auto"/>
        </w:rPr>
      </w:pPr>
    </w:p>
    <w:p>
      <w:pPr>
        <w:jc w:val="both"/>
        <w:ind w:firstLine="8"/>
        <w:spacing w:after="0" w:line="262" w:lineRule="auto"/>
        <w:tabs>
          <w:tab w:leader="none" w:pos="279" w:val="left"/>
        </w:tabs>
        <w:numPr>
          <w:ilvl w:val="0"/>
          <w:numId w:val="62"/>
        </w:numPr>
        <w:rPr>
          <w:rFonts w:ascii="Arial" w:cs="Arial" w:eastAsia="Arial" w:hAnsi="Arial"/>
          <w:sz w:val="20"/>
          <w:szCs w:val="20"/>
          <w:color w:val="auto"/>
        </w:rPr>
      </w:pPr>
      <w:r>
        <w:rPr>
          <w:rFonts w:ascii="Arial" w:cs="Arial" w:eastAsia="Arial" w:hAnsi="Arial"/>
          <w:sz w:val="20"/>
          <w:szCs w:val="20"/>
          <w:color w:val="auto"/>
        </w:rPr>
        <w:t>Termination of this Agreement shall not relieve either Party of any liability which accrued hereunder prior to the effective date of such termination, nor preclude either Party from pursuing all rights and remedies it may have hereunder or at law or in equity with respect to any breach of this Agreement, nor prejudice either Party’s right to obtain performance of any obligation.</w:t>
      </w:r>
    </w:p>
    <w:p>
      <w:pPr>
        <w:spacing w:after="0" w:line="168"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1"/>
          <w:szCs w:val="21"/>
          <w:b w:val="1"/>
          <w:bCs w:val="1"/>
          <w:color w:val="auto"/>
        </w:rPr>
        <w:t xml:space="preserve">9.8 Export. </w:t>
      </w:r>
      <w:r>
        <w:rPr>
          <w:rFonts w:ascii="Arial" w:cs="Arial" w:eastAsia="Arial" w:hAnsi="Arial"/>
          <w:sz w:val="21"/>
          <w:szCs w:val="21"/>
          <w:color w:val="auto"/>
        </w:rPr>
        <w:t>Consultant agrees not to export, directly or indirectly, any United States source technical data acquired</w:t>
      </w:r>
      <w:r>
        <w:rPr>
          <w:rFonts w:ascii="Arial" w:cs="Arial" w:eastAsia="Arial" w:hAnsi="Arial"/>
          <w:sz w:val="21"/>
          <w:szCs w:val="21"/>
          <w:b w:val="1"/>
          <w:bCs w:val="1"/>
          <w:color w:val="auto"/>
        </w:rPr>
        <w:t xml:space="preserve"> </w:t>
      </w:r>
      <w:r>
        <w:rPr>
          <w:rFonts w:ascii="Arial" w:cs="Arial" w:eastAsia="Arial" w:hAnsi="Arial"/>
          <w:sz w:val="21"/>
          <w:szCs w:val="21"/>
          <w:color w:val="auto"/>
        </w:rPr>
        <w:t>from Aligos or any products utilizing such data to countries outside the United States, which export may be in violation of the United States export laws or regulations.</w:t>
      </w:r>
    </w:p>
    <w:p>
      <w:pPr>
        <w:spacing w:after="0" w:line="17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1"/>
          <w:szCs w:val="21"/>
          <w:b w:val="1"/>
          <w:bCs w:val="1"/>
          <w:color w:val="auto"/>
        </w:rPr>
        <w:t xml:space="preserve">9.9 Waiver. </w:t>
      </w:r>
      <w:r>
        <w:rPr>
          <w:rFonts w:ascii="Arial" w:cs="Arial" w:eastAsia="Arial" w:hAnsi="Arial"/>
          <w:sz w:val="21"/>
          <w:szCs w:val="21"/>
          <w:color w:val="auto"/>
        </w:rPr>
        <w:t>No waiver by Aligos of any breach of this Agreement shall be a waiver of any preceding or succeeding</w:t>
      </w:r>
      <w:r>
        <w:rPr>
          <w:rFonts w:ascii="Arial" w:cs="Arial" w:eastAsia="Arial" w:hAnsi="Arial"/>
          <w:sz w:val="21"/>
          <w:szCs w:val="21"/>
          <w:b w:val="1"/>
          <w:bCs w:val="1"/>
          <w:color w:val="auto"/>
        </w:rPr>
        <w:t xml:space="preserve"> </w:t>
      </w:r>
      <w:r>
        <w:rPr>
          <w:rFonts w:ascii="Arial" w:cs="Arial" w:eastAsia="Arial" w:hAnsi="Arial"/>
          <w:sz w:val="21"/>
          <w:szCs w:val="21"/>
          <w:color w:val="auto"/>
        </w:rPr>
        <w:t>breach. No waiver by Aligos of any right under this Agreement shall be construed as a waiver of any other right. Aligos shall not be required to give notice to enforce strict adherence to all terms of this Agreement.</w:t>
      </w:r>
    </w:p>
    <w:p>
      <w:pPr>
        <w:spacing w:after="0" w:line="175"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9.10 Entire Agreement</w:t>
      </w:r>
      <w:r>
        <w:rPr>
          <w:rFonts w:ascii="Arial" w:cs="Arial" w:eastAsia="Arial" w:hAnsi="Arial"/>
          <w:sz w:val="21"/>
          <w:szCs w:val="21"/>
          <w:color w:val="auto"/>
        </w:rPr>
        <w:t>. This Agreement contains the entire understanding between the Parties with respect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matter contained herein and supersedes all prior or contemporaneous written or oral communications, negotiations, understandings or agreements of any kind with respect to such subject matter. Any failure to enforce any provision of this Agreement shall not constitute a waiver thereof or of any other provision. This Agreement may not be amended, nor any obligation waived, except by a writing signed by both Parties. This Agreement may be executed in two or more counterparts, each of which will be considered an original, but all of which together will constitute one and the same instrument. A facsimile, PDF or any other type of copy of an executed version of this Agreement signed by a Party is binding upon the signing Party to the same extent as the original of the signed Agreement.</w:t>
      </w:r>
    </w:p>
    <w:p>
      <w:pPr>
        <w:spacing w:after="0" w:line="188" w:lineRule="exact"/>
        <w:rPr>
          <w:sz w:val="20"/>
          <w:szCs w:val="20"/>
          <w:color w:val="auto"/>
        </w:rPr>
      </w:pPr>
    </w:p>
    <w:p>
      <w:pPr>
        <w:jc w:val="both"/>
        <w:ind w:right="20" w:firstLine="864"/>
        <w:spacing w:after="0" w:line="270" w:lineRule="auto"/>
        <w:rPr>
          <w:sz w:val="20"/>
          <w:szCs w:val="20"/>
          <w:color w:val="auto"/>
        </w:rPr>
      </w:pPr>
      <w:r>
        <w:rPr>
          <w:rFonts w:ascii="Arial" w:cs="Arial" w:eastAsia="Arial" w:hAnsi="Arial"/>
          <w:sz w:val="21"/>
          <w:szCs w:val="21"/>
          <w:b w:val="1"/>
          <w:bCs w:val="1"/>
          <w:color w:val="auto"/>
        </w:rPr>
        <w:t>I</w:t>
      </w:r>
      <w:r>
        <w:rPr>
          <w:rFonts w:ascii="Arial" w:cs="Arial" w:eastAsia="Arial" w:hAnsi="Arial"/>
          <w:sz w:val="14"/>
          <w:szCs w:val="14"/>
          <w:b w:val="1"/>
          <w:bCs w:val="1"/>
          <w:color w:val="auto"/>
        </w:rPr>
        <w:t>N</w:t>
      </w:r>
      <w:r>
        <w:rPr>
          <w:rFonts w:ascii="Arial" w:cs="Arial" w:eastAsia="Arial" w:hAnsi="Arial"/>
          <w:sz w:val="21"/>
          <w:szCs w:val="21"/>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1"/>
          <w:szCs w:val="21"/>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have caused this Consulting Agreement to be executed by their duly authorized</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 as of the Effective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740" w:type="dxa"/>
            <w:vAlign w:val="bottom"/>
            <w:gridSpan w:val="3"/>
          </w:tcPr>
          <w:p>
            <w:pPr>
              <w:spacing w:after="0"/>
              <w:rPr>
                <w:sz w:val="20"/>
                <w:szCs w:val="20"/>
                <w:color w:val="auto"/>
              </w:rPr>
            </w:pPr>
            <w:r>
              <w:rPr>
                <w:rFonts w:ascii="Arial" w:cs="Arial" w:eastAsia="Arial" w:hAnsi="Arial"/>
                <w:sz w:val="22"/>
                <w:szCs w:val="22"/>
                <w:b w:val="1"/>
                <w:bCs w:val="1"/>
                <w:color w:val="auto"/>
              </w:rPr>
              <w:t>ALIGOS THERAPEUTICS, INC.</w:t>
            </w:r>
          </w:p>
        </w:tc>
        <w:tc>
          <w:tcPr>
            <w:tcW w:w="5500" w:type="dxa"/>
            <w:vAlign w:val="bottom"/>
          </w:tcPr>
          <w:p>
            <w:pPr>
              <w:spacing w:after="0"/>
              <w:rPr>
                <w:sz w:val="20"/>
                <w:szCs w:val="20"/>
                <w:color w:val="auto"/>
              </w:rPr>
            </w:pPr>
            <w:r>
              <w:rPr>
                <w:rFonts w:ascii="Arial" w:cs="Arial" w:eastAsia="Arial" w:hAnsi="Arial"/>
                <w:sz w:val="22"/>
                <w:szCs w:val="22"/>
                <w:b w:val="1"/>
                <w:bCs w:val="1"/>
                <w:color w:val="auto"/>
              </w:rPr>
              <w:t>KATHLEEN SEREDA GLAUB</w:t>
            </w:r>
          </w:p>
        </w:tc>
      </w:tr>
      <w:tr>
        <w:trPr>
          <w:trHeight w:val="449"/>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4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68"/>
        </w:trPr>
        <w:tc>
          <w:tcPr>
            <w:tcW w:w="5520" w:type="dxa"/>
            <w:vAlign w:val="bottom"/>
            <w:gridSpan w:val="2"/>
          </w:tcPr>
          <w:p>
            <w:pPr>
              <w:spacing w:after="0"/>
              <w:rPr>
                <w:sz w:val="20"/>
                <w:szCs w:val="20"/>
                <w:color w:val="auto"/>
              </w:rPr>
            </w:pPr>
            <w:r>
              <w:rPr>
                <w:rFonts w:ascii="Arial" w:cs="Arial" w:eastAsia="Arial" w:hAnsi="Arial"/>
                <w:sz w:val="22"/>
                <w:szCs w:val="22"/>
                <w:color w:val="auto"/>
              </w:rPr>
              <w:t>Name:Lawrence Blatt</w:t>
            </w:r>
          </w:p>
        </w:tc>
        <w:tc>
          <w:tcPr>
            <w:tcW w:w="220" w:type="dxa"/>
            <w:vAlign w:val="bottom"/>
          </w:tcPr>
          <w:p>
            <w:pPr>
              <w:spacing w:after="0"/>
              <w:rPr>
                <w:sz w:val="23"/>
                <w:szCs w:val="23"/>
                <w:color w:val="auto"/>
              </w:rPr>
            </w:pPr>
          </w:p>
        </w:tc>
        <w:tc>
          <w:tcPr>
            <w:tcW w:w="5500" w:type="dxa"/>
            <w:vAlign w:val="bottom"/>
          </w:tcPr>
          <w:p>
            <w:pPr>
              <w:spacing w:after="0"/>
              <w:rPr>
                <w:sz w:val="20"/>
                <w:szCs w:val="20"/>
                <w:color w:val="auto"/>
              </w:rPr>
            </w:pPr>
            <w:r>
              <w:rPr>
                <w:rFonts w:ascii="Arial" w:cs="Arial" w:eastAsia="Arial" w:hAnsi="Arial"/>
                <w:sz w:val="22"/>
                <w:szCs w:val="22"/>
                <w:color w:val="auto"/>
              </w:rPr>
              <w:t>Name:KATHLEEN SEREDA GLAUB</w:t>
            </w:r>
          </w:p>
        </w:tc>
      </w:tr>
      <w:tr>
        <w:trPr>
          <w:trHeight w:val="438"/>
        </w:trPr>
        <w:tc>
          <w:tcPr>
            <w:tcW w:w="5740" w:type="dxa"/>
            <w:vAlign w:val="bottom"/>
            <w:gridSpan w:val="3"/>
          </w:tcPr>
          <w:p>
            <w:pPr>
              <w:spacing w:after="0"/>
              <w:rPr>
                <w:sz w:val="20"/>
                <w:szCs w:val="20"/>
                <w:color w:val="auto"/>
              </w:rPr>
            </w:pPr>
            <w:r>
              <w:rPr>
                <w:rFonts w:ascii="Arial" w:cs="Arial" w:eastAsia="Arial" w:hAnsi="Arial"/>
                <w:sz w:val="22"/>
                <w:szCs w:val="22"/>
                <w:color w:val="auto"/>
              </w:rPr>
              <w:t>Title: CEO</w:t>
            </w:r>
          </w:p>
        </w:tc>
        <w:tc>
          <w:tcPr>
            <w:tcW w:w="5500" w:type="dxa"/>
            <w:vAlign w:val="bottom"/>
          </w:tcPr>
          <w:p>
            <w:pPr>
              <w:spacing w:after="0"/>
              <w:rPr>
                <w:sz w:val="20"/>
                <w:szCs w:val="20"/>
                <w:color w:val="auto"/>
              </w:rPr>
            </w:pPr>
            <w:r>
              <w:rPr>
                <w:rFonts w:ascii="Arial" w:cs="Arial" w:eastAsia="Arial" w:hAnsi="Arial"/>
                <w:sz w:val="22"/>
                <w:szCs w:val="22"/>
                <w:color w:val="auto"/>
              </w:rPr>
              <w:t>SSN:</w:t>
            </w:r>
          </w:p>
        </w:tc>
      </w:tr>
      <w:tr>
        <w:trPr>
          <w:trHeight w:val="943"/>
        </w:trPr>
        <w:tc>
          <w:tcPr>
            <w:tcW w:w="5740" w:type="dxa"/>
            <w:vAlign w:val="bottom"/>
            <w:gridSpan w:val="3"/>
          </w:tcPr>
          <w:p>
            <w:pPr>
              <w:spacing w:after="0"/>
              <w:rPr>
                <w:sz w:val="20"/>
                <w:szCs w:val="20"/>
                <w:color w:val="auto"/>
              </w:rPr>
            </w:pPr>
            <w:r>
              <w:rPr>
                <w:rFonts w:ascii="Arial" w:cs="Arial" w:eastAsia="Arial" w:hAnsi="Arial"/>
                <w:sz w:val="21"/>
                <w:szCs w:val="21"/>
                <w:b w:val="1"/>
                <w:bCs w:val="1"/>
                <w:color w:val="auto"/>
              </w:rPr>
              <w:t>Consulting Agreement</w:t>
            </w:r>
          </w:p>
        </w:tc>
        <w:tc>
          <w:tcPr>
            <w:tcW w:w="5500" w:type="dxa"/>
            <w:vAlign w:val="bottom"/>
          </w:tcPr>
          <w:p>
            <w:pPr>
              <w:ind w:left="4540"/>
              <w:spacing w:after="0"/>
              <w:rPr>
                <w:sz w:val="20"/>
                <w:szCs w:val="20"/>
                <w:color w:val="auto"/>
              </w:rPr>
            </w:pPr>
            <w:r>
              <w:rPr>
                <w:rFonts w:ascii="Arial" w:cs="Arial" w:eastAsia="Arial" w:hAnsi="Arial"/>
                <w:sz w:val="21"/>
                <w:szCs w:val="21"/>
                <w:b w:val="1"/>
                <w:bCs w:val="1"/>
                <w:color w:val="auto"/>
                <w:w w:val="84"/>
              </w:rPr>
              <w:t>Page 7 of 7</w:t>
            </w:r>
          </w:p>
        </w:tc>
      </w:tr>
    </w:tbl>
    <w:p>
      <w:pPr>
        <w:sectPr>
          <w:pgSz w:w="11900" w:h="16838" w:orient="portrait"/>
          <w:cols w:equalWidth="0" w:num="1">
            <w:col w:w="11240"/>
          </w:cols>
          <w:pgMar w:left="320" w:top="120"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Lawrence Blatt, certify that:</w:t>
      </w:r>
    </w:p>
    <w:p>
      <w:pPr>
        <w:spacing w:after="0" w:line="117"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Aligos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498"/>
        <w:spacing w:after="0" w:line="263"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1140" w:right="380" w:hanging="498"/>
        <w:spacing w:after="0" w:line="342" w:lineRule="auto"/>
        <w:tabs>
          <w:tab w:leader="none" w:pos="11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498"/>
        <w:spacing w:after="0" w:line="263"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498"/>
        <w:spacing w:after="0" w:line="342" w:lineRule="auto"/>
        <w:tabs>
          <w:tab w:leader="none" w:pos="11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00" w:hanging="498"/>
        <w:spacing w:after="0" w:line="277"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20" w:val="left"/>
          <w:tab w:leader="none" w:pos="792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Lawrence Blatt</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Lesley Ann Calhoun, certify that:</w:t>
      </w:r>
    </w:p>
    <w:p>
      <w:pPr>
        <w:spacing w:after="0" w:line="117"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Aligos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498"/>
        <w:spacing w:after="0" w:line="263"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1140" w:right="380" w:hanging="498"/>
        <w:spacing w:after="0" w:line="342" w:lineRule="auto"/>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498"/>
        <w:spacing w:after="0" w:line="263"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498"/>
        <w:spacing w:after="0" w:line="342" w:lineRule="auto"/>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00" w:hanging="498"/>
        <w:spacing w:after="0" w:line="277"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20" w:val="left"/>
          <w:tab w:leader="none" w:pos="772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Lesley Ann Calhoun</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Quarterly Report of Aligos Therapeutics, Inc.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140" w:hanging="498"/>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right="500" w:hanging="498"/>
        <w:spacing w:after="0" w:line="277" w:lineRule="auto"/>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880" w:val="left"/>
          <w:tab w:leader="none" w:pos="806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14605</wp:posOffset>
            </wp:positionV>
            <wp:extent cx="31718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Lawrence Blatt</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Quarterly Report of Aligos Therapeutics, Inc.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140" w:hanging="498"/>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right="500" w:hanging="498"/>
        <w:spacing w:after="0" w:line="277" w:lineRule="auto"/>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880" w:val="left"/>
          <w:tab w:leader="none" w:pos="78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14605</wp:posOffset>
            </wp:positionV>
            <wp:extent cx="31718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Lesley Ann Calhoun</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2"/>
    </w:lvl>
  </w:abstractNum>
  <w:abstractNum w:abstractNumId="5">
    <w:nsid w:val="5072367"/>
    <w:multiLevelType w:val="hybridMultilevel"/>
    <w:lvl w:ilvl="0">
      <w:lvlJc w:val="left"/>
      <w:lvlText w:val="%1."/>
      <w:numFmt w:val="decimal"/>
      <w:start w:val="3"/>
    </w:lvl>
  </w:abstractNum>
  <w:abstractNum w:abstractNumId="6">
    <w:nsid w:val="3804823E"/>
    <w:multiLevelType w:val="hybridMultilevel"/>
    <w:lvl w:ilvl="0">
      <w:lvlJc w:val="left"/>
      <w:lvlText w:val="%1."/>
      <w:numFmt w:val="decimal"/>
      <w:start w:val="4"/>
    </w:lvl>
  </w:abstractNum>
  <w:abstractNum w:abstractNumId="7">
    <w:nsid w:val="77465F01"/>
    <w:multiLevelType w:val="hybridMultilevel"/>
    <w:lvl w:ilvl="0">
      <w:lvlJc w:val="left"/>
      <w:lvlText w:val="%1."/>
      <w:numFmt w:val="decimal"/>
      <w:start w:val="6"/>
    </w:lvl>
  </w:abstractNum>
  <w:abstractNum w:abstractNumId="8">
    <w:nsid w:val="7724C67E"/>
    <w:multiLevelType w:val="hybridMultilevel"/>
    <w:lvl w:ilvl="0">
      <w:lvlJc w:val="left"/>
      <w:lvlText w:val="%1."/>
      <w:numFmt w:val="decimal"/>
      <w:start w:val="7"/>
    </w:lvl>
  </w:abstractNum>
  <w:abstractNum w:abstractNumId="9">
    <w:nsid w:val="5C482A97"/>
    <w:multiLevelType w:val="hybridMultilevel"/>
    <w:lvl w:ilvl="0">
      <w:lvlJc w:val="left"/>
      <w:lvlText w:val="%1."/>
      <w:numFmt w:val="decimal"/>
      <w:start w:val="8"/>
    </w:lvl>
  </w:abstractNum>
  <w:abstractNum w:abstractNumId="10">
    <w:nsid w:val="2463B9EA"/>
    <w:multiLevelType w:val="hybridMultilevel"/>
    <w:lvl w:ilvl="0">
      <w:lvlJc w:val="left"/>
      <w:lvlText w:val="%1."/>
      <w:numFmt w:val="decimal"/>
      <w:start w:val="9"/>
    </w:lvl>
  </w:abstractNum>
  <w:abstractNum w:abstractNumId="11">
    <w:nsid w:val="5E884ADC"/>
    <w:multiLevelType w:val="hybridMultilevel"/>
    <w:lvl w:ilvl="0">
      <w:lvlJc w:val="left"/>
      <w:lvlText w:val="%1."/>
      <w:numFmt w:val="decimal"/>
      <w:start w:val="10"/>
    </w:lvl>
  </w:abstractNum>
  <w:abstractNum w:abstractNumId="12">
    <w:nsid w:val="51EAD36B"/>
    <w:multiLevelType w:val="hybridMultilevel"/>
    <w:lvl w:ilvl="0">
      <w:lvlJc w:val="left"/>
      <w:lvlText w:val="%1."/>
      <w:numFmt w:val="decimal"/>
      <w:start w:val="11"/>
    </w:lvl>
  </w:abstractNum>
  <w:abstractNum w:abstractNumId="13">
    <w:nsid w:val="2D517796"/>
    <w:multiLevelType w:val="hybridMultilevel"/>
    <w:lvl w:ilvl="0">
      <w:lvlJc w:val="left"/>
      <w:lvlText w:val="%1."/>
      <w:numFmt w:val="decimal"/>
      <w:start w:val="14"/>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1"/>
      <w:numFmt w:val="decimal"/>
      <w:start w:val="104"/>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3"/>
    </w:lvl>
  </w:abstractNum>
  <w:abstractNum w:abstractNumId="57">
    <w:nsid w:val="61574095"/>
    <w:multiLevelType w:val="hybridMultilevel"/>
    <w:lvl w:ilvl="0">
      <w:lvlJc w:val="left"/>
      <w:lvlText w:val="%1."/>
      <w:numFmt w:val="decimal"/>
      <w:start w:val="5"/>
    </w:lvl>
  </w:abstractNum>
  <w:abstractNum w:abstractNumId="58">
    <w:nsid w:val="7E0C57B1"/>
    <w:multiLevelType w:val="hybridMultilevel"/>
    <w:lvl w:ilvl="0">
      <w:lvlJc w:val="left"/>
      <w:lvlText w:val="%1."/>
      <w:numFmt w:val="decimal"/>
      <w:start w:val="6"/>
    </w:lvl>
  </w:abstractNum>
  <w:abstractNum w:abstractNumId="59">
    <w:nsid w:val="77AE35EB"/>
    <w:multiLevelType w:val="hybridMultilevel"/>
    <w:lvl w:ilvl="0">
      <w:lvlJc w:val="left"/>
      <w:lvlText w:val="%1."/>
      <w:numFmt w:val="decimal"/>
      <w:start w:val="8"/>
    </w:lvl>
  </w:abstractNum>
  <w:abstractNum w:abstractNumId="60">
    <w:nsid w:val="579BE4F1"/>
    <w:multiLevelType w:val="hybridMultilevel"/>
    <w:lvl w:ilvl="0">
      <w:lvlJc w:val="left"/>
      <w:lvlText w:val="%1."/>
      <w:numFmt w:val="decimal"/>
      <w:start w:val="9"/>
    </w:lvl>
  </w:abstractNum>
  <w:abstractNum w:abstractNumId="61">
    <w:nsid w:val="310C50B3"/>
    <w:multiLevelType w:val="hybridMultilevel"/>
    <w:lvl w:ilvl="0">
      <w:lvlJc w:val="left"/>
      <w:lvlText w:val="%1."/>
      <w:numFmt w:val="decimal"/>
      <w:start w:val="9"/>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21" Type="http://schemas.openxmlformats.org/officeDocument/2006/relationships/hyperlink" Target="http://www.sec.gov/Archives/edgar/data/1799448/000119312520272852/d46540dex31.htm" TargetMode="External"/><Relationship Id="rId122" Type="http://schemas.openxmlformats.org/officeDocument/2006/relationships/hyperlink" Target="http://www.sec.gov/Archives/edgar/data/1799448/000119312520272852/d46540dex32.htm" TargetMode="External"/><Relationship Id="rId123" Type="http://schemas.openxmlformats.org/officeDocument/2006/relationships/hyperlink" Target="http://www.sec.gov/Archives/edgar/data/1799448/000119312520267346/d3140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2021-08-05T16:56:17Z</dcterms:created>
  <dcterms:modified xsi:type="dcterms:W3CDTF">2021-08-05T16:56:17Z</dcterms:modified>
</cp:coreProperties>
</file>