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173990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146685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172720</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3"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1" w:lineRule="exact"/>
        <w:rPr>
          <w:sz w:val="24"/>
          <w:szCs w:val="24"/>
          <w:color w:val="auto"/>
        </w:rPr>
      </w:pPr>
    </w:p>
    <w:p>
      <w:pPr>
        <w:ind w:left="2480" w:right="860" w:hanging="2487"/>
        <w:spacing w:after="0" w:line="326" w:lineRule="auto"/>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ind w:left="41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9" w:lineRule="exact"/>
        <w:rPr>
          <w:sz w:val="24"/>
          <w:szCs w:val="24"/>
          <w:color w:val="auto"/>
        </w:rPr>
      </w:pPr>
    </w:p>
    <w:p>
      <w:pPr>
        <w:ind w:left="2100"/>
        <w:spacing w:after="0"/>
        <w:tabs>
          <w:tab w:leader="none" w:pos="5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2823210</wp:posOffset>
            </wp:positionH>
            <wp:positionV relativeFrom="paragraph">
              <wp:posOffset>-6350</wp:posOffset>
            </wp:positionV>
            <wp:extent cx="566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420" cy="8255"/>
                    </a:xfrm>
                    <a:prstGeom prst="rect">
                      <a:avLst/>
                    </a:prstGeom>
                    <a:noFill/>
                  </pic:spPr>
                </pic:pic>
              </a:graphicData>
            </a:graphic>
          </wp:anchor>
        </w:drawing>
      </w:r>
    </w:p>
    <w:p>
      <w:pPr>
        <w:ind w:left="286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1861820</wp:posOffset>
            </wp:positionH>
            <wp:positionV relativeFrom="paragraph">
              <wp:posOffset>139700</wp:posOffset>
            </wp:positionV>
            <wp:extent cx="1743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23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42"/>
          <w:szCs w:val="42"/>
          <w:b w:val="1"/>
          <w:bCs w:val="1"/>
          <w:color w:val="auto"/>
        </w:rPr>
        <w:t>Aligos Therapeutics, Inc.</w:t>
      </w:r>
    </w:p>
    <w:p>
      <w:pPr>
        <w:spacing w:after="0" w:line="56"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260" w:type="dxa"/>
        <w:tblCellMar>
          <w:top w:w="0" w:type="dxa"/>
          <w:left w:w="0" w:type="dxa"/>
          <w:bottom w:w="0" w:type="dxa"/>
          <w:right w:w="0" w:type="dxa"/>
        </w:tblCellMar>
      </w:tblPr>
      <w:tr>
        <w:trPr>
          <w:trHeight w:val="216"/>
        </w:trPr>
        <w:tc>
          <w:tcPr>
            <w:tcW w:w="4420" w:type="dxa"/>
            <w:vAlign w:val="bottom"/>
          </w:tcPr>
          <w:p>
            <w:pPr>
              <w:jc w:val="center"/>
              <w:ind w:right="18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82-4724808</w:t>
            </w:r>
          </w:p>
        </w:tc>
      </w:tr>
      <w:tr>
        <w:trPr>
          <w:trHeight w:val="134"/>
        </w:trPr>
        <w:tc>
          <w:tcPr>
            <w:tcW w:w="4420" w:type="dxa"/>
            <w:vAlign w:val="bottom"/>
          </w:tcPr>
          <w:p>
            <w:pPr>
              <w:jc w:val="center"/>
              <w:ind w:right="1864"/>
              <w:spacing w:after="0" w:line="134"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920" w:type="dxa"/>
            <w:vAlign w:val="bottom"/>
          </w:tcPr>
          <w:p>
            <w:pPr>
              <w:jc w:val="center"/>
              <w:ind w:left="1867"/>
              <w:spacing w:after="0" w:line="134"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5"/>
        </w:trPr>
        <w:tc>
          <w:tcPr>
            <w:tcW w:w="4420" w:type="dxa"/>
            <w:vAlign w:val="bottom"/>
          </w:tcPr>
          <w:p>
            <w:pPr>
              <w:jc w:val="center"/>
              <w:ind w:right="1864"/>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920" w:type="dxa"/>
            <w:vAlign w:val="bottom"/>
          </w:tcPr>
          <w:p>
            <w:pPr>
              <w:jc w:val="center"/>
              <w:ind w:left="1867"/>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88"/>
        </w:trPr>
        <w:tc>
          <w:tcPr>
            <w:tcW w:w="4420" w:type="dxa"/>
            <w:vAlign w:val="bottom"/>
          </w:tcPr>
          <w:p>
            <w:pPr>
              <w:jc w:val="center"/>
              <w:ind w:right="1864"/>
              <w:spacing w:after="0"/>
              <w:rPr>
                <w:sz w:val="20"/>
                <w:szCs w:val="20"/>
                <w:color w:val="auto"/>
              </w:rPr>
            </w:pPr>
            <w:r>
              <w:rPr>
                <w:rFonts w:ascii="Times New Roman" w:cs="Times New Roman" w:eastAsia="Times New Roman" w:hAnsi="Times New Roman"/>
                <w:sz w:val="18"/>
                <w:szCs w:val="18"/>
                <w:b w:val="1"/>
                <w:bCs w:val="1"/>
                <w:color w:val="auto"/>
                <w:w w:val="99"/>
              </w:rPr>
              <w:t>One Corporate Drive, 2nd Floor</w:t>
            </w:r>
          </w:p>
        </w:tc>
        <w:tc>
          <w:tcPr>
            <w:tcW w:w="2920" w:type="dxa"/>
            <w:vAlign w:val="bottom"/>
          </w:tcPr>
          <w:p>
            <w:pPr>
              <w:spacing w:after="0"/>
              <w:rPr>
                <w:sz w:val="24"/>
                <w:szCs w:val="24"/>
                <w:color w:val="auto"/>
              </w:rPr>
            </w:pPr>
          </w:p>
        </w:tc>
      </w:tr>
      <w:tr>
        <w:trPr>
          <w:trHeight w:val="230"/>
        </w:trPr>
        <w:tc>
          <w:tcPr>
            <w:tcW w:w="4420" w:type="dxa"/>
            <w:vAlign w:val="bottom"/>
          </w:tcPr>
          <w:p>
            <w:pPr>
              <w:jc w:val="center"/>
              <w:ind w:right="1864"/>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920" w:type="dxa"/>
            <w:vAlign w:val="bottom"/>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5"/>
        </w:trPr>
        <w:tc>
          <w:tcPr>
            <w:tcW w:w="4420" w:type="dxa"/>
            <w:vAlign w:val="bottom"/>
          </w:tcPr>
          <w:p>
            <w:pPr>
              <w:jc w:val="center"/>
              <w:ind w:right="1864"/>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920" w:type="dxa"/>
            <w:vAlign w:val="bottom"/>
          </w:tcPr>
          <w:p>
            <w:pPr>
              <w:jc w:val="center"/>
              <w:ind w:left="1867"/>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7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1861820</wp:posOffset>
            </wp:positionH>
            <wp:positionV relativeFrom="paragraph">
              <wp:posOffset>180340</wp:posOffset>
            </wp:positionV>
            <wp:extent cx="174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32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ectPr>
          <w:pgSz w:w="11900" w:h="16838" w:orient="portrait"/>
          <w:cols w:equalWidth="0" w:num="2">
            <w:col w:w="920" w:space="400"/>
            <w:col w:w="9920"/>
          </w:cols>
          <w:pgMar w:left="320" w:top="328" w:right="3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120" w:type="dxa"/>
            <w:vAlign w:val="bottom"/>
          </w:tcPr>
          <w:p>
            <w:pPr>
              <w:spacing w:after="0"/>
              <w:rPr>
                <w:sz w:val="15"/>
                <w:szCs w:val="15"/>
                <w:color w:val="auto"/>
              </w:rPr>
            </w:pPr>
          </w:p>
        </w:tc>
        <w:tc>
          <w:tcPr>
            <w:tcW w:w="4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5"/>
        </w:trPr>
        <w:tc>
          <w:tcPr>
            <w:tcW w:w="44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Common Stock, par value, $0.0001 per share</w:t>
            </w:r>
          </w:p>
        </w:tc>
        <w:tc>
          <w:tcPr>
            <w:tcW w:w="120" w:type="dxa"/>
            <w:vAlign w:val="bottom"/>
          </w:tcPr>
          <w:p>
            <w:pPr>
              <w:spacing w:after="0"/>
              <w:rPr>
                <w:sz w:val="14"/>
                <w:szCs w:val="14"/>
                <w:color w:val="auto"/>
              </w:rPr>
            </w:pPr>
          </w:p>
        </w:tc>
        <w:tc>
          <w:tcPr>
            <w:tcW w:w="2240" w:type="dxa"/>
            <w:vAlign w:val="bottom"/>
          </w:tcPr>
          <w:p>
            <w:pPr>
              <w:ind w:left="880"/>
              <w:spacing w:after="0" w:line="165" w:lineRule="exact"/>
              <w:rPr>
                <w:sz w:val="20"/>
                <w:szCs w:val="20"/>
                <w:color w:val="auto"/>
              </w:rPr>
            </w:pPr>
            <w:r>
              <w:rPr>
                <w:rFonts w:ascii="Times New Roman" w:cs="Times New Roman" w:eastAsia="Times New Roman" w:hAnsi="Times New Roman"/>
                <w:sz w:val="18"/>
                <w:szCs w:val="18"/>
                <w:b w:val="1"/>
                <w:bCs w:val="1"/>
                <w:color w:val="auto"/>
              </w:rPr>
              <w:t>ALGS</w:t>
            </w:r>
          </w:p>
        </w:tc>
        <w:tc>
          <w:tcPr>
            <w:tcW w:w="120" w:type="dxa"/>
            <w:vAlign w:val="bottom"/>
          </w:tcPr>
          <w:p>
            <w:pPr>
              <w:spacing w:after="0"/>
              <w:rPr>
                <w:sz w:val="14"/>
                <w:szCs w:val="14"/>
                <w:color w:val="auto"/>
              </w:rPr>
            </w:pPr>
          </w:p>
        </w:tc>
        <w:tc>
          <w:tcPr>
            <w:tcW w:w="43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7"/>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r>
    </w:tbl>
    <w:p>
      <w:pPr>
        <w:spacing w:after="0" w:line="48" w:lineRule="exact"/>
        <w:rPr>
          <w:sz w:val="24"/>
          <w:szCs w:val="24"/>
          <w:color w:val="auto"/>
        </w:rPr>
      </w:pPr>
    </w:p>
    <w:p>
      <w:pPr>
        <w:ind w:right="160" w:firstLine="50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ind w:right="20" w:firstLine="50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1" w:lineRule="exact"/>
        <w:rPr>
          <w:sz w:val="24"/>
          <w:szCs w:val="24"/>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8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6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4" w:lineRule="exact"/>
        <w:rPr>
          <w:sz w:val="24"/>
          <w:szCs w:val="24"/>
          <w:color w:val="auto"/>
        </w:rPr>
      </w:pPr>
    </w:p>
    <w:p>
      <w:pPr>
        <w:ind w:right="80" w:firstLine="509"/>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 w:lineRule="exact"/>
        <w:rPr>
          <w:sz w:val="24"/>
          <w:szCs w:val="24"/>
          <w:color w:val="auto"/>
        </w:rPr>
      </w:pPr>
    </w:p>
    <w:p>
      <w:pPr>
        <w:ind w:left="520"/>
        <w:spacing w:after="0" w:line="207" w:lineRule="exact"/>
        <w:tabs>
          <w:tab w:leader="none" w:pos="882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3" w:lineRule="exact"/>
        <w:rPr>
          <w:sz w:val="24"/>
          <w:szCs w:val="24"/>
          <w:color w:val="auto"/>
        </w:rPr>
      </w:pPr>
    </w:p>
    <w:p>
      <w:pPr>
        <w:ind w:right="420" w:firstLine="509"/>
        <w:spacing w:after="0" w:line="292" w:lineRule="auto"/>
        <w:rPr>
          <w:sz w:val="20"/>
          <w:szCs w:val="20"/>
          <w:color w:val="auto"/>
        </w:rPr>
      </w:pPr>
      <w:r>
        <w:rPr>
          <w:rFonts w:ascii="Times New Roman" w:cs="Times New Roman" w:eastAsia="Times New Roman" w:hAnsi="Times New Roman"/>
          <w:sz w:val="17"/>
          <w:szCs w:val="17"/>
          <w:color w:val="auto"/>
        </w:rPr>
        <w:t>As of April 28, 2022, the registrant had 42,695,195 shares of common stock, $0.0001 par value per share, outstanding, comprised of 39,602,857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462280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05"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w:t>
      </w:r>
    </w:p>
    <w:p>
      <w:pPr>
        <w:ind w:right="260"/>
        <w:spacing w:after="0" w:line="221" w:lineRule="auto"/>
        <w:rPr>
          <w:sz w:val="20"/>
          <w:szCs w:val="20"/>
          <w:color w:val="auto"/>
        </w:rPr>
      </w:pPr>
      <w:r>
        <w:rPr>
          <w:rFonts w:ascii="Times New Roman" w:cs="Times New Roman" w:eastAsia="Times New Roman" w:hAnsi="Times New Roman"/>
          <w:sz w:val="17"/>
          <w:szCs w:val="17"/>
          <w:color w:val="auto"/>
        </w:rPr>
        <w:t>“continue,” “could,” “due,” “estimate,” “expect,” “goal,” “intend,” “may,” “objective,” “plan,” “predict,” “potential,” “positioned,” “seek,” “should,” “target,” “will,” “would,” and other similar expressions that are predictions of or indicate future events and future trends, or the negative of these terms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comparable terminology. These forward-looking statements include, but are not limited to, statements about:</w:t>
      </w:r>
    </w:p>
    <w:p>
      <w:pPr>
        <w:spacing w:after="0" w:line="81" w:lineRule="exact"/>
        <w:rPr>
          <w:sz w:val="20"/>
          <w:szCs w:val="20"/>
          <w:color w:val="auto"/>
        </w:rPr>
      </w:pPr>
    </w:p>
    <w:p>
      <w:pPr>
        <w:ind w:left="102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and conducting nonclinical studies and clinical trials, including our ALG-000184 and ALG-055009 clinical trials;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00" w:lineRule="exact"/>
        <w:rPr>
          <w:rFonts w:ascii="Times New Roman" w:cs="Times New Roman" w:eastAsia="Times New Roman" w:hAnsi="Times New Roman"/>
          <w:sz w:val="18"/>
          <w:szCs w:val="18"/>
          <w:color w:val="auto"/>
        </w:rPr>
      </w:pPr>
    </w:p>
    <w:p>
      <w:pPr>
        <w:ind w:left="1020" w:right="22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68" w:lineRule="exact"/>
        <w:rPr>
          <w:rFonts w:ascii="Times New Roman" w:cs="Times New Roman" w:eastAsia="Times New Roman" w:hAnsi="Times New Roman"/>
          <w:sz w:val="18"/>
          <w:szCs w:val="18"/>
          <w:color w:val="auto"/>
        </w:rPr>
      </w:pPr>
    </w:p>
    <w:p>
      <w:pPr>
        <w:ind w:left="1020" w:right="84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55" w:lineRule="exact"/>
        <w:rPr>
          <w:rFonts w:ascii="Times New Roman" w:cs="Times New Roman" w:eastAsia="Times New Roman" w:hAnsi="Times New Roman"/>
          <w:sz w:val="18"/>
          <w:szCs w:val="18"/>
          <w:color w:val="auto"/>
        </w:rPr>
      </w:pPr>
    </w:p>
    <w:p>
      <w:pPr>
        <w:ind w:left="1020" w:right="60" w:hanging="503"/>
        <w:spacing w:after="0" w:line="27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ALG-000184 and ALG-055009, our other drug candidates and any future drug candidates, if approved for commercial use;</w:t>
      </w:r>
    </w:p>
    <w:p>
      <w:pPr>
        <w:spacing w:after="0" w:line="42" w:lineRule="exact"/>
        <w:rPr>
          <w:rFonts w:ascii="Times New Roman" w:cs="Times New Roman" w:eastAsia="Times New Roman" w:hAnsi="Times New Roman"/>
          <w:sz w:val="18"/>
          <w:szCs w:val="18"/>
          <w:color w:val="auto"/>
        </w:rPr>
      </w:pPr>
    </w:p>
    <w:p>
      <w:pPr>
        <w:ind w:left="1020" w:right="68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of our drug candidates, as well as the pricing and reimbursement of our drug candidates, if approved;</w:t>
      </w:r>
    </w:p>
    <w:p>
      <w:pPr>
        <w:spacing w:after="0" w:line="112" w:lineRule="exact"/>
        <w:rPr>
          <w:rFonts w:ascii="Times New Roman" w:cs="Times New Roman" w:eastAsia="Times New Roman" w:hAnsi="Times New Roman"/>
          <w:sz w:val="17"/>
          <w:szCs w:val="17"/>
          <w:color w:val="auto"/>
        </w:rPr>
      </w:pPr>
    </w:p>
    <w:p>
      <w:pPr>
        <w:ind w:left="1020" w:right="80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68" w:lineRule="exact"/>
        <w:rPr>
          <w:rFonts w:ascii="Times New Roman" w:cs="Times New Roman" w:eastAsia="Times New Roman" w:hAnsi="Times New Roman"/>
          <w:sz w:val="18"/>
          <w:szCs w:val="18"/>
          <w:color w:val="auto"/>
        </w:rPr>
      </w:pPr>
    </w:p>
    <w:p>
      <w:pPr>
        <w:ind w:left="1020" w:right="56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5" w:lineRule="exact"/>
        <w:rPr>
          <w:rFonts w:ascii="Times New Roman" w:cs="Times New Roman" w:eastAsia="Times New Roman" w:hAnsi="Times New Roman"/>
          <w:sz w:val="18"/>
          <w:szCs w:val="18"/>
          <w:color w:val="auto"/>
        </w:rPr>
      </w:pPr>
    </w:p>
    <w:p>
      <w:pPr>
        <w:ind w:left="1020" w:right="260" w:hanging="503"/>
        <w:spacing w:after="0" w:line="27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 including the costs associated with our current litigation with Janssen Biopharma, LLC (Janssen);</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4" w:lineRule="exact"/>
        <w:rPr>
          <w:rFonts w:ascii="Times New Roman" w:cs="Times New Roman" w:eastAsia="Times New Roman" w:hAnsi="Times New Roman"/>
          <w:sz w:val="18"/>
          <w:szCs w:val="18"/>
          <w:color w:val="auto"/>
        </w:rPr>
      </w:pPr>
    </w:p>
    <w:p>
      <w:pPr>
        <w:ind w:left="1020" w:right="600" w:hanging="503"/>
        <w:spacing w:after="0" w:line="263"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60"/>
        <w:spacing w:after="0" w:line="245" w:lineRule="auto"/>
        <w:rPr>
          <w:sz w:val="20"/>
          <w:szCs w:val="20"/>
          <w:color w:val="auto"/>
        </w:rPr>
      </w:pPr>
      <w:r>
        <w:rPr>
          <w:rFonts w:ascii="Times New Roman" w:cs="Times New Roman" w:eastAsia="Times New Roman" w:hAnsi="Times New Roman"/>
          <w:sz w:val="18"/>
          <w:szCs w:val="18"/>
          <w:color w:val="auto"/>
        </w:rPr>
        <w:t>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7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5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01" w:lineRule="exact"/>
        <w:rPr>
          <w:sz w:val="20"/>
          <w:szCs w:val="20"/>
          <w:color w:val="auto"/>
        </w:rPr>
      </w:pPr>
    </w:p>
    <w:p>
      <w:pPr>
        <w:ind w:left="1020" w:right="140" w:hanging="504"/>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4" w:lineRule="exact"/>
        <w:rPr>
          <w:rFonts w:ascii="Times New Roman" w:cs="Times New Roman" w:eastAsia="Times New Roman" w:hAnsi="Times New Roman"/>
          <w:sz w:val="18"/>
          <w:szCs w:val="18"/>
          <w:color w:val="auto"/>
        </w:rPr>
      </w:pPr>
    </w:p>
    <w:p>
      <w:pPr>
        <w:jc w:val="both"/>
        <w:ind w:left="1020" w:right="220" w:hanging="504"/>
        <w:spacing w:after="0" w:line="24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83" w:lineRule="exact"/>
        <w:rPr>
          <w:rFonts w:ascii="Times New Roman" w:cs="Times New Roman" w:eastAsia="Times New Roman" w:hAnsi="Times New Roman"/>
          <w:sz w:val="18"/>
          <w:szCs w:val="18"/>
          <w:color w:val="auto"/>
        </w:rPr>
      </w:pPr>
    </w:p>
    <w:p>
      <w:pPr>
        <w:ind w:left="1020" w:right="80" w:hanging="504"/>
        <w:spacing w:after="0" w:line="269"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52" w:lineRule="exact"/>
        <w:rPr>
          <w:rFonts w:ascii="Times New Roman" w:cs="Times New Roman" w:eastAsia="Times New Roman" w:hAnsi="Times New Roman"/>
          <w:sz w:val="17"/>
          <w:szCs w:val="17"/>
          <w:color w:val="auto"/>
        </w:rPr>
      </w:pPr>
    </w:p>
    <w:p>
      <w:pPr>
        <w:jc w:val="both"/>
        <w:ind w:left="1020" w:right="300" w:hanging="504"/>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3" w:lineRule="exact"/>
        <w:rPr>
          <w:rFonts w:ascii="Times New Roman" w:cs="Times New Roman" w:eastAsia="Times New Roman" w:hAnsi="Times New Roman"/>
          <w:sz w:val="18"/>
          <w:szCs w:val="18"/>
          <w:color w:val="auto"/>
        </w:rPr>
      </w:pPr>
    </w:p>
    <w:p>
      <w:pPr>
        <w:ind w:left="1020" w:right="120" w:hanging="504"/>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3" w:lineRule="exact"/>
        <w:rPr>
          <w:rFonts w:ascii="Times New Roman" w:cs="Times New Roman" w:eastAsia="Times New Roman" w:hAnsi="Times New Roman"/>
          <w:sz w:val="18"/>
          <w:szCs w:val="18"/>
          <w:color w:val="auto"/>
        </w:rPr>
      </w:pPr>
    </w:p>
    <w:p>
      <w:pPr>
        <w:ind w:left="1020" w:right="280" w:hanging="504"/>
        <w:spacing w:after="0" w:line="27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42" w:lineRule="exact"/>
        <w:rPr>
          <w:rFonts w:ascii="Times New Roman" w:cs="Times New Roman" w:eastAsia="Times New Roman" w:hAnsi="Times New Roman"/>
          <w:sz w:val="18"/>
          <w:szCs w:val="18"/>
          <w:color w:val="auto"/>
        </w:rPr>
      </w:pPr>
    </w:p>
    <w:p>
      <w:pPr>
        <w:ind w:left="1020" w:right="160" w:hanging="504"/>
        <w:spacing w:after="0" w:line="263"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8" w:lineRule="exact"/>
        <w:rPr>
          <w:rFonts w:ascii="Times New Roman" w:cs="Times New Roman" w:eastAsia="Times New Roman" w:hAnsi="Times New Roman"/>
          <w:sz w:val="18"/>
          <w:szCs w:val="18"/>
          <w:color w:val="auto"/>
        </w:rPr>
      </w:pPr>
    </w:p>
    <w:p>
      <w:pPr>
        <w:jc w:val="both"/>
        <w:ind w:left="1020" w:right="180" w:hanging="504"/>
        <w:spacing w:after="0" w:line="24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83" w:lineRule="exact"/>
        <w:rPr>
          <w:rFonts w:ascii="Times New Roman" w:cs="Times New Roman" w:eastAsia="Times New Roman" w:hAnsi="Times New Roman"/>
          <w:sz w:val="18"/>
          <w:szCs w:val="18"/>
          <w:color w:val="auto"/>
        </w:rPr>
      </w:pPr>
    </w:p>
    <w:p>
      <w:pPr>
        <w:ind w:left="1020" w:right="80" w:hanging="504"/>
        <w:spacing w:after="0" w:line="263"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5" w:lineRule="exact"/>
        <w:rPr>
          <w:rFonts w:ascii="Times New Roman" w:cs="Times New Roman" w:eastAsia="Times New Roman" w:hAnsi="Times New Roman"/>
          <w:sz w:val="18"/>
          <w:szCs w:val="18"/>
          <w:color w:val="auto"/>
        </w:rPr>
      </w:pPr>
    </w:p>
    <w:p>
      <w:pPr>
        <w:ind w:left="1020" w:right="260" w:hanging="504"/>
        <w:spacing w:after="0" w:line="24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8" w:right="379" w:bottom="1440" w:gutter="0" w:footer="0" w:header="0"/>
        </w:sectPr>
      </w:pPr>
    </w:p>
    <w:bookmarkStart w:id="3" w:name="page4"/>
    <w:bookmarkEnd w:id="3"/>
    <w:p>
      <w:pPr>
        <w:ind w:left="1020" w:right="100" w:hanging="504"/>
        <w:spacing w:after="0" w:line="26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7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2022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8" w:lineRule="exact"/>
              <w:rPr>
                <w:sz w:val="20"/>
                <w:szCs w:val="20"/>
                <w:color w:val="auto"/>
              </w:rPr>
            </w:pPr>
            <w:r>
              <w:rPr>
                <w:rFonts w:ascii="Times New Roman" w:cs="Times New Roman" w:eastAsia="Times New Roman" w:hAnsi="Times New Roman"/>
                <w:sz w:val="18"/>
                <w:szCs w:val="18"/>
                <w:color w:val="0000FF"/>
                <w:w w:val="94"/>
              </w:rPr>
              <w:t>2021</w:t>
            </w:r>
          </w:p>
        </w:tc>
        <w:tc>
          <w:tcPr>
            <w:tcW w:w="20" w:type="dxa"/>
            <w:vAlign w:val="bottom"/>
            <w:tcBorders>
              <w:top w:val="single" w:sz="8" w:color="0000FF"/>
              <w:bottom w:val="single" w:sz="8" w:color="0000EE"/>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2022 and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3"/>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vMerge w:val="continue"/>
          </w:tcPr>
          <w:p>
            <w:pPr>
              <w:spacing w:after="0"/>
              <w:rPr>
                <w:sz w:val="24"/>
                <w:szCs w:val="24"/>
                <w:color w:val="auto"/>
              </w:rPr>
            </w:pP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15"/>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89535</wp:posOffset>
            </wp:positionV>
            <wp:extent cx="1419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7"/>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4"/>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186,816</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r>
      <w:tr>
        <w:trPr>
          <w:trHeight w:val="208"/>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195,076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00" w:type="dxa"/>
            <w:vAlign w:val="bottom"/>
          </w:tcPr>
          <w:p>
            <w:pPr>
              <w:spacing w:after="0"/>
              <w:rPr>
                <w:sz w:val="18"/>
                <w:szCs w:val="18"/>
                <w:color w:val="auto"/>
              </w:rPr>
            </w:pPr>
          </w:p>
        </w:tc>
      </w:tr>
      <w:tr>
        <w:trPr>
          <w:trHeight w:val="214"/>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210,470</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235,369</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4"/>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collaborations, current</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38,957</w:t>
            </w:r>
          </w:p>
        </w:tc>
        <w:tc>
          <w:tcPr>
            <w:tcW w:w="100" w:type="dxa"/>
            <w:vAlign w:val="bottom"/>
          </w:tcPr>
          <w:p>
            <w:pPr>
              <w:spacing w:after="0"/>
              <w:rPr>
                <w:sz w:val="18"/>
                <w:szCs w:val="18"/>
                <w:color w:val="auto"/>
              </w:rPr>
            </w:pPr>
          </w:p>
        </w:tc>
      </w:tr>
      <w:tr>
        <w:trPr>
          <w:trHeight w:val="208"/>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from collaborations, net of current portion</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8"/>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9"/>
        </w:trPr>
        <w:tc>
          <w:tcPr>
            <w:tcW w:w="78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March 31, 2022 (unaudited) and</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782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color w:val="auto"/>
              </w:rPr>
              <w:t>December 31, 2021, respectively; no shares issued and outstanding as of March 31, 2022 (unaudited)</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69"/>
        </w:trPr>
        <w:tc>
          <w:tcPr>
            <w:tcW w:w="78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320,000,000 shares authorized as of March 31, 2022 (unaudited)</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7"/>
        </w:trPr>
        <w:tc>
          <w:tcPr>
            <w:tcW w:w="7820" w:type="dxa"/>
            <w:vAlign w:val="bottom"/>
            <w:shd w:val="clear" w:color="auto" w:fill="CFF0FC"/>
          </w:tcPr>
          <w:p>
            <w:pPr>
              <w:ind w:left="200"/>
              <w:spacing w:after="0" w:line="188" w:lineRule="exact"/>
              <w:rPr>
                <w:sz w:val="20"/>
                <w:szCs w:val="20"/>
                <w:color w:val="auto"/>
              </w:rPr>
            </w:pPr>
            <w:r>
              <w:rPr>
                <w:rFonts w:ascii="Times New Roman" w:cs="Times New Roman" w:eastAsia="Times New Roman" w:hAnsi="Times New Roman"/>
                <w:sz w:val="18"/>
                <w:szCs w:val="18"/>
                <w:color w:val="auto"/>
              </w:rPr>
              <w:t>and December 31, 2021, respectively; 42,695,195 and 42,690,229 shares issued and outstanding as of</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3"/>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March 31, 2022 (unaudited) and December 31, 2021, respectively.</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1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487,347</w:t>
            </w:r>
          </w:p>
        </w:tc>
        <w:tc>
          <w:tcPr>
            <w:tcW w:w="100" w:type="dxa"/>
            <w:vAlign w:val="bottom"/>
          </w:tcPr>
          <w:p>
            <w:pPr>
              <w:spacing w:after="0"/>
              <w:rPr>
                <w:sz w:val="18"/>
                <w:szCs w:val="18"/>
                <w:color w:val="auto"/>
              </w:rPr>
            </w:pPr>
          </w:p>
        </w:tc>
      </w:tr>
      <w:tr>
        <w:trPr>
          <w:trHeight w:val="214"/>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(338,687 )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(303,072 )</w:t>
            </w:r>
          </w:p>
        </w:tc>
      </w:tr>
      <w:tr>
        <w:trPr>
          <w:trHeight w:val="21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r>
      <w:tr>
        <w:trPr>
          <w:trHeight w:val="208"/>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210,470</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235,369</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5939155</wp:posOffset>
            </wp:positionH>
            <wp:positionV relativeFrom="paragraph">
              <wp:posOffset>-4539615</wp:posOffset>
            </wp:positionV>
            <wp:extent cx="6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-4539615</wp:posOffset>
            </wp:positionV>
            <wp:extent cx="67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-3987165</wp:posOffset>
            </wp:positionV>
            <wp:extent cx="67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-3987165</wp:posOffset>
            </wp:positionV>
            <wp:extent cx="6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-2592705</wp:posOffset>
            </wp:positionV>
            <wp:extent cx="67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-2592705</wp:posOffset>
            </wp:positionV>
            <wp:extent cx="6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-1750695</wp:posOffset>
            </wp:positionV>
            <wp:extent cx="6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-1750695</wp:posOffset>
            </wp:positionV>
            <wp:extent cx="6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-169545</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88265</wp:posOffset>
            </wp:positionV>
            <wp:extent cx="1419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7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7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8"/>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40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FF0FC"/>
          </w:tcPr>
          <w:p>
            <w:pPr>
              <w:spacing w:after="0"/>
              <w:rPr>
                <w:sz w:val="18"/>
                <w:szCs w:val="18"/>
                <w:color w:val="auto"/>
              </w:rPr>
            </w:pPr>
          </w:p>
        </w:tc>
      </w:tr>
      <w:tr>
        <w:trPr>
          <w:trHeight w:val="21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31,676</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80" w:type="dxa"/>
            <w:vAlign w:val="bottom"/>
            <w:shd w:val="clear" w:color="auto" w:fill="CFF0FC"/>
          </w:tcPr>
          <w:p>
            <w:pPr>
              <w:spacing w:after="0"/>
              <w:rPr>
                <w:sz w:val="18"/>
                <w:szCs w:val="18"/>
                <w:color w:val="auto"/>
              </w:rPr>
            </w:pPr>
          </w:p>
        </w:tc>
      </w:tr>
      <w:tr>
        <w:trPr>
          <w:trHeight w:val="21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80" w:type="dxa"/>
            <w:vAlign w:val="bottom"/>
          </w:tcPr>
          <w:p>
            <w:pPr>
              <w:spacing w:after="0"/>
              <w:rPr>
                <w:sz w:val="18"/>
                <w:szCs w:val="18"/>
                <w:color w:val="auto"/>
              </w:rPr>
            </w:pPr>
          </w:p>
        </w:tc>
      </w:tr>
      <w:tr>
        <w:trPr>
          <w:trHeight w:val="208"/>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38,128</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8"/>
                <w:szCs w:val="18"/>
                <w:color w:val="auto"/>
              </w:rPr>
            </w:pPr>
          </w:p>
        </w:tc>
        <w:tc>
          <w:tcPr>
            <w:tcW w:w="1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(35,557 )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(27,740 )</w:t>
            </w:r>
          </w:p>
        </w:tc>
      </w:tr>
      <w:tr>
        <w:trPr>
          <w:trHeight w:val="20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400" w:type="dxa"/>
            <w:vAlign w:val="bottom"/>
          </w:tcPr>
          <w:p>
            <w:pPr>
              <w:spacing w:after="0"/>
              <w:rPr>
                <w:sz w:val="18"/>
                <w:szCs w:val="18"/>
                <w:color w:val="auto"/>
              </w:rPr>
            </w:pPr>
          </w:p>
        </w:tc>
        <w:tc>
          <w:tcPr>
            <w:tcW w:w="1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(35,562 )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(27,629 )</w:t>
            </w:r>
          </w:p>
        </w:tc>
      </w:tr>
      <w:tr>
        <w:trPr>
          <w:trHeight w:val="21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(53 )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6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8"/>
                <w:szCs w:val="18"/>
                <w:color w:val="auto"/>
              </w:rPr>
            </w:pPr>
          </w:p>
        </w:tc>
        <w:tc>
          <w:tcPr>
            <w:tcW w:w="1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(35,615 )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(27,674 )</w:t>
            </w:r>
          </w:p>
        </w:tc>
      </w:tr>
      <w:tr>
        <w:trPr>
          <w:trHeight w:val="208"/>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400" w:type="dxa"/>
            <w:vAlign w:val="bottom"/>
          </w:tcPr>
          <w:p>
            <w:pPr>
              <w:spacing w:after="0"/>
              <w:rPr>
                <w:sz w:val="18"/>
                <w:szCs w:val="18"/>
                <w:color w:val="auto"/>
              </w:rPr>
            </w:pPr>
          </w:p>
        </w:tc>
        <w:tc>
          <w:tcPr>
            <w:tcW w:w="1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(248 )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4"/>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pension plans</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Pr>
          <w:p>
            <w:pPr>
              <w:spacing w:after="0"/>
              <w:rPr>
                <w:sz w:val="18"/>
                <w:szCs w:val="18"/>
                <w:color w:val="auto"/>
              </w:rPr>
            </w:pPr>
          </w:p>
        </w:tc>
        <w:tc>
          <w:tcPr>
            <w:tcW w:w="1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(248 )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8"/>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2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4"/>
        </w:trPr>
        <w:tc>
          <w:tcPr>
            <w:tcW w:w="76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21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2"/>
              <w:spacing w:after="0" w:line="195" w:lineRule="exact"/>
              <w:rPr>
                <w:sz w:val="20"/>
                <w:szCs w:val="20"/>
                <w:color w:val="auto"/>
              </w:rPr>
            </w:pPr>
            <w:r>
              <w:rPr>
                <w:rFonts w:ascii="Times New Roman" w:cs="Times New Roman" w:eastAsia="Times New Roman" w:hAnsi="Times New Roman"/>
                <w:sz w:val="18"/>
                <w:szCs w:val="18"/>
                <w:color w:val="auto"/>
              </w:rPr>
              <w:t>(0.84 )</w:t>
            </w:r>
          </w:p>
        </w:tc>
        <w:tc>
          <w:tcPr>
            <w:tcW w:w="580" w:type="dxa"/>
            <w:vAlign w:val="bottom"/>
          </w:tcPr>
          <w:p>
            <w:pPr>
              <w:jc w:val="right"/>
              <w:ind w:right="39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(0.74 )</w:t>
            </w:r>
          </w:p>
        </w:tc>
      </w:tr>
      <w:tr>
        <w:trPr>
          <w:trHeight w:val="21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42,511,559</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37,434,261</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-1717040</wp:posOffset>
            </wp:positionV>
            <wp:extent cx="50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-1717040</wp:posOffset>
            </wp:positionV>
            <wp:extent cx="50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-1427480</wp:posOffset>
            </wp:positionV>
            <wp:extent cx="508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-1427480</wp:posOffset>
            </wp:positionV>
            <wp:extent cx="508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-1147445</wp:posOffset>
            </wp:positionV>
            <wp:extent cx="508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-1147445</wp:posOffset>
            </wp:positionV>
            <wp:extent cx="508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-586105</wp:posOffset>
            </wp:positionV>
            <wp:extent cx="508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-586105</wp:posOffset>
            </wp:positionV>
            <wp:extent cx="50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-297180</wp:posOffset>
            </wp:positionV>
            <wp:extent cx="508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-280035</wp:posOffset>
            </wp:positionV>
            <wp:extent cx="508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-297180</wp:posOffset>
            </wp:positionV>
            <wp:extent cx="508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-280035</wp:posOffset>
            </wp:positionV>
            <wp:extent cx="508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11"/>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340"/>
              <w:spacing w:after="0" w:line="144"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5"/>
                <w:szCs w:val="15"/>
                <w:color w:val="auto"/>
              </w:rPr>
            </w:pPr>
          </w:p>
        </w:tc>
        <w:tc>
          <w:tcPr>
            <w:tcW w:w="12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5"/>
                <w:szCs w:val="15"/>
                <w:color w:val="auto"/>
              </w:rPr>
            </w:pPr>
          </w:p>
        </w:tc>
        <w:tc>
          <w:tcPr>
            <w:tcW w:w="1120" w:type="dxa"/>
            <w:vAlign w:val="bottom"/>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4"/>
        </w:trPr>
        <w:tc>
          <w:tcPr>
            <w:tcW w:w="30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42,690,229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487,347</w:t>
            </w: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(303,072 )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184,731</w:t>
            </w:r>
          </w:p>
        </w:tc>
        <w:tc>
          <w:tcPr>
            <w:tcW w:w="0" w:type="dxa"/>
            <w:vAlign w:val="bottom"/>
          </w:tcPr>
          <w:p>
            <w:pPr>
              <w:spacing w:after="0"/>
              <w:rPr>
                <w:sz w:val="1"/>
                <w:szCs w:val="1"/>
                <w:color w:val="auto"/>
              </w:rPr>
            </w:pPr>
          </w:p>
        </w:tc>
      </w:tr>
      <w:tr>
        <w:trPr>
          <w:trHeight w:val="34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0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6"/>
                <w:szCs w:val="16"/>
                <w:color w:val="auto"/>
              </w:rPr>
              <w:t>exercise of</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50"/>
        </w:trPr>
        <w:tc>
          <w:tcPr>
            <w:tcW w:w="3040" w:type="dxa"/>
            <w:vAlign w:val="bottom"/>
            <w:gridSpan w:val="2"/>
            <w:shd w:val="clear" w:color="auto" w:fill="CFF0FC"/>
          </w:tcPr>
          <w:p>
            <w:pPr>
              <w:ind w:left="20"/>
              <w:spacing w:after="0" w:line="150"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0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0" w:type="dxa"/>
            <w:vAlign w:val="bottom"/>
          </w:tcPr>
          <w:p>
            <w:pPr>
              <w:spacing w:after="0"/>
              <w:rPr>
                <w:sz w:val="1"/>
                <w:szCs w:val="1"/>
                <w:color w:val="auto"/>
              </w:rPr>
            </w:pPr>
          </w:p>
        </w:tc>
      </w:tr>
      <w:tr>
        <w:trPr>
          <w:trHeight w:val="214"/>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related to employee stock awards</w:t>
            </w:r>
          </w:p>
        </w:tc>
        <w:tc>
          <w:tcPr>
            <w:tcW w:w="9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0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related to employee stock purchases</w:t>
            </w: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040" w:type="dxa"/>
            <w:vAlign w:val="bottom"/>
            <w:gridSpan w:val="2"/>
            <w:shd w:val="clear" w:color="auto" w:fill="CFF0FC"/>
          </w:tcPr>
          <w:p>
            <w:pPr>
              <w:ind w:left="20"/>
              <w:spacing w:after="0" w:line="150" w:lineRule="exact"/>
              <w:rPr>
                <w:sz w:val="20"/>
                <w:szCs w:val="20"/>
                <w:color w:val="auto"/>
              </w:rPr>
            </w:pPr>
            <w:r>
              <w:rPr>
                <w:rFonts w:ascii="Times New Roman" w:cs="Times New Roman" w:eastAsia="Times New Roman" w:hAnsi="Times New Roman"/>
                <w:sz w:val="16"/>
                <w:szCs w:val="16"/>
                <w:color w:val="auto"/>
              </w:rPr>
              <w:t>Vesting of early exercised common</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4"/>
        </w:trPr>
        <w:tc>
          <w:tcPr>
            <w:tcW w:w="30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9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(248 )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0" w:type="dxa"/>
            <w:vAlign w:val="bottom"/>
          </w:tcPr>
          <w:p>
            <w:pPr>
              <w:spacing w:after="0"/>
              <w:rPr>
                <w:sz w:val="1"/>
                <w:szCs w:val="1"/>
                <w:color w:val="auto"/>
              </w:rPr>
            </w:pPr>
          </w:p>
        </w:tc>
      </w:tr>
      <w:tr>
        <w:trPr>
          <w:trHeight w:val="201"/>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(35,615 )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(35,615 )</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2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42,695,195</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491,365</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(338,687 )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0" w:type="dxa"/>
            <w:vAlign w:val="bottom"/>
          </w:tcPr>
          <w:p>
            <w:pPr>
              <w:spacing w:after="0"/>
              <w:rPr>
                <w:sz w:val="16"/>
                <w:szCs w:val="16"/>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152,886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line="163"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line="163"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20" w:type="dxa"/>
            <w:vAlign w:val="bottom"/>
          </w:tcPr>
          <w:p>
            <w:pPr>
              <w:jc w:val="center"/>
              <w:ind w:right="100"/>
              <w:spacing w:after="0" w:line="163"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Borders>
              <w:bottom w:val="single" w:sz="8" w:color="auto"/>
            </w:tcBorders>
            <w:gridSpan w:val="5"/>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4"/>
        </w:trPr>
        <w:tc>
          <w:tcPr>
            <w:tcW w:w="3040" w:type="dxa"/>
            <w:vAlign w:val="bottom"/>
            <w:gridSpan w:val="2"/>
          </w:tcPr>
          <w:p>
            <w:pPr>
              <w:spacing w:after="0"/>
              <w:rPr>
                <w:sz w:val="16"/>
                <w:szCs w:val="16"/>
                <w:color w:val="auto"/>
              </w:rPr>
            </w:pPr>
          </w:p>
        </w:tc>
        <w:tc>
          <w:tcPr>
            <w:tcW w:w="1300" w:type="dxa"/>
            <w:vAlign w:val="bottom"/>
            <w:gridSpan w:val="4"/>
          </w:tcPr>
          <w:p>
            <w:pPr>
              <w:spacing w:after="0"/>
              <w:rPr>
                <w:sz w:val="16"/>
                <w:szCs w:val="16"/>
                <w:color w:val="auto"/>
              </w:rPr>
            </w:pPr>
          </w:p>
        </w:tc>
        <w:tc>
          <w:tcPr>
            <w:tcW w:w="11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10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38,120,606</w:t>
            </w:r>
          </w:p>
        </w:tc>
        <w:tc>
          <w:tcPr>
            <w:tcW w:w="114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394,963</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(174,740 )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220,039</w:t>
            </w:r>
          </w:p>
        </w:tc>
        <w:tc>
          <w:tcPr>
            <w:tcW w:w="0" w:type="dxa"/>
            <w:vAlign w:val="bottom"/>
          </w:tcPr>
          <w:p>
            <w:pPr>
              <w:spacing w:after="0"/>
              <w:rPr>
                <w:sz w:val="1"/>
                <w:szCs w:val="1"/>
                <w:color w:val="auto"/>
              </w:rPr>
            </w:pPr>
          </w:p>
        </w:tc>
      </w:tr>
      <w:tr>
        <w:trPr>
          <w:trHeight w:val="201"/>
        </w:trPr>
        <w:tc>
          <w:tcPr>
            <w:tcW w:w="3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40" w:type="dxa"/>
            <w:vAlign w:val="bottom"/>
            <w:gridSpan w:val="2"/>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30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26,599</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right w:val="single" w:sz="8" w:color="CFF0FC"/>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1300" w:type="dxa"/>
            <w:vAlign w:val="bottom"/>
            <w:gridSpan w:val="4"/>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tcBorders>
              <w:right w:val="single" w:sz="8" w:color="CFF0FC"/>
            </w:tcBorders>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vMerge w:val="continue"/>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0" w:type="dxa"/>
            <w:vAlign w:val="bottom"/>
          </w:tcPr>
          <w:p>
            <w:pPr>
              <w:spacing w:after="0"/>
              <w:rPr>
                <w:sz w:val="1"/>
                <w:szCs w:val="1"/>
                <w:color w:val="auto"/>
              </w:rPr>
            </w:pPr>
          </w:p>
        </w:tc>
      </w:tr>
      <w:tr>
        <w:trPr>
          <w:trHeight w:val="160"/>
        </w:trPr>
        <w:tc>
          <w:tcPr>
            <w:tcW w:w="3040" w:type="dxa"/>
            <w:vAlign w:val="bottom"/>
            <w:gridSpan w:val="2"/>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Vesting of early exercised common</w:t>
            </w: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right w:val="single" w:sz="8" w:color="CFF0FC"/>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tcBorders>
              <w:right w:val="single" w:sz="8" w:color="CFF0FC"/>
            </w:tcBorders>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vMerge w:val="continue"/>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1"/>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(27,674 )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(27,674 )</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38,147,205</w:t>
            </w:r>
          </w:p>
        </w:tc>
        <w:tc>
          <w:tcPr>
            <w:tcW w:w="200" w:type="dxa"/>
            <w:vAlign w:val="bottom"/>
          </w:tcPr>
          <w:p>
            <w:pPr>
              <w:spacing w:after="0"/>
              <w:rPr>
                <w:sz w:val="16"/>
                <w:szCs w:val="16"/>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397,857</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(202,414 )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195,220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-2312035</wp:posOffset>
            </wp:positionV>
            <wp:extent cx="42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-2312035</wp:posOffset>
            </wp:positionV>
            <wp:extent cx="42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-2312035</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-2312035</wp:posOffset>
            </wp:positionV>
            <wp:extent cx="42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-2312035</wp:posOffset>
            </wp:positionV>
            <wp:extent cx="42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-2312035</wp:posOffset>
            </wp:positionV>
            <wp:extent cx="42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-160655</wp:posOffset>
            </wp:positionV>
            <wp:extent cx="42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-160655</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-160655</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-160655</wp:posOffset>
            </wp:positionV>
            <wp:extent cx="42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-160655</wp:posOffset>
            </wp:positionV>
            <wp:extent cx="42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-160655</wp:posOffset>
            </wp:positionV>
            <wp:extent cx="42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(35,615 )</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(27,674 )</w:t>
            </w:r>
          </w:p>
        </w:tc>
      </w:tr>
      <w:tr>
        <w:trPr>
          <w:trHeight w:val="21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Right of use assets</w:t>
            </w:r>
          </w:p>
        </w:tc>
        <w:tc>
          <w:tcPr>
            <w:tcW w:w="9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(278 )</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(502 )</w:t>
            </w:r>
          </w:p>
        </w:tc>
      </w:tr>
      <w:tr>
        <w:trPr>
          <w:trHeight w:val="214"/>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9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(6,071 )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(4,239 )</w:t>
            </w:r>
          </w:p>
        </w:tc>
      </w:tr>
      <w:tr>
        <w:trPr>
          <w:trHeight w:val="214"/>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14"/>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4"/>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7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9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(20,434 )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(29,796 )</w:t>
            </w: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 in available-for-sale investments: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(59,889 )</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(515 )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7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provided by investing activities</w:t>
            </w:r>
          </w:p>
        </w:tc>
        <w:tc>
          <w:tcPr>
            <w:tcW w:w="9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(60,404 )</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80" w:type="dxa"/>
            <w:vAlign w:val="bottom"/>
          </w:tcPr>
          <w:p>
            <w:pPr>
              <w:spacing w:after="0"/>
              <w:rPr>
                <w:sz w:val="18"/>
                <w:szCs w:val="18"/>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9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common stock option</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7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provided by financing activities</w:t>
            </w:r>
          </w:p>
        </w:tc>
        <w:tc>
          <w:tcPr>
            <w:tcW w:w="9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(80,859 )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(20,025 )</w:t>
            </w: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186,980</w:t>
            </w:r>
          </w:p>
        </w:tc>
        <w:tc>
          <w:tcPr>
            <w:tcW w:w="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220,943</w:t>
            </w:r>
          </w:p>
        </w:tc>
        <w:tc>
          <w:tcPr>
            <w:tcW w:w="80" w:type="dxa"/>
            <w:vAlign w:val="bottom"/>
          </w:tcPr>
          <w:p>
            <w:pPr>
              <w:spacing w:after="0"/>
              <w:rPr>
                <w:sz w:val="18"/>
                <w:szCs w:val="18"/>
                <w:color w:val="auto"/>
              </w:rPr>
            </w:pPr>
          </w:p>
        </w:tc>
      </w:tr>
      <w:tr>
        <w:trPr>
          <w:trHeight w:val="20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106,121</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200,918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5904865</wp:posOffset>
            </wp:positionH>
            <wp:positionV relativeFrom="paragraph">
              <wp:posOffset>-1963420</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-1963420</wp:posOffset>
            </wp:positionV>
            <wp:extent cx="50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-1130300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-1130300</wp:posOffset>
            </wp:positionV>
            <wp:extent cx="50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-568960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-568960</wp:posOffset>
            </wp:positionV>
            <wp:extent cx="508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-7620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-7620</wp:posOffset>
            </wp:positionV>
            <wp:extent cx="508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 w:name="page10"/>
    <w:bookmarkEnd w:id="9"/>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260" w:type="dxa"/>
            <w:vAlign w:val="bottom"/>
          </w:tcPr>
          <w:p>
            <w:pPr>
              <w:spacing w:after="0"/>
              <w:rPr>
                <w:sz w:val="18"/>
                <w:szCs w:val="18"/>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200,362</w:t>
            </w:r>
          </w:p>
        </w:tc>
        <w:tc>
          <w:tcPr>
            <w:tcW w:w="80" w:type="dxa"/>
            <w:vAlign w:val="bottom"/>
          </w:tcPr>
          <w:p>
            <w:pPr>
              <w:spacing w:after="0"/>
              <w:rPr>
                <w:sz w:val="18"/>
                <w:szCs w:val="18"/>
                <w:color w:val="auto"/>
              </w:rPr>
            </w:pPr>
          </w:p>
        </w:tc>
      </w:tr>
      <w:tr>
        <w:trPr>
          <w:trHeight w:val="21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106,121</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200,918</w:t>
            </w:r>
          </w:p>
        </w:tc>
        <w:tc>
          <w:tcPr>
            <w:tcW w:w="80" w:type="dxa"/>
            <w:vAlign w:val="bottom"/>
          </w:tcPr>
          <w:p>
            <w:pPr>
              <w:spacing w:after="0"/>
              <w:rPr>
                <w:sz w:val="18"/>
                <w:szCs w:val="18"/>
                <w:color w:val="auto"/>
              </w:rPr>
            </w:pPr>
          </w:p>
        </w:tc>
      </w:tr>
      <w:tr>
        <w:trPr>
          <w:trHeight w:val="208"/>
        </w:trPr>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8"/>
        </w:trPr>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to market adjustment for available-for-sale investments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(248 )</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right of use asset through operating lease obligation</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pension obligation</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5904865</wp:posOffset>
            </wp:positionH>
            <wp:positionV relativeFrom="paragraph">
              <wp:posOffset>-1384935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-1384935</wp:posOffset>
            </wp:positionV>
            <wp:extent cx="508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250825</wp:posOffset>
            </wp:positionV>
            <wp:extent cx="1419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right="8940" w:hanging="513"/>
        <w:spacing w:after="0" w:line="380" w:lineRule="auto"/>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i w:val="1"/>
          <w:iCs w:val="1"/>
          <w:color w:val="auto"/>
        </w:rPr>
        <w:t>Description of business</w:t>
      </w:r>
    </w:p>
    <w:p>
      <w:pPr>
        <w:spacing w:after="0" w:line="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93" w:lineRule="exact"/>
        <w:rPr>
          <w:sz w:val="20"/>
          <w:szCs w:val="20"/>
          <w:color w:val="auto"/>
        </w:rPr>
      </w:pPr>
    </w:p>
    <w:p>
      <w:pPr>
        <w:ind w:right="440" w:firstLine="509"/>
        <w:spacing w:after="0" w:line="263" w:lineRule="auto"/>
        <w:rPr>
          <w:sz w:val="20"/>
          <w:szCs w:val="20"/>
          <w:color w:val="auto"/>
        </w:rPr>
      </w:pPr>
      <w:r>
        <w:rPr>
          <w:rFonts w:ascii="Times New Roman" w:cs="Times New Roman" w:eastAsia="Times New Roman" w:hAnsi="Times New Roman"/>
          <w:sz w:val="18"/>
          <w:szCs w:val="18"/>
          <w:color w:val="auto"/>
        </w:rPr>
        <w:t>Aligos is a clinical-stage biopharmaceutical company developing novel therapeutics to address unmet medical needs in viral and liver diseases, including for chronic hepatitis B, coronaviruses and non-alcoholic steatohepatitis (NASH).</w:t>
      </w:r>
    </w:p>
    <w:p>
      <w:pPr>
        <w:spacing w:after="0" w:line="162"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4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On October 20, 2020, the Company closed its initial public offering (IPO) at a public offering price of $15.00 per share for net proceeds of $135.4 million, after deducting underwriting discounts and commissions. On November 5, 2020, the underwriters of the IPO partially exercised their overallotment, resulting in an additional $16.0 million in net proceeds, after deducting underwriting discounts and commissions.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5" w:lineRule="exact"/>
        <w:rPr>
          <w:sz w:val="20"/>
          <w:szCs w:val="20"/>
          <w:color w:val="auto"/>
        </w:rPr>
      </w:pPr>
    </w:p>
    <w:p>
      <w:pPr>
        <w:jc w:val="both"/>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As of March 31, 2022 and December 31, 2021, the Company had an accumulated deficit of $338.7 million and $303.1 million, respectively. Management expects to continue to incur additional substantial losses in the foreseeable future as a result of expanded research and development activities.</w:t>
      </w:r>
    </w:p>
    <w:p>
      <w:pPr>
        <w:spacing w:after="0" w:line="17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As of March 31, 2022, the Company has unrestricted cash, cash equivalents and investments of approximately $183.2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58" w:right="399" w:bottom="1440" w:gutter="0" w:footer="0" w:header="0"/>
        </w:sectPr>
      </w:pPr>
    </w:p>
    <w:bookmarkStart w:id="11" w:name="page12"/>
    <w:bookmarkEnd w:id="11"/>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it is expected that the Company’s existing cash, cash equivalents and investments, will enable the Company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77" w:lineRule="exact"/>
        <w:rPr>
          <w:sz w:val="20"/>
          <w:szCs w:val="20"/>
          <w:color w:val="auto"/>
        </w:rPr>
      </w:pPr>
    </w:p>
    <w:p>
      <w:pPr>
        <w:ind w:right="140" w:firstLine="554"/>
        <w:spacing w:after="0" w:line="241" w:lineRule="auto"/>
        <w:rPr>
          <w:sz w:val="20"/>
          <w:szCs w:val="20"/>
          <w:color w:val="auto"/>
        </w:rPr>
      </w:pPr>
      <w:r>
        <w:rPr>
          <w:rFonts w:ascii="Times New Roman" w:cs="Times New Roman" w:eastAsia="Times New Roman" w:hAnsi="Times New Roman"/>
          <w:sz w:val="18"/>
          <w:szCs w:val="18"/>
          <w:color w:val="auto"/>
        </w:rPr>
        <w:t>The Company’s ability to raise additional funds will depend on financial, economic and other factors, many of which are beyond its control. In particular, the COVID-19 pandemic continues to rapidly evolve and has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88" w:lineRule="exact"/>
        <w:rPr>
          <w:sz w:val="20"/>
          <w:szCs w:val="20"/>
          <w:color w:val="auto"/>
        </w:rPr>
      </w:pPr>
    </w:p>
    <w:p>
      <w:pPr>
        <w:ind w:left="520" w:right="7460" w:hanging="513"/>
        <w:spacing w:after="0" w:line="491" w:lineRule="auto"/>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9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2021, included in the Company’s Annual Report on Form 10-K filed with the SEC on March 10, 2022.</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18"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8"/>
          <w:szCs w:val="18"/>
          <w:color w:val="auto"/>
        </w:rPr>
        <w:t>The accompanying consolidated balance sheet as of March 31, 2022, the consolidated statements of operations and comprehensive loss for the three months ended March 31, 2022 and 2021, the consolidated statements of stockholders’ equity for the three months ended March 31, 2022 and 2021, and the consolidated statements of cash flows for the three months ended March 31, 2022 and 2021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March 31, 2022 and the consolidated results of its operations and cash flows for the three months ended March 31, 2022 and 2021. The consolidated financial data and other information disclosed in these notes related to the three months ended March 31, 2022 and 2021 are unaudited. The consolidated results for the three months ended March 31, 2022 are not necessarily indicative of results to be expected for the year ending December 31, 2022, any other interim periods, or any future year or period.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Significant Accounting Policies and Estimates</w:t>
      </w:r>
    </w:p>
    <w:p>
      <w:pPr>
        <w:spacing w:after="0" w:line="188"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8"/>
          <w:szCs w:val="18"/>
          <w:color w:val="auto"/>
        </w:rPr>
        <w:t xml:space="preserve">No material changes have been made to the Company’s significant accounting policies disclosed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its Annual Report on Form 10-K, filed on March 10, 2022, for the year ended December 31, 2021.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8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10, 2022, for the year ended December 31, 2021.</w:t>
      </w:r>
    </w:p>
    <w:p>
      <w:pPr>
        <w:spacing w:after="0" w:line="294" w:lineRule="exact"/>
        <w:rPr>
          <w:sz w:val="20"/>
          <w:szCs w:val="20"/>
          <w:color w:val="auto"/>
        </w:rPr>
      </w:pPr>
    </w:p>
    <w:p>
      <w:pPr>
        <w:ind w:left="520" w:hanging="513"/>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0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property and equipment as of March 31, 2022 and December 31, 2021 were as follows (in thousands):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shd w:val="clear" w:color="auto" w:fill="CFF0FC"/>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Pr>
          <w:p>
            <w:pPr>
              <w:spacing w:after="0"/>
              <w:rPr>
                <w:sz w:val="18"/>
                <w:szCs w:val="18"/>
                <w:color w:val="auto"/>
              </w:rPr>
            </w:pPr>
          </w:p>
        </w:tc>
      </w:tr>
      <w:tr>
        <w:trPr>
          <w:trHeight w:val="21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FF0FC"/>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r>
      <w:tr>
        <w:trPr>
          <w:trHeight w:val="21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08"/>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at cost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shd w:val="clear" w:color="auto" w:fill="CFF0FC"/>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(7,937 )</w:t>
            </w: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(7,262 )</w:t>
            </w:r>
          </w:p>
        </w:tc>
      </w:tr>
      <w:tr>
        <w:trPr>
          <w:trHeight w:val="208"/>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2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-7620</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3" w:lineRule="exact"/>
        <w:rPr>
          <w:sz w:val="20"/>
          <w:szCs w:val="20"/>
          <w:color w:val="auto"/>
        </w:rPr>
      </w:pPr>
    </w:p>
    <w:p>
      <w:pPr>
        <w:ind w:right="580" w:firstLine="509"/>
        <w:spacing w:after="0" w:line="263" w:lineRule="auto"/>
        <w:rPr>
          <w:sz w:val="20"/>
          <w:szCs w:val="20"/>
          <w:color w:val="auto"/>
        </w:rPr>
      </w:pPr>
      <w:r>
        <w:rPr>
          <w:rFonts w:ascii="Times New Roman" w:cs="Times New Roman" w:eastAsia="Times New Roman" w:hAnsi="Times New Roman"/>
          <w:sz w:val="18"/>
          <w:szCs w:val="18"/>
          <w:color w:val="auto"/>
        </w:rPr>
        <w:t>Depreciation expense was $676,000 and $741,000 for the three months ended March 31, 2022 and 2021, respectively. Finance leases are also included in property and equipment as vehicles and lab equipment on the condensed consolidated balance sheets.</w:t>
      </w:r>
    </w:p>
    <w:p>
      <w:pPr>
        <w:spacing w:after="0" w:line="265" w:lineRule="exact"/>
        <w:rPr>
          <w:sz w:val="20"/>
          <w:szCs w:val="20"/>
          <w:color w:val="auto"/>
        </w:rPr>
      </w:pPr>
    </w:p>
    <w:p>
      <w:pPr>
        <w:ind w:left="520" w:hanging="513"/>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8" w:lineRule="exact"/>
        <w:rPr>
          <w:sz w:val="20"/>
          <w:szCs w:val="20"/>
          <w:color w:val="auto"/>
        </w:rPr>
      </w:pPr>
    </w:p>
    <w:p>
      <w:pPr>
        <w:ind w:right="260" w:firstLine="509"/>
        <w:spacing w:after="0" w:line="263" w:lineRule="auto"/>
        <w:rPr>
          <w:sz w:val="20"/>
          <w:szCs w:val="20"/>
          <w:color w:val="auto"/>
        </w:rPr>
      </w:pPr>
      <w:r>
        <w:rPr>
          <w:rFonts w:ascii="Times New Roman" w:cs="Times New Roman" w:eastAsia="Times New Roman" w:hAnsi="Times New Roman"/>
          <w:sz w:val="18"/>
          <w:szCs w:val="18"/>
          <w:color w:val="auto"/>
        </w:rPr>
        <w:t>As of March 31, 2022 and December 31, 2021, amortized cost, gross unrealized gains and losses, and estimated fair values of total fixed-maturity securities were as follows (in thousands):</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6"/>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left="85"/>
              <w:spacing w:after="0" w:line="15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5"/>
                <w:szCs w:val="15"/>
                <w:color w:val="auto"/>
              </w:rPr>
            </w:pPr>
          </w:p>
        </w:tc>
        <w:tc>
          <w:tcPr>
            <w:tcW w:w="980" w:type="dxa"/>
            <w:vAlign w:val="bottom"/>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0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980" w:type="dxa"/>
            <w:vAlign w:val="bottom"/>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0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8"/>
        </w:trPr>
        <w:tc>
          <w:tcPr>
            <w:tcW w:w="5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r>
      <w:tr>
        <w:trPr>
          <w:trHeight w:val="214"/>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160" w:type="dxa"/>
            <w:vAlign w:val="bottom"/>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14"/>
        </w:trPr>
        <w:tc>
          <w:tcPr>
            <w:tcW w:w="50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18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(276 )</w:t>
            </w: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74,752</w:t>
            </w:r>
          </w:p>
        </w:tc>
      </w:tr>
      <w:tr>
        <w:trPr>
          <w:trHeight w:val="20"/>
        </w:trPr>
        <w:tc>
          <w:tcPr>
            <w:tcW w:w="50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r>
      <w:tr>
        <w:trPr>
          <w:trHeight w:val="208"/>
        </w:trPr>
        <w:tc>
          <w:tcPr>
            <w:tcW w:w="5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78,948</w:t>
            </w:r>
          </w:p>
        </w:tc>
        <w:tc>
          <w:tcPr>
            <w:tcW w:w="180" w:type="dxa"/>
            <w:vAlign w:val="bottom"/>
          </w:tcPr>
          <w:p>
            <w:pPr>
              <w:spacing w:after="0"/>
              <w:rPr>
                <w:sz w:val="18"/>
                <w:szCs w:val="18"/>
                <w:color w:val="auto"/>
              </w:rPr>
            </w:pPr>
          </w:p>
        </w:tc>
        <w:tc>
          <w:tcPr>
            <w:tcW w:w="980" w:type="dxa"/>
            <w:vAlign w:val="bottom"/>
          </w:tcPr>
          <w:p>
            <w:pPr>
              <w:jc w:val="right"/>
              <w:ind w:right="80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78,660</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95"/>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6"/>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left="45"/>
              <w:spacing w:after="0" w:line="15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5"/>
                <w:szCs w:val="15"/>
                <w:color w:val="auto"/>
              </w:rPr>
            </w:pPr>
          </w:p>
        </w:tc>
        <w:tc>
          <w:tcPr>
            <w:tcW w:w="98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10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8"/>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5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r>
      <w:tr>
        <w:trPr>
          <w:trHeight w:val="214"/>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160" w:type="dxa"/>
            <w:vAlign w:val="bottom"/>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3,918</w:t>
            </w:r>
          </w:p>
        </w:tc>
      </w:tr>
      <w:tr>
        <w:trPr>
          <w:trHeight w:val="214"/>
        </w:trPr>
        <w:tc>
          <w:tcPr>
            <w:tcW w:w="50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8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15,110</w:t>
            </w:r>
          </w:p>
        </w:tc>
      </w:tr>
      <w:tr>
        <w:trPr>
          <w:trHeight w:val="20"/>
        </w:trPr>
        <w:tc>
          <w:tcPr>
            <w:tcW w:w="50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r>
      <w:tr>
        <w:trPr>
          <w:trHeight w:val="208"/>
        </w:trPr>
        <w:tc>
          <w:tcPr>
            <w:tcW w:w="5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80" w:type="dxa"/>
            <w:vAlign w:val="bottom"/>
          </w:tcPr>
          <w:p>
            <w:pPr>
              <w:spacing w:after="0"/>
              <w:rPr>
                <w:sz w:val="18"/>
                <w:szCs w:val="18"/>
                <w:color w:val="auto"/>
              </w:rPr>
            </w:pPr>
          </w:p>
        </w:tc>
        <w:tc>
          <w:tcPr>
            <w:tcW w:w="980" w:type="dxa"/>
            <w:vAlign w:val="bottom"/>
          </w:tcPr>
          <w:p>
            <w:pPr>
              <w:jc w:val="right"/>
              <w:ind w:right="80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19,028</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-1496060</wp:posOffset>
            </wp:positionV>
            <wp:extent cx="425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-1496060</wp:posOffset>
            </wp:positionV>
            <wp:extent cx="34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-1496060</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-1496060</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-169545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-169545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-169545</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6729730</wp:posOffset>
            </wp:positionH>
            <wp:positionV relativeFrom="paragraph">
              <wp:posOffset>-169545</wp:posOffset>
            </wp:positionV>
            <wp:extent cx="50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4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Changes in fair value are related to changes in market interest rates. The Company expects to collect all contractual principal and interest payments.</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680" w:right="39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is a summary of maturities of securities available-for-sale as of March 31, 2022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maturing in:</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78,948</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More than one year</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78,948</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-169545</wp:posOffset>
            </wp:positionV>
            <wp:extent cx="425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-169545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recorded interest income of $86,000 for the three months ended March 31, 2022, and $105,000 for the three months ended March 31, 2021, as a component of interest and other income (expense), net on the Company’s condensed consolidated statement of operations and comprehensive loss.</w:t>
      </w:r>
    </w:p>
    <w:p>
      <w:pPr>
        <w:spacing w:after="0" w:line="273" w:lineRule="exact"/>
        <w:rPr>
          <w:sz w:val="20"/>
          <w:szCs w:val="20"/>
          <w:color w:val="auto"/>
        </w:rPr>
      </w:pPr>
    </w:p>
    <w:p>
      <w:pPr>
        <w:ind w:left="520" w:hanging="513"/>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0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consisted of the following (in thousands):</w:t>
      </w:r>
    </w:p>
    <w:p>
      <w:pPr>
        <w:spacing w:after="0" w:line="255"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r>
      <w:tr>
        <w:trPr>
          <w:trHeight w:val="21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for early exercised stock options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48"/>
        </w:trPr>
        <w:tc>
          <w:tcPr>
            <w:tcW w:w="50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20" w:right="8640" w:hanging="513"/>
        <w:spacing w:after="0" w:line="445" w:lineRule="auto"/>
        <w:tabs>
          <w:tab w:leader="none" w:pos="5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options</w:t>
      </w:r>
    </w:p>
    <w:p>
      <w:pPr>
        <w:spacing w:after="0" w:line="1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Company’s stock option compensation expense was approximately $3.4 million, and during the three months ended March 31, 2021, the Company’s stock option compensation expense was approximately $2.7 million. There was no recognized tax benefit in either of the periods. As of March 31, 2022, unamortized expense balance was $37.8 million, to be amortized over a weighted average period of 2.76 years.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during the three months ended March 31, 2022 is as follows:</w:t>
      </w: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6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80" w:type="dxa"/>
            <w:vAlign w:val="bottom"/>
          </w:tcPr>
          <w:p>
            <w:pPr>
              <w:spacing w:after="0"/>
              <w:rPr>
                <w:sz w:val="13"/>
                <w:szCs w:val="13"/>
                <w:color w:val="auto"/>
              </w:rPr>
            </w:pPr>
          </w:p>
        </w:tc>
        <w:tc>
          <w:tcPr>
            <w:tcW w:w="96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18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5,692,514</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3,642,824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(4,966 )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(90,298 )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9,240,074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March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9,205,154</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2,186,541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4221480</wp:posOffset>
            </wp:positionH>
            <wp:positionV relativeFrom="paragraph">
              <wp:posOffset>-415925</wp:posOffset>
            </wp:positionV>
            <wp:extent cx="67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43"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$2.12 per share during the three months ended March 31, 2022, and $17.33 during the three months ended March 31, 2021.</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18" w:lineRule="exact"/>
        <w:rPr>
          <w:sz w:val="20"/>
          <w:szCs w:val="20"/>
          <w:color w:val="auto"/>
        </w:rPr>
      </w:pPr>
    </w:p>
    <w:p>
      <w:pPr>
        <w:ind w:right="380" w:firstLine="509"/>
        <w:spacing w:after="0" w:line="279"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the Company recorded a total stock-based compensation expense related to the restricted stock awards of $76,000. During the three months ended March 31, 2021, the Company recorded a total stock-based compensation expense related to the restricted stock awards of $90,000. As of March 31, 2022, unrecognized stock-based compensation expense related to outstanding unvested shares of restricted stock was </w:t>
      </w:r>
      <w:r>
        <w:rPr>
          <w:rFonts w:ascii="Times New Roman" w:cs="Times New Roman" w:eastAsia="Times New Roman" w:hAnsi="Times New Roman"/>
          <w:sz w:val="18"/>
          <w:szCs w:val="18"/>
          <w:color w:val="auto"/>
          <w:highlight w:val="white"/>
        </w:rPr>
        <w:t>de minimis.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activity for the three months ended March 31, 2022:</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000" w:type="dxa"/>
            <w:vAlign w:val="bottom"/>
          </w:tcPr>
          <w:p>
            <w:pPr>
              <w:jc w:val="center"/>
              <w:ind w:right="101"/>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1"/>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160" w:type="dxa"/>
            <w:vAlign w:val="bottom"/>
          </w:tcPr>
          <w:p>
            <w:pPr>
              <w:spacing w:after="0"/>
              <w:rPr>
                <w:sz w:val="16"/>
                <w:szCs w:val="16"/>
                <w:color w:val="auto"/>
              </w:rPr>
            </w:pPr>
          </w:p>
        </w:tc>
        <w:tc>
          <w:tcPr>
            <w:tcW w:w="10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89,054</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(67,816 )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08"/>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Issued and unvested as of March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4612640</wp:posOffset>
            </wp:positionH>
            <wp:positionV relativeFrom="paragraph">
              <wp:posOffset>-169545</wp:posOffset>
            </wp:positionV>
            <wp:extent cx="67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-169545</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340" w:firstLine="509"/>
        <w:spacing w:after="0" w:line="244"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did not issue shares of common stock, upon exercise of unvested stock options or purchases for unvested restricted stock awards. As of March 31, 2022 and December 31, 2021, there were 105,692 and 163,855 shares of Common Stock held by employees subject to repurchase at an aggregate price of approximately $192,000 and $276,000, respectively. A corresponding liability was recorded and included in accrued expenses on the condensed consolidated balance sheet as of March 31, 2022 and December 31, 2021, respectively.</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3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total stock-based compensation expense of $306,000 related to the employee stock purchase plan. The employee stock purchase plan began in the second quarter of 2021, therefore there was no compensation expense as of the three months ended March 31, 2021. No purchases of common stock were made as of the three months ended March 31, 2022.</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three months ended March 31, 2022 and 2021 (in thousands):</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4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43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8"/>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60" w:type="dxa"/>
            <w:vAlign w:val="bottom"/>
            <w:shd w:val="clear" w:color="auto" w:fill="CFF0FC"/>
          </w:tcPr>
          <w:p>
            <w:pPr>
              <w:spacing w:after="0"/>
              <w:rPr>
                <w:sz w:val="18"/>
                <w:szCs w:val="18"/>
                <w:color w:val="auto"/>
              </w:rPr>
            </w:pP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60" w:type="dxa"/>
            <w:vAlign w:val="bottom"/>
          </w:tcPr>
          <w:p>
            <w:pPr>
              <w:spacing w:after="0"/>
              <w:rPr>
                <w:sz w:val="18"/>
                <w:szCs w:val="18"/>
                <w:color w:val="auto"/>
              </w:rPr>
            </w:pPr>
          </w:p>
        </w:tc>
      </w:tr>
      <w:tr>
        <w:trPr>
          <w:trHeight w:val="208"/>
        </w:trPr>
        <w:tc>
          <w:tcPr>
            <w:tcW w:w="4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-7620</wp:posOffset>
            </wp:positionV>
            <wp:extent cx="425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-7620</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hanging="513"/>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05" w:lineRule="exact"/>
        <w:rPr>
          <w:sz w:val="20"/>
          <w:szCs w:val="20"/>
          <w:color w:val="auto"/>
        </w:rPr>
      </w:pPr>
    </w:p>
    <w:p>
      <w:pPr>
        <w:ind w:right="260" w:firstLine="509"/>
        <w:spacing w:after="0" w:line="24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01"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1" w:lineRule="exact"/>
        <w:rPr>
          <w:sz w:val="20"/>
          <w:szCs w:val="20"/>
          <w:color w:val="auto"/>
        </w:rPr>
      </w:pPr>
    </w:p>
    <w:p>
      <w:pPr>
        <w:ind w:left="520" w:right="36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680" w:right="439" w:bottom="1440" w:gutter="0" w:footer="0" w:header="0"/>
        </w:sectPr>
      </w:pPr>
    </w:p>
    <w:bookmarkStart w:id="15" w:name="page16"/>
    <w:bookmarkEnd w:id="15"/>
    <w:p>
      <w:pPr>
        <w:ind w:right="40" w:firstLine="509"/>
        <w:spacing w:after="0" w:line="278"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7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4"/>
                <w:szCs w:val="14"/>
                <w:color w:val="auto"/>
              </w:rPr>
            </w:pPr>
          </w:p>
        </w:tc>
      </w:tr>
      <w:tr>
        <w:trPr>
          <w:trHeight w:val="208"/>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4"/>
        </w:trPr>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4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4"/>
        </w:trPr>
        <w:tc>
          <w:tcPr>
            <w:tcW w:w="7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4"/>
        </w:trPr>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bonds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8"/>
        </w:trPr>
        <w:tc>
          <w:tcPr>
            <w:tcW w:w="7100" w:type="dxa"/>
            <w:vAlign w:val="bottom"/>
          </w:tcPr>
          <w:p>
            <w:pPr>
              <w:spacing w:after="0"/>
              <w:rPr>
                <w:sz w:val="18"/>
                <w:szCs w:val="18"/>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183,222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7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4"/>
                <w:szCs w:val="14"/>
                <w:color w:val="auto"/>
              </w:rPr>
            </w:pPr>
          </w:p>
        </w:tc>
      </w:tr>
      <w:tr>
        <w:trPr>
          <w:trHeight w:val="208"/>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186,816</w:t>
            </w:r>
          </w:p>
        </w:tc>
        <w:tc>
          <w:tcPr>
            <w:tcW w:w="4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4"/>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8"/>
        </w:trPr>
        <w:tc>
          <w:tcPr>
            <w:tcW w:w="7100" w:type="dxa"/>
            <w:vAlign w:val="bottom"/>
          </w:tcPr>
          <w:p>
            <w:pPr>
              <w:spacing w:after="0"/>
              <w:rPr>
                <w:sz w:val="18"/>
                <w:szCs w:val="18"/>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205,844</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520" w:right="7560" w:hanging="513"/>
        <w:spacing w:after="0" w:line="388" w:lineRule="auto"/>
        <w:tabs>
          <w:tab w:leader="none" w:pos="5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and collaboration agreements </w:t>
      </w:r>
      <w:r>
        <w:rPr>
          <w:rFonts w:ascii="Times New Roman" w:cs="Times New Roman" w:eastAsia="Times New Roman" w:hAnsi="Times New Roman"/>
          <w:sz w:val="17"/>
          <w:szCs w:val="17"/>
          <w:b w:val="1"/>
          <w:bCs w:val="1"/>
          <w:i w:val="1"/>
          <w:iCs w:val="1"/>
          <w:color w:val="auto"/>
        </w:rPr>
        <w:t>Agreement with Emory University (Emory)</w:t>
      </w:r>
    </w:p>
    <w:p>
      <w:pPr>
        <w:spacing w:after="0" w:line="1" w:lineRule="exact"/>
        <w:rPr>
          <w:sz w:val="20"/>
          <w:szCs w:val="20"/>
          <w:color w:val="auto"/>
        </w:rPr>
      </w:pPr>
    </w:p>
    <w:p>
      <w:pPr>
        <w:ind w:right="20" w:firstLine="666"/>
        <w:spacing w:after="0" w:line="239"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91" w:lineRule="exact"/>
        <w:rPr>
          <w:sz w:val="20"/>
          <w:szCs w:val="20"/>
          <w:color w:val="auto"/>
        </w:rPr>
      </w:pPr>
    </w:p>
    <w:p>
      <w:pPr>
        <w:jc w:val="both"/>
        <w:ind w:right="380" w:firstLine="666"/>
        <w:spacing w:after="0" w:line="255" w:lineRule="auto"/>
        <w:rPr>
          <w:sz w:val="20"/>
          <w:szCs w:val="20"/>
          <w:color w:val="auto"/>
        </w:rPr>
      </w:pPr>
      <w:r>
        <w:rPr>
          <w:rFonts w:ascii="Times New Roman" w:cs="Times New Roman" w:eastAsia="Times New Roman" w:hAnsi="Times New Roman"/>
          <w:sz w:val="18"/>
          <w:szCs w:val="18"/>
          <w:color w:val="auto"/>
        </w:rPr>
        <w:t>As consideration for the Emory License Agreement, the Company paid an upfront license fee of $290,000 and issued a convertible note with a principal amount of $600,000. Upon issuance of the Series A in August 2018, the principal and unpaid accrued interest under this convertible note was cancelled and converted into shares of Series A at a conversion price of $9.32 per share.</w:t>
      </w:r>
    </w:p>
    <w:p>
      <w:pPr>
        <w:spacing w:after="0" w:line="17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$150,000,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180"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three months ended March 31, 2022,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 w:name="page17"/>
    <w:bookmarkEnd w:id="16"/>
    <w:p>
      <w:pPr>
        <w:ind w:right="80"/>
        <w:spacing w:after="0" w:line="277" w:lineRule="auto"/>
        <w:rPr>
          <w:sz w:val="20"/>
          <w:szCs w:val="20"/>
          <w:color w:val="auto"/>
        </w:rPr>
      </w:pPr>
      <w:r>
        <w:rPr>
          <w:rFonts w:ascii="Times New Roman" w:cs="Times New Roman" w:eastAsia="Times New Roman" w:hAnsi="Times New Roman"/>
          <w:sz w:val="17"/>
          <w:szCs w:val="17"/>
          <w:color w:val="auto"/>
        </w:rPr>
        <w:t>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months ended March 31, 2022 and 2021, the Company made no payments associated with royalties and recognized no expense or accruals.</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Luxna Biotech Co., Ltd. (Luxna)</w:t>
      </w:r>
    </w:p>
    <w:p>
      <w:pPr>
        <w:spacing w:after="0" w:line="11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$600,000, which was recorded as research and development expense during the period from inception through December 31, 2018 and the year ended December 31, 2019.</w:t>
      </w:r>
    </w:p>
    <w:p>
      <w:pPr>
        <w:spacing w:after="0" w:line="18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$200,000 in April 2020.</w:t>
      </w:r>
    </w:p>
    <w:p>
      <w:pPr>
        <w:spacing w:after="0" w:line="17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The Company is obligated to make payments to Luxna, in aggregate, totaling up to but no more than $55.5 million upon the achievement of specified development, regulatory, and commercial milestones. During the three months ended March 31, 2022 and 2021, the Company recognized no expenses related to milestone payments. The Company is also required to pay Luxna a low-single digit royalty percentage on net sale of applicable products, if any. During the three months ended March 31, 2022 and 2021, the Company made no payments associated with royalties.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05"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months ended March 31, 2022 and 2021, the Company recognized no expenses related to milestone payments.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Merck</w:t>
      </w:r>
    </w:p>
    <w:p>
      <w:pPr>
        <w:spacing w:after="0" w:line="118" w:lineRule="exact"/>
        <w:rPr>
          <w:sz w:val="20"/>
          <w:szCs w:val="20"/>
          <w:color w:val="auto"/>
        </w:rPr>
      </w:pPr>
    </w:p>
    <w:p>
      <w:pPr>
        <w:jc w:val="both"/>
        <w:ind w:right="80" w:firstLine="674"/>
        <w:spacing w:after="0" w:line="259" w:lineRule="auto"/>
        <w:rPr>
          <w:sz w:val="20"/>
          <w:szCs w:val="20"/>
          <w:color w:val="auto"/>
        </w:rPr>
      </w:pPr>
      <w:r>
        <w:rPr>
          <w:rFonts w:ascii="Times New Roman" w:cs="Times New Roman" w:eastAsia="Times New Roman" w:hAnsi="Times New Roman"/>
          <w:sz w:val="17"/>
          <w:szCs w:val="17"/>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an upfront payment from Merck and may receive 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ind w:right="160"/>
        <w:spacing w:after="0" w:line="250" w:lineRule="auto"/>
        <w:rPr>
          <w:sz w:val="20"/>
          <w:szCs w:val="20"/>
          <w:color w:val="auto"/>
        </w:rPr>
      </w:pPr>
      <w:r>
        <w:rPr>
          <w:rFonts w:ascii="Times New Roman" w:cs="Times New Roman" w:eastAsia="Times New Roman" w:hAnsi="Times New Roman"/>
          <w:sz w:val="18"/>
          <w:szCs w:val="18"/>
          <w:color w:val="auto"/>
        </w:rPr>
        <w:t>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the Company analogized to ASC 606 for the accounting of payments such as upfront payments and other milestones. Revenue is recognized based on percentage of completion of the overall project. During the three months ended March 31, 2022 and 2021 the Company recognized $1.6 million and $0.9 million, respectively, of revenue from collaborative arrangements related to milestone payments.</w:t>
      </w:r>
    </w:p>
    <w:p>
      <w:pPr>
        <w:spacing w:after="0" w:line="285" w:lineRule="exact"/>
        <w:rPr>
          <w:sz w:val="20"/>
          <w:szCs w:val="20"/>
          <w:color w:val="auto"/>
        </w:rPr>
      </w:pPr>
    </w:p>
    <w:p>
      <w:pPr>
        <w:ind w:firstLine="674"/>
        <w:spacing w:after="0" w:line="257" w:lineRule="auto"/>
        <w:rPr>
          <w:sz w:val="20"/>
          <w:szCs w:val="20"/>
          <w:color w:val="auto"/>
        </w:rPr>
      </w:pPr>
      <w:r>
        <w:rPr>
          <w:rFonts w:ascii="Times New Roman" w:cs="Times New Roman" w:eastAsia="Times New Roman" w:hAnsi="Times New Roman"/>
          <w:sz w:val="17"/>
          <w:szCs w:val="17"/>
          <w:color w:val="auto"/>
        </w:rPr>
        <w:t>In January 2022, the Company and Merck &amp; Co. entered into a First Amendment to the Exclusive License and Research Collaboration Agreement. The agreement was expanded to include the in-license by Merck of an early-stage program with respect to a second undisclosed NASH target, on which the Company had previously been working independently on. In addition, under this expanded arrangement, Merck has the ability to add an additional third target of interest in the cardiometabolic/fibrosis space to the collaboration. Under the expanded agreement, the Company will receive a payment from Merck for the in-license of the program directed at a second undisclosed NASH target. Moreover, the Company will receive an additional payment if a third target is designated for the collaboration. With respect to each target in the collaboration, the Company will be eligible to receive up to approximately $460.0 million in development and commercialization milestones as well as tiered royalties on net sales. The Company determined that the First Amendment to the Merck agreement also falls within the scope of ASC 808 and the Company analogized to ASC 606 for the accounting of payments such as upfront payments and other milestones. Revenue is recognized based on the percentage of completion of the amended agreement. During the three months ended March 31, 2022 the Company recognized $1.0 million of revenue from the amended collaborative arrangement related to milestone payments.</w:t>
      </w:r>
    </w:p>
    <w:p>
      <w:pPr>
        <w:spacing w:after="0" w:line="99" w:lineRule="exact"/>
        <w:rPr>
          <w:sz w:val="20"/>
          <w:szCs w:val="20"/>
          <w:color w:val="auto"/>
        </w:rPr>
      </w:pPr>
    </w:p>
    <w:p>
      <w:pPr>
        <w:ind w:left="520" w:hanging="513"/>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5"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March 31, 2022 and December 31, 2021. The Company enters into contracts in the normal course of business that includes arrangements with clinical research organizations, vendors for preclinical research and vendors for manufacturing. These agreements generally allow for cancellation with notice. As of March 31, 2022, the Company had no material non-cancellable purchase commitments.</w:t>
      </w:r>
    </w:p>
    <w:p>
      <w:pPr>
        <w:spacing w:after="0" w:line="281" w:lineRule="exact"/>
        <w:rPr>
          <w:sz w:val="20"/>
          <w:szCs w:val="20"/>
          <w:color w:val="auto"/>
        </w:rPr>
      </w:pPr>
    </w:p>
    <w:p>
      <w:pPr>
        <w:ind w:left="520" w:hanging="513"/>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5" w:lineRule="exact"/>
        <w:rPr>
          <w:sz w:val="20"/>
          <w:szCs w:val="20"/>
          <w:color w:val="auto"/>
        </w:rPr>
      </w:pPr>
    </w:p>
    <w:p>
      <w:pPr>
        <w:ind w:right="40" w:firstLine="561"/>
        <w:spacing w:after="0" w:line="278" w:lineRule="auto"/>
        <w:rPr>
          <w:sz w:val="20"/>
          <w:szCs w:val="20"/>
          <w:color w:val="auto"/>
        </w:rPr>
      </w:pPr>
      <w:r>
        <w:rPr>
          <w:rFonts w:ascii="Times New Roman" w:cs="Times New Roman" w:eastAsia="Times New Roman" w:hAnsi="Times New Roman"/>
          <w:sz w:val="18"/>
          <w:szCs w:val="18"/>
          <w:color w:val="auto"/>
        </w:rPr>
        <w:t>The Company has a history of losses and projects losses for the full year 2022. The Company continues to maintain a full valuation allowance on its net deferred tax assets.</w:t>
      </w:r>
    </w:p>
    <w:p>
      <w:pPr>
        <w:spacing w:after="0" w:line="280" w:lineRule="exact"/>
        <w:rPr>
          <w:sz w:val="20"/>
          <w:szCs w:val="20"/>
          <w:color w:val="auto"/>
        </w:rPr>
      </w:pPr>
    </w:p>
    <w:p>
      <w:pPr>
        <w:ind w:left="520" w:hanging="513"/>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of the Company (in thousands, except share and per share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(35,615</w:t>
            </w:r>
          </w:p>
        </w:tc>
        <w:tc>
          <w:tcPr>
            <w:tcW w:w="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69"/>
        </w:trPr>
        <w:tc>
          <w:tcPr>
            <w:tcW w:w="56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 average common stock outstanding,</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42,511,559</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37,434,261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tcBorders>
              <w:bottom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5276215</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-7620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3"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69" w:right="379" w:bottom="1440" w:gutter="0" w:footer="0" w:header="0"/>
        </w:sectPr>
      </w:pPr>
    </w:p>
    <w:bookmarkStart w:id="18" w:name="page19"/>
    <w:bookmarkEnd w:id="18"/>
    <w:p>
      <w:pPr>
        <w:ind w:right="380"/>
        <w:spacing w:after="0" w:line="263" w:lineRule="auto"/>
        <w:rPr>
          <w:sz w:val="20"/>
          <w:szCs w:val="20"/>
          <w:color w:val="auto"/>
        </w:rPr>
      </w:pPr>
      <w:r>
        <w:rPr>
          <w:rFonts w:ascii="Times New Roman" w:cs="Times New Roman" w:eastAsia="Times New Roman" w:hAnsi="Times New Roman"/>
          <w:sz w:val="18"/>
          <w:szCs w:val="18"/>
          <w:color w:val="auto"/>
        </w:rPr>
        <w:t>at each period end, from the computation of diluted net loss per share for the periods indicated because including them would have had an anti-dilutive effect:</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2220" w:type="dxa"/>
            <w:vAlign w:val="bottom"/>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7"/>
        </w:trPr>
        <w:tc>
          <w:tcPr>
            <w:tcW w:w="5820" w:type="dxa"/>
            <w:vAlign w:val="bottom"/>
          </w:tcPr>
          <w:p>
            <w:pPr>
              <w:spacing w:after="0"/>
              <w:rPr>
                <w:sz w:val="14"/>
                <w:szCs w:val="14"/>
                <w:color w:val="auto"/>
              </w:rPr>
            </w:pPr>
          </w:p>
        </w:tc>
        <w:tc>
          <w:tcPr>
            <w:tcW w:w="14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8"/>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9,240,074</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5,504,150</w:t>
            </w:r>
          </w:p>
        </w:tc>
        <w:tc>
          <w:tcPr>
            <w:tcW w:w="60" w:type="dxa"/>
            <w:vAlign w:val="bottom"/>
            <w:shd w:val="clear" w:color="auto" w:fill="CFF0FC"/>
          </w:tcPr>
          <w:p>
            <w:pPr>
              <w:spacing w:after="0"/>
              <w:rPr>
                <w:sz w:val="18"/>
                <w:szCs w:val="18"/>
                <w:color w:val="auto"/>
              </w:rPr>
            </w:pPr>
          </w:p>
        </w:tc>
      </w:tr>
      <w:tr>
        <w:trPr>
          <w:trHeight w:val="21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303,697</w:t>
            </w:r>
          </w:p>
        </w:tc>
        <w:tc>
          <w:tcPr>
            <w:tcW w:w="60" w:type="dxa"/>
            <w:vAlign w:val="bottom"/>
          </w:tcPr>
          <w:p>
            <w:pPr>
              <w:spacing w:after="0"/>
              <w:rPr>
                <w:sz w:val="18"/>
                <w:szCs w:val="18"/>
                <w:color w:val="auto"/>
              </w:rPr>
            </w:pPr>
          </w:p>
        </w:tc>
      </w:tr>
      <w:tr>
        <w:trPr>
          <w:trHeight w:val="208"/>
        </w:trPr>
        <w:tc>
          <w:tcPr>
            <w:tcW w:w="58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9,261,312</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5,807,847</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394" w:lineRule="exact"/>
        <w:rPr>
          <w:sz w:val="20"/>
          <w:szCs w:val="20"/>
          <w:color w:val="auto"/>
        </w:rPr>
      </w:pPr>
    </w:p>
    <w:p>
      <w:pPr>
        <w:ind w:left="520" w:hanging="513"/>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Development of Drug Candidates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STOPS</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drug candidate, ALG-010133</w:t>
      </w:r>
    </w:p>
    <w:p>
      <w:pPr>
        <w:spacing w:after="0" w:line="59" w:lineRule="exact"/>
        <w:rPr>
          <w:sz w:val="20"/>
          <w:szCs w:val="20"/>
          <w:color w:val="auto"/>
        </w:rPr>
      </w:pPr>
    </w:p>
    <w:p>
      <w:pPr>
        <w:ind w:right="20" w:firstLine="509"/>
        <w:spacing w:after="0" w:line="231" w:lineRule="auto"/>
        <w:rPr>
          <w:sz w:val="20"/>
          <w:szCs w:val="20"/>
          <w:color w:val="auto"/>
        </w:rPr>
      </w:pPr>
      <w:r>
        <w:rPr>
          <w:rFonts w:ascii="Times New Roman" w:cs="Times New Roman" w:eastAsia="Times New Roman" w:hAnsi="Times New Roman"/>
          <w:sz w:val="18"/>
          <w:szCs w:val="18"/>
          <w:color w:val="auto"/>
        </w:rPr>
        <w:t>On January 6, 2022, the Company announced that it had halted further development of its STOPS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drug candidate, ALG-010133, which was being developed as a potential therapy for chronic hepatitis B (CHB). This decision was based on emerging data from the Phase 1 Study ALG-010133-101 indicating that at the projected efficacious dose (400 mg, estimated to achieve liver exposures &gt;3 x EC90 for HBsAg inhibition) there was no meaningful HBsAg reduction. Furthermore, a higher dosage level (maximum feasible dose of 600 mg) that was planned to be evaluated in a subsequent cohort was assessed to be very unlikely to reach the 1 log</w:t>
      </w:r>
      <w:r>
        <w:rPr>
          <w:rFonts w:ascii="Times New Roman" w:cs="Times New Roman" w:eastAsia="Times New Roman" w:hAnsi="Times New Roman"/>
          <w:sz w:val="9"/>
          <w:szCs w:val="9"/>
          <w:color w:val="auto"/>
        </w:rPr>
        <w:t>10</w:t>
      </w:r>
      <w:r>
        <w:rPr>
          <w:rFonts w:ascii="Times New Roman" w:cs="Times New Roman" w:eastAsia="Times New Roman" w:hAnsi="Times New Roman"/>
          <w:sz w:val="18"/>
          <w:szCs w:val="18"/>
          <w:color w:val="auto"/>
        </w:rPr>
        <w:t xml:space="preserve"> IU/mL HBsAg reduction level that the Company had previously defined as necessary to advance the program. No dose limiting safety findings have been identified in CHB subjects dosed at any dose level. In early January, based on this information, the Company's management reviewed the data with members of the study’s Study Review Committee, and jointly concluded that the data were not sufficient to support further development of ALG-010133. The halt of ALG-010133 resulted in a charge of approximately $3.9 million related to non-cancelable purchase obligations that was recognized during the three months ended March 31,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Antisense Oligonucleotide (ASO) drug candidate, ALG-020572</w:t>
      </w:r>
    </w:p>
    <w:p>
      <w:pPr>
        <w:spacing w:after="0" w:line="10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On March 22, 2022, the Company announced that it had discontinued development of its ASO drug candidate, ALG-020572, which was being studied in subjects with CHB. Dosing in the first CHB cohort of Study ALG-020572-401 was stopped after one subject experienced a serious adverse event (SAE) with significant increase in alanine aminotransferase (ALT) following the administration of multiple doses of 210 mg ALG-020572 that resulted in a brief hospitalization. Four subjects in CHB Cohort 1, including the hospitalized subject, experienced significant ALT flares following multiple dosing; these were unexpected based on prior experience in nonclinical studies and single dose administration in healthy volunteers. Based on this information, the Company concluded that the program should be discontinued. In all four subjects, laboratory parameters and symptoms are improving, and the hospitalized subject has been discharged. The Company plans to use any cost savings from the discontinuation of the ALG-020572 program to further support clinical and small molecule preclinical development programs, all of which target novel mechanisms that have the potential to enhance the care of patients with CHB, nonalcoholic steatohepatitis and COVID-19. The halt of ALG-0020572 resulted in a charge of approximately $3.4 million related to non-cancelable purchase obligations that was recognized during the three months ended March 31, 2022.</w:t>
      </w:r>
    </w:p>
    <w:p>
      <w:pPr>
        <w:spacing w:after="0" w:line="247" w:lineRule="exact"/>
        <w:rPr>
          <w:sz w:val="20"/>
          <w:szCs w:val="20"/>
          <w:color w:val="auto"/>
        </w:rPr>
      </w:pPr>
    </w:p>
    <w:p>
      <w:pPr>
        <w:ind w:left="520" w:hanging="513"/>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05" w:lineRule="exact"/>
        <w:rPr>
          <w:sz w:val="20"/>
          <w:szCs w:val="20"/>
          <w:color w:val="auto"/>
        </w:rPr>
      </w:pPr>
    </w:p>
    <w:p>
      <w:pPr>
        <w:ind w:right="120" w:firstLine="509"/>
        <w:spacing w:after="0" w:line="292" w:lineRule="auto"/>
        <w:rPr>
          <w:sz w:val="20"/>
          <w:szCs w:val="20"/>
          <w:color w:val="auto"/>
        </w:rPr>
      </w:pPr>
      <w:r>
        <w:rPr>
          <w:rFonts w:ascii="Times New Roman" w:cs="Times New Roman" w:eastAsia="Times New Roman" w:hAnsi="Times New Roman"/>
          <w:sz w:val="17"/>
          <w:szCs w:val="17"/>
          <w:color w:val="auto"/>
        </w:rPr>
        <w:t>In preparing the interim financial statements for the three months ended March 31, 2022, the Company evaluated subsequent events for recognition and measurement purposes during which time nothing has occurred outside of the normal course of business operations that requires disclosure.</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02" w:right="419" w:bottom="1440" w:gutter="0" w:footer="0" w:header="0"/>
        </w:sectPr>
      </w:pPr>
    </w:p>
    <w:bookmarkStart w:id="19" w:name="page20"/>
    <w:bookmarkEnd w:id="1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6"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therapeutics to address unmet medical needs in viral and liver diseases, including in the areas of chronic hepatitis B (CHB), non-alcoholic steatohepatitis (NASH) and coronavirus (e.g., SARS-CoV-2 and related infections). We utilize our proprietary small molecule and Small Interfering Ribonucleic Acids (siRNA) platforms to develop pharmacologically optimized drug candidates for use in combination regimens designed to achieve improved treatment outcomes.</w:t>
      </w:r>
    </w:p>
    <w:p>
      <w:pPr>
        <w:spacing w:after="0" w:line="6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One of our areas of focus seeks to enhance the rate of functional cure for CHB, which often results in life-threatening conditions such as cirrhosis, end-stage liver disease (ESLD) and the most common form of liver cancer, hepatocellular carcinoma (HCC). The most widely used treatment for CHB, nucleos(t)ide analogs, suppress viral replication, but only achieve low rates of functional cure and often require long-term administration. To address this issue, we have developed a portfolio of differentiated drug candidates for CHB, including a small molecule Class II Capsid Assembly Modulator (CAM) and siRNA, each of which is designed against clinically validated targets in the Hepatitis B Virus (HBV) life cycle. We are also exploring small molecule approaches towards Class I CAMs and boosting immune responses via small molecule antagonists of the PD1/PD-L1 interaction. We believe that combination regimens utilizing our portfolio of CHB drug candidates, with or without other mechanisms of action, may lead to higher rates of functional cure.</w:t>
      </w:r>
    </w:p>
    <w:p>
      <w:pPr>
        <w:spacing w:after="0" w:line="7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7"/>
          <w:szCs w:val="17"/>
          <w:color w:val="auto"/>
        </w:rPr>
        <w:t>The initial Phase 1a study in healthy volunteers (HVs) for our Class II CAM (ALG-000184) has been completed and a Phase 1b dose range study evaluating the safety, pharmacokinetics and antiviral activity of this drug candidate in CHB patients is ongoing. Preliminary data as of April 29, 2022 for ALG-000184, in both HVs and CHB subjects, indicate the drug has a predictable, dose proportional PK profile and was being well tolerated for up to 28 days of oral daily dosing. One unrelated SAE (hospitalization for management of pre-existing back pain) was reported. There has been no treatment emergent adverse events (TEAEs) leading to discontinuation reported, and no concerning TEAEs, laboratory abnormalities, or other safety assessments have been identified by the study’s safety committee. Preliminary antiviral activity data through completion of dosing (i.e., 28 days) are available in cohorts of Hepatitis B E-antigen (HBeAg) negative subjects (100 mg (Cohort 1) and 50 mg (Cohort 2)) and HBeAg positive subjects (100 mg (Cohort 4)). ALG-000184 was observed to have similar levels of activity at 50-100 mg doses in Cohorts 1-2, where both doses achieved HBV DNA and HBV RNA reductions of approximately 3-4 log</w:t>
      </w:r>
      <w:r>
        <w:rPr>
          <w:rFonts w:ascii="Times New Roman" w:cs="Times New Roman" w:eastAsia="Times New Roman" w:hAnsi="Times New Roman"/>
          <w:sz w:val="11"/>
          <w:szCs w:val="11"/>
          <w:color w:val="auto"/>
        </w:rPr>
        <w:t>10</w:t>
      </w:r>
      <w:r>
        <w:rPr>
          <w:rFonts w:ascii="Times New Roman" w:cs="Times New Roman" w:eastAsia="Times New Roman" w:hAnsi="Times New Roman"/>
          <w:sz w:val="17"/>
          <w:szCs w:val="17"/>
          <w:color w:val="auto"/>
        </w:rPr>
        <w:t xml:space="preserve"> IU/mL and approximately 1.5-2 log</w:t>
      </w:r>
      <w:r>
        <w:rPr>
          <w:rFonts w:ascii="Times New Roman" w:cs="Times New Roman" w:eastAsia="Times New Roman" w:hAnsi="Times New Roman"/>
          <w:sz w:val="11"/>
          <w:szCs w:val="11"/>
          <w:color w:val="auto"/>
        </w:rPr>
        <w:t>10</w:t>
      </w:r>
      <w:r>
        <w:rPr>
          <w:rFonts w:ascii="Times New Roman" w:cs="Times New Roman" w:eastAsia="Times New Roman" w:hAnsi="Times New Roman"/>
          <w:sz w:val="17"/>
          <w:szCs w:val="17"/>
          <w:color w:val="auto"/>
        </w:rPr>
        <w:t xml:space="preserve"> copies/mL, respectively. In both of these cohorts, HBV DNA and HBV RNA levels fell below the lower limit of quantitation (LLOQ) in ≥75% and 100% of subjects, respectively. In Cohort 4 (HBeAg positive subjects receiving 100 mg ALG-000184), HBV DNA and HBV RNA declined by &gt;4 log</w:t>
      </w:r>
      <w:r>
        <w:rPr>
          <w:rFonts w:ascii="Times New Roman" w:cs="Times New Roman" w:eastAsia="Times New Roman" w:hAnsi="Times New Roman"/>
          <w:sz w:val="22"/>
          <w:szCs w:val="22"/>
          <w:color w:val="auto"/>
          <w:vertAlign w:val="subscript"/>
        </w:rPr>
        <w:t>10</w:t>
      </w:r>
      <w:r>
        <w:rPr>
          <w:rFonts w:ascii="Times New Roman" w:cs="Times New Roman" w:eastAsia="Times New Roman" w:hAnsi="Times New Roman"/>
          <w:sz w:val="17"/>
          <w:szCs w:val="17"/>
          <w:color w:val="auto"/>
        </w:rPr>
        <w:t xml:space="preserve"> IU/mL and &gt;3 log</w:t>
      </w:r>
      <w:r>
        <w:rPr>
          <w:rFonts w:ascii="Times New Roman" w:cs="Times New Roman" w:eastAsia="Times New Roman" w:hAnsi="Times New Roman"/>
          <w:sz w:val="22"/>
          <w:szCs w:val="22"/>
          <w:color w:val="auto"/>
          <w:vertAlign w:val="subscript"/>
        </w:rPr>
        <w:t>10</w:t>
      </w:r>
      <w:r>
        <w:rPr>
          <w:rFonts w:ascii="Times New Roman" w:cs="Times New Roman" w:eastAsia="Times New Roman" w:hAnsi="Times New Roman"/>
          <w:sz w:val="17"/>
          <w:szCs w:val="17"/>
          <w:color w:val="auto"/>
        </w:rPr>
        <w:t xml:space="preserve"> copies/mL, respectively, with no plateauing of the antiviral effect throughout dosing. Enrollment in Cohort 3 (10 mg for 28 days in HBeAg negative CHB) is complete and ongoing in Cohort 5 (300 mg for 28 days in HBeAg positive CHB). We anticipate sharing interim topline data, including Cohort 3 (10 mg) at a scientific conference in mid-2022. Additionally, in order to understand the effects of longer-term dosing with ALG-000184 on safety and viral markers (e.g., HBV DNA,HBV RNA, HBsAg, and HBeAg) the Phase 1 protocol has been amended to add Part 4. If 28 day data from Part 3 continue to be favorable, in Part 4 we plan to evaluate ALG-000184 dosing for 12 weeks at the 10-100 mg and 300 mg dose levels in combination with a nucleos(t)ide analog. Dosing in Part 4 is expected to be completed during the fourth quarter of 2022.</w:t>
      </w:r>
    </w:p>
    <w:p>
      <w:pPr>
        <w:spacing w:after="0" w:line="70" w:lineRule="exact"/>
        <w:rPr>
          <w:sz w:val="20"/>
          <w:szCs w:val="20"/>
          <w:color w:val="auto"/>
        </w:rPr>
      </w:pPr>
    </w:p>
    <w:p>
      <w:pPr>
        <w:ind w:right="60" w:firstLine="509"/>
        <w:spacing w:after="0" w:line="278" w:lineRule="auto"/>
        <w:rPr>
          <w:sz w:val="20"/>
          <w:szCs w:val="20"/>
          <w:color w:val="auto"/>
        </w:rPr>
      </w:pPr>
      <w:r>
        <w:rPr>
          <w:rFonts w:ascii="Times New Roman" w:cs="Times New Roman" w:eastAsia="Times New Roman" w:hAnsi="Times New Roman"/>
          <w:sz w:val="18"/>
          <w:szCs w:val="18"/>
          <w:color w:val="auto"/>
        </w:rPr>
        <w:t>Our preclinical activities to advance our siRNA targeted against HBV (ALG-125755) are ongoing, with the clinical trial application (CTA) filing and dosing in HV's both planned to occur in the second half of 2022.</w:t>
      </w:r>
    </w:p>
    <w:p>
      <w:pPr>
        <w:spacing w:after="0" w:line="43"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Our second area of focus is to develop drug candidates with pan-coronavirus activity, including against Severe Acute Respiratory Syndrome coronavirus 2 (SARS-CoV-2), the virus responsible for COVID-19. Our efforts to identify a coronavirus therapeutic are focused on a small molecule approach, where we are exploring coronavirus protease inhibitors in collaboration with Katholieke Universiteit Leuven (KU Leuven), the Center for Innovation and Stimulation of Drug Discovery (CISTIM) and the Centre for Drug Design and Discovery (CD3). Our drug candidate, ALG-097558, is at least 10-fold more potent in cell-based assays than nirmatrelvir and PBI-0451 against a panel of SARS-CoV-2 variants, including the omicron strain, has broad pan-coronavirus activity, and is not projected to need ritonavir boosting. We plan to complete first in human enabling nonclinical studies leading to a phase 1 CTA filing for ALG-097558 in the second half of 2022.</w:t>
      </w:r>
    </w:p>
    <w:p>
      <w:pPr>
        <w:spacing w:after="0" w:line="73" w:lineRule="exact"/>
        <w:rPr>
          <w:sz w:val="20"/>
          <w:szCs w:val="20"/>
          <w:color w:val="auto"/>
        </w:rPr>
      </w:pPr>
    </w:p>
    <w:p>
      <w:pPr>
        <w:jc w:val="both"/>
        <w:ind w:right="260" w:firstLine="509"/>
        <w:spacing w:after="0" w:line="248" w:lineRule="auto"/>
        <w:rPr>
          <w:sz w:val="20"/>
          <w:szCs w:val="20"/>
          <w:color w:val="auto"/>
        </w:rPr>
      </w:pPr>
      <w:r>
        <w:rPr>
          <w:rFonts w:ascii="Times New Roman" w:cs="Times New Roman" w:eastAsia="Times New Roman" w:hAnsi="Times New Roman"/>
          <w:sz w:val="18"/>
          <w:szCs w:val="18"/>
          <w:color w:val="auto"/>
        </w:rPr>
        <w:t>Our third area of focus is in NASH, a complex, chronic liver disease where combination regimens may prove beneficial. Our most advanced drug candidate for NASH is ALG-055009, a small molecule THR-ß agonist. This drug candidate is being evaluated in a Phase 1a/1b study in HVs (oral single ascending doses) and subjects with hyperlipidemia (14 oral daily doses); dosing in both populations is currently underway. Topline data, including safety, pharmacokinetic (PK), and anti-lipid effects in hyperlipidemic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20" w:name="page21"/>
    <w:bookmarkEnd w:id="20"/>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subjects are anticipated in the third quarter of 2022. Based on the previously demonstrated effects of other thyromimetics on liver fat, noninvasive markers of nonalcoholic fatty liver disease (NAFLD)/NASH, and liver histology in NASH patients, we believe ALG-055009 has the potential to become an integral component of future combination regimens for NASH.</w:t>
      </w:r>
    </w:p>
    <w:p>
      <w:pPr>
        <w:spacing w:after="0" w:line="63" w:lineRule="exact"/>
        <w:rPr>
          <w:sz w:val="20"/>
          <w:szCs w:val="20"/>
          <w:color w:val="auto"/>
        </w:rPr>
      </w:pPr>
    </w:p>
    <w:p>
      <w:pPr>
        <w:ind w:firstLine="666"/>
        <w:spacing w:after="0" w:line="243"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in each year since our formation in February 2018. Our net losses were $35.6 million and $27.7 million for the three months ended March 31, 2022 and 2021, respectively. We have had no revenue from product sales. As of March 31, 2022, we had an accumulated deficit of $338.7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salesforce and outsource a substantial portion of our clinical trial work to third parties.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3" w:lineRule="exact"/>
        <w:rPr>
          <w:sz w:val="20"/>
          <w:szCs w:val="20"/>
          <w:color w:val="auto"/>
        </w:rPr>
      </w:pPr>
    </w:p>
    <w:p>
      <w:pPr>
        <w:ind w:left="1020" w:right="500" w:hanging="503"/>
        <w:spacing w:after="0" w:line="27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00" w:lineRule="exact"/>
        <w:rPr>
          <w:rFonts w:ascii="Times New Roman" w:cs="Times New Roman" w:eastAsia="Times New Roman" w:hAnsi="Times New Roman"/>
          <w:sz w:val="18"/>
          <w:szCs w:val="18"/>
          <w:color w:val="auto"/>
        </w:rPr>
      </w:pPr>
    </w:p>
    <w:p>
      <w:pPr>
        <w:ind w:left="1020" w:right="700" w:hanging="503"/>
        <w:spacing w:after="0" w:line="27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 with no alternative use;</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0" w:lineRule="exact"/>
        <w:rPr>
          <w:rFonts w:ascii="Times New Roman" w:cs="Times New Roman" w:eastAsia="Times New Roman" w:hAnsi="Times New Roman"/>
          <w:sz w:val="18"/>
          <w:szCs w:val="18"/>
          <w:color w:val="auto"/>
        </w:rPr>
      </w:pPr>
    </w:p>
    <w:p>
      <w:pPr>
        <w:ind w:left="1020" w:right="140" w:hanging="503"/>
        <w:spacing w:after="0" w:line="263"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70" w:lineRule="exact"/>
        <w:rPr>
          <w:sz w:val="20"/>
          <w:szCs w:val="20"/>
          <w:color w:val="auto"/>
        </w:rPr>
      </w:pPr>
    </w:p>
    <w:p>
      <w:pPr>
        <w:ind w:right="160" w:firstLine="509"/>
        <w:spacing w:after="0" w:line="248"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3"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21" w:name="page22"/>
    <w:bookmarkEnd w:id="21"/>
    <w:p>
      <w:pPr>
        <w:ind w:right="720"/>
        <w:spacing w:after="0" w:line="278" w:lineRule="auto"/>
        <w:rPr>
          <w:sz w:val="20"/>
          <w:szCs w:val="20"/>
          <w:color w:val="auto"/>
        </w:rPr>
      </w:pPr>
      <w:r>
        <w:rPr>
          <w:rFonts w:ascii="Times New Roman" w:cs="Times New Roman" w:eastAsia="Times New Roman" w:hAnsi="Times New Roman"/>
          <w:sz w:val="18"/>
          <w:szCs w:val="18"/>
          <w:color w:val="auto"/>
        </w:rPr>
        <w:t>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50"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92" w:lineRule="exact"/>
        <w:rPr>
          <w:sz w:val="20"/>
          <w:szCs w:val="20"/>
          <w:color w:val="auto"/>
        </w:rPr>
      </w:pPr>
    </w:p>
    <w:p>
      <w:pPr>
        <w:ind w:right="20" w:firstLine="509"/>
        <w:spacing w:after="0" w:line="278" w:lineRule="auto"/>
        <w:rPr>
          <w:sz w:val="20"/>
          <w:szCs w:val="20"/>
          <w:color w:val="auto"/>
        </w:rPr>
      </w:pPr>
      <w:r>
        <w:rPr>
          <w:rFonts w:ascii="Times New Roman" w:cs="Times New Roman" w:eastAsia="Times New Roman" w:hAnsi="Times New Roman"/>
          <w:sz w:val="18"/>
          <w:szCs w:val="18"/>
          <w:color w:val="auto"/>
        </w:rPr>
        <w:t>Interest and other income (expense), net comprises interest income, net and other income (loss), net. Interest income, net primarily consists of interest earned on our cash, cash equivalents, and investments. Other (loss) income, net consists primarily of the change fair value of our investments.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months ended March 31, 2022 and 2021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5"/>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7"/>
        </w:trPr>
        <w:tc>
          <w:tcPr>
            <w:tcW w:w="57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221"/>
        </w:trPr>
        <w:tc>
          <w:tcPr>
            <w:tcW w:w="5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4"/>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4"/>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31,676</w:t>
            </w:r>
          </w:p>
        </w:tc>
        <w:tc>
          <w:tcPr>
            <w:tcW w:w="5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5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r>
      <w:tr>
        <w:trPr>
          <w:trHeight w:val="214"/>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57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38,128</w:t>
            </w:r>
          </w:p>
        </w:tc>
        <w:tc>
          <w:tcPr>
            <w:tcW w:w="22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20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5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-862330</wp:posOffset>
            </wp:positionV>
            <wp:extent cx="67945" cy="153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-862330</wp:posOffset>
            </wp:positionV>
            <wp:extent cx="59690" cy="153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15303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-862330</wp:posOffset>
            </wp:positionV>
            <wp:extent cx="67945" cy="153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6989445</wp:posOffset>
            </wp:positionH>
            <wp:positionV relativeFrom="paragraph">
              <wp:posOffset>-862330</wp:posOffset>
            </wp:positionV>
            <wp:extent cx="161290" cy="153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2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-169545</wp:posOffset>
            </wp:positionV>
            <wp:extent cx="425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-169545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-169545</wp:posOffset>
            </wp:positionV>
            <wp:extent cx="425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7002145</wp:posOffset>
            </wp:positionH>
            <wp:positionV relativeFrom="paragraph">
              <wp:posOffset>-169545</wp:posOffset>
            </wp:positionV>
            <wp:extent cx="135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 xml:space="preserve">Research and development expenses were $31.7 million for the three months ended March 31, 2022, compared to $22.9 million for the three months ended March 31, 2021, an increase of $8.8 million. The increase was due to an increase of $1.2 million of additional employee-related costs, of which $0.3 million related to stock-based compensation, an increase of $7.4 million in third-party expenses due primarily to our continued increase in expenditures related to research, development and manufacturing activities associated with our CAM clinical trial activities as well as costs related to our NASH program, and our discontinued STOPs and ASO programs, leading to charges for non-cancelable purchase obligations. Refer to Note 12, </w:t>
      </w:r>
      <w:r>
        <w:rPr>
          <w:rFonts w:ascii="Times New Roman" w:cs="Times New Roman" w:eastAsia="Times New Roman" w:hAnsi="Times New Roman"/>
          <w:sz w:val="18"/>
          <w:szCs w:val="18"/>
          <w:i w:val="1"/>
          <w:iCs w:val="1"/>
          <w:color w:val="auto"/>
        </w:rPr>
        <w:t>Discontinued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Drug Candidates, </w:t>
      </w:r>
      <w:r>
        <w:rPr>
          <w:rFonts w:ascii="Times New Roman" w:cs="Times New Roman" w:eastAsia="Times New Roman" w:hAnsi="Times New Roman"/>
          <w:sz w:val="18"/>
          <w:szCs w:val="18"/>
          <w:color w:val="auto"/>
        </w:rPr>
        <w:t>for further details on our discontinued STOPs and ASO programs. We also had increases in consulting services of $0.2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expenses of $0.2 million as our employees return to the office.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3"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were $6.5 million for the three months ended March 31, 2022, compared to $5.8 million for the three months ended March 31, 2021, an increase of $0.7 million. The increase was primarily due to an increase of $1.1 million in additional employee-related costs, of which $0.7 million related to stock-based compensation, a $0.7 million increase in facilities and allocated expenses, a $0.2 million increase in consulting expenses and a $0.1 million increase recruiting expenses. The increase was partially offset by a $1.6 million decrease in third-party expenses primarily due to lower legal and accounting service costs.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interest and other income (expense), net for the three months ended March 31, 2022 and 2021 (in thousands):</w:t>
      </w: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5"/>
        </w:trPr>
        <w:tc>
          <w:tcPr>
            <w:tcW w:w="5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7"/>
        </w:trPr>
        <w:tc>
          <w:tcPr>
            <w:tcW w:w="50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208"/>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760" w:type="dxa"/>
            <w:vAlign w:val="bottom"/>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760" w:type="dxa"/>
            <w:vAlign w:val="bottom"/>
          </w:tcPr>
          <w:p>
            <w:pPr>
              <w:spacing w:after="0"/>
              <w:rPr>
                <w:sz w:val="18"/>
                <w:szCs w:val="18"/>
                <w:color w:val="auto"/>
              </w:rPr>
            </w:pPr>
          </w:p>
        </w:tc>
        <w:tc>
          <w:tcPr>
            <w:tcW w:w="5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(91 )</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(97 )</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-1617 %</w:t>
            </w:r>
          </w:p>
        </w:tc>
      </w:tr>
      <w:tr>
        <w:trPr>
          <w:trHeight w:val="248"/>
        </w:trPr>
        <w:tc>
          <w:tcPr>
            <w:tcW w:w="5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760" w:type="dxa"/>
            <w:vAlign w:val="bottom"/>
            <w:tcBorders>
              <w:top w:val="single" w:sz="8" w:color="auto"/>
              <w:bottom w:val="single" w:sz="8" w:color="auto"/>
            </w:tcBorders>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bottom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-581660</wp:posOffset>
            </wp:positionV>
            <wp:extent cx="93345" cy="153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345" cy="15303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-581660</wp:posOffset>
            </wp:positionV>
            <wp:extent cx="67945" cy="153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15303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-581660</wp:posOffset>
            </wp:positionV>
            <wp:extent cx="85090" cy="153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090" cy="15303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-581660</wp:posOffset>
            </wp:positionV>
            <wp:extent cx="170180" cy="153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0180" cy="15303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-24765</wp:posOffset>
            </wp:positionV>
            <wp:extent cx="67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-7620</wp:posOffset>
            </wp:positionV>
            <wp:extent cx="679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-24765</wp:posOffset>
            </wp:positionV>
            <wp:extent cx="42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-7620</wp:posOffset>
            </wp:positionV>
            <wp:extent cx="42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-24765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-7620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-24765</wp:posOffset>
            </wp:positionV>
            <wp:extent cx="1447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-7620</wp:posOffset>
            </wp:positionV>
            <wp:extent cx="1447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216"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Interest income, net decreased by $19,000 for the three months ended March 31, 2022 compared to the three months ended March 31, 2021, primarily due to the change in our portfolio of cash equivalents and investments which resulted in a lower interest yield.</w:t>
      </w:r>
    </w:p>
    <w:p>
      <w:pPr>
        <w:spacing w:after="0" w:line="55" w:lineRule="exact"/>
        <w:rPr>
          <w:sz w:val="20"/>
          <w:szCs w:val="20"/>
          <w:color w:val="auto"/>
        </w:rPr>
      </w:pPr>
    </w:p>
    <w:p>
      <w:pPr>
        <w:ind w:right="380" w:firstLine="509"/>
        <w:spacing w:after="0" w:line="278" w:lineRule="auto"/>
        <w:rPr>
          <w:sz w:val="20"/>
          <w:szCs w:val="20"/>
          <w:color w:val="auto"/>
        </w:rPr>
      </w:pPr>
      <w:r>
        <w:rPr>
          <w:rFonts w:ascii="Times New Roman" w:cs="Times New Roman" w:eastAsia="Times New Roman" w:hAnsi="Times New Roman"/>
          <w:sz w:val="18"/>
          <w:szCs w:val="18"/>
          <w:color w:val="auto"/>
        </w:rPr>
        <w:t>Other (loss) income, net decreased for the three months ended March 31, 2022 compared to the three months ended March 31, 2021. The current quarter decrease was due primarily to foreign currency exchange losses versus the U.S. dollar.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5" w:lineRule="exact"/>
        <w:rPr>
          <w:sz w:val="20"/>
          <w:szCs w:val="20"/>
          <w:color w:val="auto"/>
        </w:rPr>
      </w:pPr>
    </w:p>
    <w:p>
      <w:pPr>
        <w:jc w:val="both"/>
        <w:ind w:right="140" w:firstLine="509"/>
        <w:spacing w:after="0" w:line="248"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To date, we have financed our operations through private placements of preferred stock, issuances of common stock and convertible debt. Through March 31, 2022, we had received gross proceeds of $269.1 million from sales of our preferred stock, issuances of common stock and our issuance of convertible debt. As of March 31, 2022, we had cash, cash equivalents and investments of $183.2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5"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We have incurred net losses since inception. Our primary use of cash is to fund operating expenses, which consist primarily of research and development costs related to our drug candidates and our discovery programs, and to a lesser extent, general and administrative expenditures. Our expenses may increase substantially in connection with our ongoing clinical development activities related to our most advanced drug candidate ALG-000184, for which we have initiated clinical trials, as well as our research and development of our other drug candidates within our CHB, NASH and coronavirus programs.</w:t>
      </w:r>
    </w:p>
    <w:p>
      <w:pPr>
        <w:spacing w:after="0" w:line="193" w:lineRule="exact"/>
        <w:rPr>
          <w:sz w:val="20"/>
          <w:szCs w:val="20"/>
          <w:color w:val="auto"/>
        </w:rPr>
      </w:pPr>
    </w:p>
    <w:p>
      <w:pPr>
        <w:ind w:right="480" w:firstLine="509"/>
        <w:spacing w:after="0" w:line="263" w:lineRule="auto"/>
        <w:rPr>
          <w:sz w:val="20"/>
          <w:szCs w:val="20"/>
          <w:color w:val="auto"/>
        </w:rPr>
      </w:pPr>
      <w:r>
        <w:rPr>
          <w:rFonts w:ascii="Times New Roman" w:cs="Times New Roman" w:eastAsia="Times New Roman" w:hAnsi="Times New Roman"/>
          <w:sz w:val="18"/>
          <w:szCs w:val="18"/>
          <w:color w:val="auto"/>
        </w:rPr>
        <w:t>In addition, we are incurring costs associated with operating as a public company. We expect that our expenses will increase substantially to the extent we:</w:t>
      </w:r>
    </w:p>
    <w:p>
      <w:pPr>
        <w:spacing w:after="0" w:line="55"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0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0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0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0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0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0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3" w:name="page24"/>
    <w:bookmarkEnd w:id="23"/>
    <w:p>
      <w:pPr>
        <w:ind w:left="1020" w:right="80" w:hanging="504"/>
        <w:spacing w:after="0" w:line="27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any future commercialization efforts.</w:t>
      </w:r>
    </w:p>
    <w:p>
      <w:pPr>
        <w:spacing w:after="0" w:line="1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of March 31, 2022, we had cash, cash equivalents and investments of $183.2 million. On October 20, 2020, we closed our IPO at a public offering price of $15.00 per share for net proceeds of $135.4 million, after deducting underwriting discounts and commissions. On November 5, 2020, the underwriters of the IPO partially exercised their overallotment, resulting in an additional $16.0 million in net proceeds, after deducting underwriting discounts and commissions. We believe that our existing cash, cash equivalents and investments will enable us to fund our planned operating expenses and capital expenditure requirements through at least the next twelve months.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80" w:lineRule="exact"/>
        <w:rPr>
          <w:sz w:val="20"/>
          <w:szCs w:val="20"/>
          <w:color w:val="auto"/>
        </w:rPr>
      </w:pPr>
    </w:p>
    <w:p>
      <w:pPr>
        <w:ind w:right="300" w:firstLine="509"/>
        <w:spacing w:after="0" w:line="24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68" w:lineRule="exact"/>
        <w:rPr>
          <w:sz w:val="20"/>
          <w:szCs w:val="20"/>
          <w:color w:val="auto"/>
        </w:rPr>
      </w:pPr>
    </w:p>
    <w:p>
      <w:pPr>
        <w:ind w:left="1020" w:right="140" w:hanging="503"/>
        <w:spacing w:after="0" w:line="27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00" w:lineRule="exact"/>
        <w:rPr>
          <w:rFonts w:ascii="Times New Roman" w:cs="Times New Roman" w:eastAsia="Times New Roman" w:hAnsi="Times New Roman"/>
          <w:sz w:val="18"/>
          <w:szCs w:val="18"/>
          <w:color w:val="auto"/>
        </w:rPr>
      </w:pPr>
    </w:p>
    <w:p>
      <w:pPr>
        <w:jc w:val="both"/>
        <w:ind w:left="1020" w:right="46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3" w:lineRule="exact"/>
        <w:rPr>
          <w:rFonts w:ascii="Times New Roman" w:cs="Times New Roman" w:eastAsia="Times New Roman" w:hAnsi="Times New Roman"/>
          <w:sz w:val="18"/>
          <w:szCs w:val="18"/>
          <w:color w:val="auto"/>
        </w:rPr>
      </w:pPr>
    </w:p>
    <w:p>
      <w:pPr>
        <w:ind w:left="1020" w:right="1340" w:hanging="503"/>
        <w:spacing w:after="0" w:line="27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42" w:lineRule="exact"/>
        <w:rPr>
          <w:rFonts w:ascii="Times New Roman" w:cs="Times New Roman" w:eastAsia="Times New Roman" w:hAnsi="Times New Roman"/>
          <w:sz w:val="18"/>
          <w:szCs w:val="18"/>
          <w:color w:val="auto"/>
        </w:rPr>
      </w:pPr>
    </w:p>
    <w:p>
      <w:pPr>
        <w:ind w:left="1020" w:right="160" w:hanging="503"/>
        <w:spacing w:after="0" w:line="26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68" w:lineRule="exact"/>
        <w:rPr>
          <w:rFonts w:ascii="Times New Roman" w:cs="Times New Roman" w:eastAsia="Times New Roman" w:hAnsi="Times New Roman"/>
          <w:sz w:val="18"/>
          <w:szCs w:val="18"/>
          <w:color w:val="auto"/>
        </w:rPr>
      </w:pPr>
    </w:p>
    <w:p>
      <w:pPr>
        <w:ind w:left="1020" w:right="140" w:hanging="503"/>
        <w:spacing w:after="0" w:line="26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 including the costs associated with our current litigation with Janssen;</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08"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78" w:lineRule="exact"/>
        <w:rPr>
          <w:sz w:val="20"/>
          <w:szCs w:val="20"/>
          <w:color w:val="auto"/>
        </w:rPr>
      </w:pPr>
    </w:p>
    <w:p>
      <w:pPr>
        <w:ind w:right="600" w:firstLine="509"/>
        <w:spacing w:after="0" w:line="263"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24" w:name="page25"/>
    <w:bookmarkEnd w:id="24"/>
    <w:p>
      <w:pPr>
        <w:ind w:right="100"/>
        <w:spacing w:after="0" w:line="277" w:lineRule="auto"/>
        <w:rPr>
          <w:sz w:val="20"/>
          <w:szCs w:val="20"/>
          <w:color w:val="auto"/>
        </w:rPr>
      </w:pPr>
      <w:r>
        <w:rPr>
          <w:rFonts w:ascii="Times New Roman" w:cs="Times New Roman" w:eastAsia="Times New Roman" w:hAnsi="Times New Roman"/>
          <w:sz w:val="17"/>
          <w:szCs w:val="17"/>
          <w:color w:val="auto"/>
        </w:rPr>
        <w:t>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5"/>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7"/>
        </w:trPr>
        <w:tc>
          <w:tcPr>
            <w:tcW w:w="5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8"/>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8"/>
                <w:szCs w:val="18"/>
                <w:color w:val="auto"/>
              </w:rPr>
            </w:pP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(60,404 )</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18"/>
                <w:szCs w:val="18"/>
                <w:color w:val="auto"/>
              </w:rPr>
            </w:pPr>
          </w:p>
        </w:tc>
      </w:tr>
      <w:tr>
        <w:trPr>
          <w:trHeight w:val="214"/>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(21 )</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(80,859 )</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(20,025 )</w:t>
            </w: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-717550</wp:posOffset>
            </wp:positionV>
            <wp:extent cx="93345" cy="153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345" cy="153035"/>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-717550</wp:posOffset>
            </wp:positionV>
            <wp:extent cx="85090" cy="153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090" cy="15303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-169545</wp:posOffset>
            </wp:positionV>
            <wp:extent cx="67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-169545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operating activities used $20.4 million of cash, primarily resulting from our net loss of $35.6 million, partially offset by net changes in operating assets and liabilities of $10.4 million, and by non-cash charges of $4.8 million. Net cash used in operating activities resulted in changes in our operating assets and liabilities of $10.4 million, consisting of an increase of $12.4 million in deferred revenue from collaborations, a decrease in other assets of $3.6 million, an increase of $0.7 million in accounts payable, partially offset by a decrease in accrued liabilities of $6.1 million. The increase in deferred revenue from collaborations was a result of our First Amendment to the Exclusive License and Research Collaboration Agreement (refer to Note 8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xml:space="preserve"> for details), partially offset by the recognition of revenue from collaborations due to progress towards the completion of the projects. The decrease in accrued liabilities and other assets was largely due to charges related to the discontinuation of our ASO and STOPs drug candidates (refer to Note 12, </w:t>
      </w:r>
      <w:r>
        <w:rPr>
          <w:rFonts w:ascii="Times New Roman" w:cs="Times New Roman" w:eastAsia="Times New Roman" w:hAnsi="Times New Roman"/>
          <w:sz w:val="18"/>
          <w:szCs w:val="18"/>
          <w:i w:val="1"/>
          <w:iCs w:val="1"/>
          <w:color w:val="auto"/>
        </w:rPr>
        <w:t>Discontinued Development of Drug Candidates,</w:t>
      </w:r>
      <w:r>
        <w:rPr>
          <w:rFonts w:ascii="Times New Roman" w:cs="Times New Roman" w:eastAsia="Times New Roman" w:hAnsi="Times New Roman"/>
          <w:sz w:val="18"/>
          <w:szCs w:val="18"/>
          <w:color w:val="auto"/>
        </w:rPr>
        <w:t xml:space="preserve"> for details) and payment of the annual bonus in 2022 that was accrued for in 2021.</w:t>
      </w:r>
    </w:p>
    <w:p>
      <w:pPr>
        <w:spacing w:after="0" w:line="18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During the three months ended March 31, 2021, operating activities used $29.8 million of cash, primarily resulting from our net loss of $27.7 million and cash used in changes in our operating assets and liabilities of $5.8 million, partially offset by non-cash charges of $3.7 million. Net cash provided by changes in our operating assets and liabilities of $5.8 million consisted of a decrease of $4.7 million in accounts payable and accrued liabilities, a decrease of $0.9 million in deferred revenue from collaborations, a $0.3 million in other assets, partially offset by an increase of $0.3 million in operating lease liability. The decrease in accounts payable and accrued liabilities was largely due to payment of the annual bonus in 2021 that was accrued for in 2020. The decrease in other assets was largely due to an increase in prepayments for services. The increase in the operating lease liability was a result of an extension of the facilities lease.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5" w:lineRule="exact"/>
        <w:rPr>
          <w:sz w:val="20"/>
          <w:szCs w:val="20"/>
          <w:color w:val="auto"/>
        </w:rPr>
      </w:pPr>
    </w:p>
    <w:p>
      <w:pPr>
        <w:ind w:right="720" w:firstLine="509"/>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2022, investing activities utilized $60.4 million of cash, primarily for $59.9 million of investment purchases and $0.5 million of property and equipment purchases.</w:t>
      </w:r>
    </w:p>
    <w:p>
      <w:pPr>
        <w:spacing w:after="0" w:line="136" w:lineRule="exact"/>
        <w:rPr>
          <w:sz w:val="20"/>
          <w:szCs w:val="20"/>
          <w:color w:val="auto"/>
        </w:rPr>
      </w:pPr>
    </w:p>
    <w:p>
      <w:pPr>
        <w:ind w:firstLine="509"/>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2021, investing activities provided $9.7 million of cash, consisting primarily of $10.0 million of investment maturities, offset by $0.3 million of purchases of property and equipment.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5" w:lineRule="exact"/>
        <w:rPr>
          <w:sz w:val="20"/>
          <w:szCs w:val="20"/>
          <w:color w:val="auto"/>
        </w:rPr>
      </w:pPr>
    </w:p>
    <w:p>
      <w:pPr>
        <w:ind w:right="180" w:firstLine="509"/>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2022, net cash used for financing activities was $21,000, consisting primarily of $31,000 for payments of our finance leases, partially offset by $10,000 in proceeds from the exercise of stock options.</w:t>
      </w:r>
    </w:p>
    <w:p>
      <w:pPr>
        <w:spacing w:after="0" w:line="150" w:lineRule="exact"/>
        <w:rPr>
          <w:sz w:val="20"/>
          <w:szCs w:val="20"/>
          <w:color w:val="auto"/>
        </w:rPr>
      </w:pPr>
    </w:p>
    <w:p>
      <w:pPr>
        <w:ind w:right="480" w:firstLine="509"/>
        <w:spacing w:after="0" w:line="263" w:lineRule="auto"/>
        <w:rPr>
          <w:sz w:val="20"/>
          <w:szCs w:val="20"/>
          <w:color w:val="auto"/>
        </w:rPr>
      </w:pPr>
      <w:r>
        <w:rPr>
          <w:rFonts w:ascii="Times New Roman" w:cs="Times New Roman" w:eastAsia="Times New Roman" w:hAnsi="Times New Roman"/>
          <w:sz w:val="18"/>
          <w:szCs w:val="18"/>
          <w:color w:val="auto"/>
        </w:rPr>
        <w:t>During the three months ended March 31, 2021, net cash provided by financing activities was $0.1 million, consisting primarily of $0.1 million proceeds from the exercise of stock options.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8" w:lineRule="exact"/>
        <w:rPr>
          <w:sz w:val="20"/>
          <w:szCs w:val="20"/>
          <w:color w:val="auto"/>
        </w:rPr>
      </w:pPr>
    </w:p>
    <w:p>
      <w:pPr>
        <w:jc w:val="both"/>
        <w:ind w:right="220" w:firstLine="509"/>
        <w:spacing w:after="0" w:line="247" w:lineRule="auto"/>
        <w:rPr>
          <w:sz w:val="20"/>
          <w:szCs w:val="20"/>
          <w:color w:val="auto"/>
        </w:rPr>
      </w:pPr>
      <w:r>
        <w:rPr>
          <w:rFonts w:ascii="Times New Roman" w:cs="Times New Roman" w:eastAsia="Times New Roman" w:hAnsi="Times New Roman"/>
          <w:sz w:val="18"/>
          <w:szCs w:val="18"/>
          <w:color w:val="auto"/>
        </w:rPr>
        <w:t xml:space="preserve">We have no material changes to our contractual obligations and commitments as of March 31, 2022 as disclosed in the contractual obligations and commitment section in our Annual Report on Form 10-K filed with the SEC on March 10, 2022, except for the amount disclosed in Note 9,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in our unaudited condensed consolidated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5" w:lineRule="exact"/>
        <w:rPr>
          <w:sz w:val="20"/>
          <w:szCs w:val="20"/>
          <w:color w:val="auto"/>
        </w:rPr>
      </w:pPr>
    </w:p>
    <w:p>
      <w:pPr>
        <w:ind w:right="740" w:firstLine="509"/>
        <w:spacing w:after="0" w:line="263"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0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05" w:lineRule="exact"/>
        <w:rPr>
          <w:sz w:val="20"/>
          <w:szCs w:val="20"/>
          <w:color w:val="auto"/>
        </w:rPr>
      </w:pPr>
    </w:p>
    <w:p>
      <w:pPr>
        <w:ind w:right="280" w:firstLine="50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ind w:right="160" w:firstLine="509"/>
        <w:spacing w:after="0" w:line="248"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in our annual report on Form 10-K for the year ended December 31, 2021, previously filed with the SEC, the notes to our audited financial statements appearing in the Form 10-K and the notes to the financial statements appearing elsewhere in this Quarterly Report on Form 10-Q. There have been no material changes to these critical accounting policies and estimates through March 31, 2022 from those discussed in our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05"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5"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applicable to our investment portfolio of cash equivalents and short-term and long-term investments. As of March 31, 2022, our cash equivalents consisted primarily of money market funds, and our investments consisted of certificates of deposit and US Treasury available-for-sale securities.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March 31, 2022, we estimate that a hypothetical 100 basis point adverse movement would not result in a material impact on our financial position or results of operations or cash flows. As of March 31, 2022, we had no debt outstanding, besides short-term payables arising in the normal course of business, and are therefore not exposed to interest rate risk with respect to debt.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7"/>
          <w:szCs w:val="17"/>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2022, our disclosure controls and procedures were effective.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8"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March 31, 2022 that has materially affected, or is reasonably likely to materially affect, our internal control over financial reporting.</w:t>
      </w:r>
    </w:p>
    <w:p>
      <w:pPr>
        <w:spacing w:after="0" w:line="19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a result of the COVID-19 pandemic, in March 2020, substantially all of our employees began working remotely. Since the availability of COVID-19 vaccines in 2021, almost all of our U.S. employees have been fully vaccinated and as a result, we are allowing such employees to return to work at our U.S. facility.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except as described below, we are not currently involved in any legal proceedings that we believe are, individually or in the aggregate, material to our business, results of operations or financial condition. However, regardless of the outcome, litigation can have an adverse impact on us because of associated cost and diversion of management time.</w:t>
      </w:r>
    </w:p>
    <w:p>
      <w:pPr>
        <w:spacing w:after="0" w:line="68"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8"/>
          <w:szCs w:val="18"/>
          <w:color w:val="auto"/>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defend itself vigorously.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3"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101"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0"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7"/>
          <w:szCs w:val="17"/>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6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$35.6 million for the three months ended March 31, 2022 and $128.3 million for the year ended December 31, 2021. As of March 31, 2022, we had a total stockholders’ equity of $152.9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18" w:lineRule="exact"/>
        <w:rPr>
          <w:sz w:val="20"/>
          <w:szCs w:val="20"/>
          <w:color w:val="auto"/>
        </w:rPr>
      </w:pPr>
    </w:p>
    <w:p>
      <w:pPr>
        <w:ind w:right="540" w:firstLine="509"/>
        <w:spacing w:after="0" w:line="263"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28" w:name="page29"/>
    <w:bookmarkEnd w:id="28"/>
    <w:p>
      <w:pPr>
        <w:ind w:right="420"/>
        <w:spacing w:after="0" w:line="278" w:lineRule="auto"/>
        <w:rPr>
          <w:sz w:val="20"/>
          <w:szCs w:val="20"/>
          <w:color w:val="auto"/>
        </w:rPr>
      </w:pPr>
      <w:r>
        <w:rPr>
          <w:rFonts w:ascii="Times New Roman" w:cs="Times New Roman" w:eastAsia="Times New Roman" w:hAnsi="Times New Roman"/>
          <w:sz w:val="18"/>
          <w:szCs w:val="18"/>
          <w:color w:val="auto"/>
        </w:rPr>
        <w:t>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4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4" w:lineRule="exact"/>
        <w:rPr>
          <w:rFonts w:ascii="Times New Roman" w:cs="Times New Roman" w:eastAsia="Times New Roman" w:hAnsi="Times New Roman"/>
          <w:sz w:val="18"/>
          <w:szCs w:val="18"/>
          <w:color w:val="auto"/>
        </w:rPr>
      </w:pPr>
    </w:p>
    <w:p>
      <w:pPr>
        <w:ind w:left="1020" w:right="360" w:hanging="503"/>
        <w:spacing w:after="0" w:line="26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114" w:lineRule="exact"/>
        <w:rPr>
          <w:rFonts w:ascii="Times New Roman" w:cs="Times New Roman" w:eastAsia="Times New Roman" w:hAnsi="Times New Roman"/>
          <w:sz w:val="18"/>
          <w:szCs w:val="18"/>
          <w:color w:val="auto"/>
        </w:rPr>
      </w:pPr>
    </w:p>
    <w:p>
      <w:pPr>
        <w:ind w:left="1020" w:right="120" w:hanging="503"/>
        <w:spacing w:after="0" w:line="26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market developments;</w:t>
      </w:r>
    </w:p>
    <w:p>
      <w:pPr>
        <w:spacing w:after="0" w:line="100" w:lineRule="exact"/>
        <w:rPr>
          <w:rFonts w:ascii="Times New Roman" w:cs="Times New Roman" w:eastAsia="Times New Roman" w:hAnsi="Times New Roman"/>
          <w:sz w:val="18"/>
          <w:szCs w:val="18"/>
          <w:color w:val="auto"/>
        </w:rPr>
      </w:pPr>
    </w:p>
    <w:p>
      <w:pPr>
        <w:ind w:left="1020" w:right="180" w:hanging="503"/>
        <w:spacing w:after="0" w:line="26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08"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7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6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March 31, 2022, we had cash, cash equivalents and investments of $183.2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and net proceeds of $77.7 million from the sale of 4,400,000 shares of our common stock on July 6, 2021 as part of a follow-on offering.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4" w:lineRule="exact"/>
        <w:rPr>
          <w:sz w:val="20"/>
          <w:szCs w:val="20"/>
          <w:color w:val="auto"/>
        </w:rPr>
      </w:pPr>
    </w:p>
    <w:p>
      <w:pPr>
        <w:ind w:left="1020" w:right="160" w:hanging="503"/>
        <w:spacing w:after="0" w:line="26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29" w:name="page30"/>
    <w:bookmarkEnd w:id="29"/>
    <w:p>
      <w:pPr>
        <w:jc w:val="both"/>
        <w:ind w:left="1020" w:right="4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3" w:lineRule="exact"/>
        <w:rPr>
          <w:rFonts w:ascii="Times New Roman" w:cs="Times New Roman" w:eastAsia="Times New Roman" w:hAnsi="Times New Roman"/>
          <w:sz w:val="18"/>
          <w:szCs w:val="18"/>
          <w:color w:val="auto"/>
        </w:rPr>
      </w:pPr>
    </w:p>
    <w:p>
      <w:pPr>
        <w:ind w:left="1020" w:right="1300" w:hanging="503"/>
        <w:spacing w:after="0" w:line="27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42" w:lineRule="exact"/>
        <w:rPr>
          <w:rFonts w:ascii="Times New Roman" w:cs="Times New Roman" w:eastAsia="Times New Roman" w:hAnsi="Times New Roman"/>
          <w:sz w:val="18"/>
          <w:szCs w:val="18"/>
          <w:color w:val="auto"/>
        </w:rPr>
      </w:pPr>
    </w:p>
    <w:p>
      <w:pPr>
        <w:ind w:left="1020" w:right="160" w:hanging="503"/>
        <w:spacing w:after="0" w:line="26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68" w:lineRule="exact"/>
        <w:rPr>
          <w:rFonts w:ascii="Times New Roman" w:cs="Times New Roman" w:eastAsia="Times New Roman" w:hAnsi="Times New Roman"/>
          <w:sz w:val="18"/>
          <w:szCs w:val="18"/>
          <w:color w:val="auto"/>
        </w:rPr>
      </w:pPr>
    </w:p>
    <w:p>
      <w:pPr>
        <w:ind w:left="1020" w:right="100" w:hanging="503"/>
        <w:spacing w:after="0" w:line="26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 including the costs associated with our current litigation with Janssen;</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93"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other factors, many of which are beyond our control. In particular, the COVID-19 pandemic continues to rapidly evolve and has already resulted in a significant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3" w:lineRule="exact"/>
        <w:rPr>
          <w:sz w:val="20"/>
          <w:szCs w:val="20"/>
          <w:color w:val="auto"/>
        </w:rPr>
      </w:pPr>
    </w:p>
    <w:p>
      <w:pPr>
        <w:ind w:left="1020" w:hanging="503"/>
        <w:spacing w:after="0" w:line="27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42" w:lineRule="exact"/>
        <w:rPr>
          <w:rFonts w:ascii="Times New Roman" w:cs="Times New Roman" w:eastAsia="Times New Roman" w:hAnsi="Times New Roman"/>
          <w:sz w:val="18"/>
          <w:szCs w:val="18"/>
          <w:color w:val="auto"/>
        </w:rPr>
      </w:pPr>
    </w:p>
    <w:p>
      <w:pPr>
        <w:jc w:val="both"/>
        <w:ind w:left="1020" w:right="360" w:hanging="503"/>
        <w:spacing w:after="0" w:line="24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94"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52" w:lineRule="exact"/>
        <w:rPr>
          <w:sz w:val="20"/>
          <w:szCs w:val="20"/>
          <w:color w:val="auto"/>
        </w:rPr>
      </w:pPr>
    </w:p>
    <w:p>
      <w:pPr>
        <w:ind w:right="700" w:firstLine="509"/>
        <w:spacing w:after="0" w:line="27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43" w:lineRule="exact"/>
        <w:rPr>
          <w:sz w:val="20"/>
          <w:szCs w:val="20"/>
          <w:color w:val="auto"/>
        </w:rPr>
      </w:pPr>
    </w:p>
    <w:p>
      <w:pPr>
        <w:ind w:left="1020" w:right="240" w:hanging="503"/>
        <w:spacing w:after="0" w:line="26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100" w:lineRule="exact"/>
        <w:rPr>
          <w:rFonts w:ascii="Times New Roman" w:cs="Times New Roman" w:eastAsia="Times New Roman" w:hAnsi="Times New Roman"/>
          <w:sz w:val="18"/>
          <w:szCs w:val="18"/>
          <w:color w:val="auto"/>
        </w:rPr>
      </w:pPr>
    </w:p>
    <w:p>
      <w:pPr>
        <w:ind w:left="1020" w:right="580" w:hanging="503"/>
        <w:spacing w:after="0" w:line="27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69" w:right="399" w:bottom="1440" w:gutter="0" w:footer="0" w:header="0"/>
        </w:sectPr>
      </w:pPr>
    </w:p>
    <w:bookmarkStart w:id="30" w:name="page31"/>
    <w:bookmarkEnd w:id="30"/>
    <w:p>
      <w:pPr>
        <w:ind w:left="1020" w:right="40" w:hanging="503"/>
        <w:spacing w:after="0" w:line="27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42" w:lineRule="exact"/>
        <w:rPr>
          <w:rFonts w:ascii="Times New Roman" w:cs="Times New Roman" w:eastAsia="Times New Roman" w:hAnsi="Times New Roman"/>
          <w:sz w:val="18"/>
          <w:szCs w:val="18"/>
          <w:color w:val="auto"/>
        </w:rPr>
      </w:pPr>
    </w:p>
    <w:p>
      <w:pPr>
        <w:ind w:left="1020" w:right="600" w:hanging="503"/>
        <w:spacing w:after="0" w:line="26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coverage and reimbursement policies with respect to any future approved products, and potential future drugs that compete with our products;</w:t>
      </w:r>
    </w:p>
    <w:p>
      <w:pPr>
        <w:spacing w:after="0" w:line="112" w:lineRule="exact"/>
        <w:rPr>
          <w:rFonts w:ascii="Times New Roman" w:cs="Times New Roman" w:eastAsia="Times New Roman" w:hAnsi="Times New Roman"/>
          <w:sz w:val="17"/>
          <w:szCs w:val="17"/>
          <w:color w:val="auto"/>
        </w:rPr>
      </w:pPr>
    </w:p>
    <w:p>
      <w:pPr>
        <w:ind w:left="1020" w:right="100" w:hanging="503"/>
        <w:spacing w:after="0" w:line="26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00" w:lineRule="exact"/>
        <w:rPr>
          <w:rFonts w:ascii="Times New Roman" w:cs="Times New Roman" w:eastAsia="Times New Roman" w:hAnsi="Times New Roman"/>
          <w:sz w:val="18"/>
          <w:szCs w:val="18"/>
          <w:color w:val="auto"/>
        </w:rPr>
      </w:pPr>
    </w:p>
    <w:p>
      <w:pPr>
        <w:ind w:left="1020" w:right="260" w:hanging="503"/>
        <w:spacing w:after="0" w:line="26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 including the costs associated with our current litigation with Janssen;</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00" w:lineRule="exact"/>
        <w:rPr>
          <w:rFonts w:ascii="Times New Roman" w:cs="Times New Roman" w:eastAsia="Times New Roman" w:hAnsi="Times New Roman"/>
          <w:sz w:val="18"/>
          <w:szCs w:val="18"/>
          <w:color w:val="auto"/>
        </w:rPr>
      </w:pPr>
    </w:p>
    <w:p>
      <w:pPr>
        <w:ind w:left="1020" w:right="220" w:hanging="503"/>
        <w:spacing w:after="0" w:line="26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7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91"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60"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employees have been fully vaccinated and as a result, we are allowing such employees to return to work . However, as the global COVID-19 pandemic and orders and guidance from state and local governments continue to evolve, we may need to reverse course and again implement work-from-home policies as necessary. For example, given the Omicron variant of COVID-19, we again implemented work-from-home policies for our employees in January 2022. While we have allowed our employees to return to work at our U.S. facility as of March 2022, we continue to monitor the COVID-19 situation and may once again reverse course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76"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COVID-19 or other infectious diseases, or the perception that such events, orders or other restrictions on the conduct of business operations could occur, could adversely impact personnel at third-party manufacturing facilities in the United States and other countries, or the availability or cost of materials,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31" w:name="page32"/>
    <w:bookmarkEnd w:id="31"/>
    <w:p>
      <w:pPr>
        <w:ind w:right="160"/>
        <w:spacing w:after="0" w:line="278" w:lineRule="auto"/>
        <w:rPr>
          <w:sz w:val="20"/>
          <w:szCs w:val="20"/>
          <w:color w:val="auto"/>
        </w:rPr>
      </w:pPr>
      <w:r>
        <w:rPr>
          <w:rFonts w:ascii="Times New Roman" w:cs="Times New Roman" w:eastAsia="Times New Roman" w:hAnsi="Times New Roman"/>
          <w:sz w:val="18"/>
          <w:szCs w:val="18"/>
          <w:color w:val="auto"/>
        </w:rPr>
        <w:t>which would disrupt our supply chain. Restrictions resulting from the COVID-19 outbreak may at any time disrupt our supply chain and delay or limit our ability to obtain sufficient materials for our drug candidates.</w:t>
      </w:r>
    </w:p>
    <w:p>
      <w:pPr>
        <w:spacing w:after="0" w:line="43"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17"/>
          <w:szCs w:val="17"/>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71"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68"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101"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0"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9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7"/>
          <w:szCs w:val="17"/>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8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32" w:name="page33"/>
    <w:bookmarkEnd w:id="32"/>
    <w:p>
      <w:pPr>
        <w:ind w:right="60"/>
        <w:spacing w:after="0" w:line="243" w:lineRule="auto"/>
        <w:rPr>
          <w:sz w:val="20"/>
          <w:szCs w:val="20"/>
          <w:color w:val="auto"/>
        </w:rPr>
      </w:pPr>
      <w:r>
        <w:rPr>
          <w:rFonts w:ascii="Times New Roman" w:cs="Times New Roman" w:eastAsia="Times New Roman" w:hAnsi="Times New Roman"/>
          <w:sz w:val="18"/>
          <w:szCs w:val="18"/>
          <w:color w:val="auto"/>
        </w:rPr>
        <w:t>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9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will depend on many factors, which may include the following:</w:t>
      </w:r>
    </w:p>
    <w:p>
      <w:pPr>
        <w:spacing w:after="0" w:line="101" w:lineRule="exact"/>
        <w:rPr>
          <w:sz w:val="20"/>
          <w:szCs w:val="20"/>
          <w:color w:val="auto"/>
        </w:rPr>
      </w:pPr>
    </w:p>
    <w:p>
      <w:pPr>
        <w:ind w:left="1020" w:right="280" w:hanging="503"/>
        <w:spacing w:after="0" w:line="27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00" w:lineRule="exact"/>
        <w:rPr>
          <w:rFonts w:ascii="Times New Roman" w:cs="Times New Roman" w:eastAsia="Times New Roman" w:hAnsi="Times New Roman"/>
          <w:sz w:val="18"/>
          <w:szCs w:val="18"/>
          <w:color w:val="auto"/>
        </w:rPr>
      </w:pPr>
    </w:p>
    <w:p>
      <w:pPr>
        <w:ind w:left="1020" w:right="320" w:hanging="503"/>
        <w:spacing w:after="0" w:line="27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42" w:lineRule="exact"/>
        <w:rPr>
          <w:rFonts w:ascii="Times New Roman" w:cs="Times New Roman" w:eastAsia="Times New Roman" w:hAnsi="Times New Roman"/>
          <w:sz w:val="18"/>
          <w:szCs w:val="18"/>
          <w:color w:val="auto"/>
        </w:rPr>
      </w:pPr>
    </w:p>
    <w:p>
      <w:pPr>
        <w:ind w:left="1020" w:right="40" w:hanging="503"/>
        <w:spacing w:after="0" w:line="26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68" w:lineRule="exact"/>
        <w:rPr>
          <w:rFonts w:ascii="Times New Roman" w:cs="Times New Roman" w:eastAsia="Times New Roman" w:hAnsi="Times New Roman"/>
          <w:sz w:val="18"/>
          <w:szCs w:val="18"/>
          <w:color w:val="auto"/>
        </w:rPr>
      </w:pPr>
    </w:p>
    <w:p>
      <w:pPr>
        <w:ind w:left="1020" w:right="240" w:hanging="503"/>
        <w:spacing w:after="0" w:line="26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00" w:lineRule="exact"/>
        <w:rPr>
          <w:rFonts w:ascii="Times New Roman" w:cs="Times New Roman" w:eastAsia="Times New Roman" w:hAnsi="Times New Roman"/>
          <w:sz w:val="18"/>
          <w:szCs w:val="18"/>
          <w:color w:val="auto"/>
        </w:rPr>
      </w:pPr>
    </w:p>
    <w:p>
      <w:pPr>
        <w:ind w:left="1020" w:right="260" w:hanging="503"/>
        <w:spacing w:after="0" w:line="27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42" w:lineRule="exact"/>
        <w:rPr>
          <w:rFonts w:ascii="Times New Roman" w:cs="Times New Roman" w:eastAsia="Times New Roman" w:hAnsi="Times New Roman"/>
          <w:sz w:val="18"/>
          <w:szCs w:val="18"/>
          <w:color w:val="auto"/>
        </w:rPr>
      </w:pPr>
    </w:p>
    <w:p>
      <w:pPr>
        <w:ind w:left="1020" w:right="160" w:hanging="503"/>
        <w:spacing w:after="0" w:line="292"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3"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00" w:lineRule="exact"/>
        <w:rPr>
          <w:rFonts w:ascii="Times New Roman" w:cs="Times New Roman" w:eastAsia="Times New Roman" w:hAnsi="Times New Roman"/>
          <w:sz w:val="18"/>
          <w:szCs w:val="18"/>
          <w:color w:val="auto"/>
        </w:rPr>
      </w:pPr>
    </w:p>
    <w:p>
      <w:pPr>
        <w:ind w:left="1020" w:right="60" w:hanging="503"/>
        <w:spacing w:after="0" w:line="26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3" w:name="page34"/>
    <w:bookmarkEnd w:id="33"/>
    <w:p>
      <w:pPr>
        <w:ind w:firstLine="509"/>
        <w:spacing w:after="0" w:line="24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27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6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204"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3" w:lineRule="exact"/>
        <w:rPr>
          <w:sz w:val="20"/>
          <w:szCs w:val="20"/>
          <w:color w:val="auto"/>
        </w:rPr>
      </w:pPr>
    </w:p>
    <w:p>
      <w:pPr>
        <w:ind w:left="1020" w:right="520" w:hanging="503"/>
        <w:spacing w:after="0" w:line="27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00" w:lineRule="exact"/>
        <w:rPr>
          <w:rFonts w:ascii="Times New Roman" w:cs="Times New Roman" w:eastAsia="Times New Roman" w:hAnsi="Times New Roman"/>
          <w:sz w:val="18"/>
          <w:szCs w:val="18"/>
          <w:color w:val="auto"/>
        </w:rPr>
      </w:pPr>
    </w:p>
    <w:p>
      <w:pPr>
        <w:ind w:left="1020" w:right="320" w:hanging="503"/>
        <w:spacing w:after="0" w:line="27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w:t>
      </w:r>
    </w:p>
    <w:p>
      <w:pPr>
        <w:spacing w:after="0" w:line="42" w:lineRule="exact"/>
        <w:rPr>
          <w:rFonts w:ascii="Times New Roman" w:cs="Times New Roman" w:eastAsia="Times New Roman" w:hAnsi="Times New Roman"/>
          <w:sz w:val="18"/>
          <w:szCs w:val="18"/>
          <w:color w:val="auto"/>
        </w:rPr>
      </w:pPr>
    </w:p>
    <w:p>
      <w:pPr>
        <w:ind w:left="1020" w:right="2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other global-scale potentially catastrophic events, including other pandemics, terrorism, war, and climate changes.</w:t>
      </w:r>
    </w:p>
    <w:p>
      <w:pPr>
        <w:spacing w:after="0" w:line="208" w:lineRule="exact"/>
        <w:rPr>
          <w:sz w:val="20"/>
          <w:szCs w:val="20"/>
          <w:color w:val="auto"/>
        </w:rPr>
      </w:pPr>
    </w:p>
    <w:p>
      <w:pPr>
        <w:jc w:val="both"/>
        <w:ind w:right="100" w:firstLine="509"/>
        <w:spacing w:after="0" w:line="248"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4" w:name="page35"/>
    <w:bookmarkEnd w:id="34"/>
    <w:p>
      <w:pPr>
        <w:ind w:right="4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29" w:lineRule="exact"/>
        <w:rPr>
          <w:sz w:val="20"/>
          <w:szCs w:val="20"/>
          <w:color w:val="auto"/>
        </w:rPr>
      </w:pPr>
    </w:p>
    <w:p>
      <w:pPr>
        <w:ind w:right="180" w:firstLine="509"/>
        <w:spacing w:after="0"/>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00" w:lineRule="exact"/>
        <w:rPr>
          <w:rFonts w:ascii="Times New Roman" w:cs="Times New Roman" w:eastAsia="Times New Roman" w:hAnsi="Times New Roman"/>
          <w:sz w:val="18"/>
          <w:szCs w:val="18"/>
          <w:color w:val="auto"/>
        </w:rPr>
      </w:pPr>
    </w:p>
    <w:p>
      <w:pPr>
        <w:ind w:left="1020" w:hanging="503"/>
        <w:spacing w:after="0" w:line="26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68" w:lineRule="exact"/>
        <w:rPr>
          <w:rFonts w:ascii="Times New Roman" w:cs="Times New Roman" w:eastAsia="Times New Roman" w:hAnsi="Times New Roman"/>
          <w:sz w:val="18"/>
          <w:szCs w:val="18"/>
          <w:color w:val="auto"/>
        </w:rPr>
      </w:pPr>
    </w:p>
    <w:p>
      <w:pPr>
        <w:ind w:left="1020" w:right="140" w:hanging="503"/>
        <w:spacing w:after="0" w:line="26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4" w:lineRule="exact"/>
        <w:rPr>
          <w:rFonts w:ascii="Times New Roman" w:cs="Times New Roman" w:eastAsia="Times New Roman" w:hAnsi="Times New Roman"/>
          <w:sz w:val="18"/>
          <w:szCs w:val="18"/>
          <w:color w:val="auto"/>
        </w:rPr>
      </w:pPr>
    </w:p>
    <w:p>
      <w:pPr>
        <w:ind w:left="1020" w:right="60" w:hanging="503"/>
        <w:spacing w:after="0" w:line="26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5" w:lineRule="exact"/>
        <w:rPr>
          <w:rFonts w:ascii="Times New Roman" w:cs="Times New Roman" w:eastAsia="Times New Roman" w:hAnsi="Times New Roman"/>
          <w:sz w:val="18"/>
          <w:szCs w:val="18"/>
          <w:color w:val="auto"/>
        </w:rPr>
      </w:pPr>
    </w:p>
    <w:p>
      <w:pPr>
        <w:ind w:left="1020" w:right="240" w:hanging="503"/>
        <w:spacing w:after="0" w:line="27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42" w:lineRule="exact"/>
        <w:rPr>
          <w:rFonts w:ascii="Times New Roman" w:cs="Times New Roman" w:eastAsia="Times New Roman" w:hAnsi="Times New Roman"/>
          <w:sz w:val="18"/>
          <w:szCs w:val="18"/>
          <w:color w:val="auto"/>
        </w:rPr>
      </w:pPr>
    </w:p>
    <w:p>
      <w:pPr>
        <w:ind w:left="1020" w:right="140" w:hanging="503"/>
        <w:spacing w:after="0" w:line="26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5" w:lineRule="exact"/>
        <w:rPr>
          <w:rFonts w:ascii="Times New Roman" w:cs="Times New Roman" w:eastAsia="Times New Roman" w:hAnsi="Times New Roman"/>
          <w:sz w:val="18"/>
          <w:szCs w:val="18"/>
          <w:color w:val="auto"/>
        </w:rPr>
      </w:pPr>
    </w:p>
    <w:p>
      <w:pPr>
        <w:ind w:left="1020" w:right="160" w:hanging="503"/>
        <w:spacing w:after="0" w:line="27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15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93"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5" w:name="page36"/>
    <w:bookmarkEnd w:id="35"/>
    <w:p>
      <w:pPr>
        <w:ind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 As another example, in March 2022, we discontinued further development of our ASO drug candidate for CHB, ALG-020572, due to an unanticipated serious adverse event involving significant increase in alanine aminotransferase (ALT) in one CHB subject and several other subjects experiencing ALT flares in the same study.</w:t>
      </w:r>
    </w:p>
    <w:p>
      <w:pPr>
        <w:spacing w:after="0" w:line="17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3" w:lineRule="exact"/>
        <w:rPr>
          <w:sz w:val="20"/>
          <w:szCs w:val="20"/>
          <w:color w:val="auto"/>
        </w:rPr>
      </w:pPr>
    </w:p>
    <w:p>
      <w:pPr>
        <w:ind w:left="1020" w:right="160" w:hanging="503"/>
        <w:spacing w:after="0" w:line="26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68" w:lineRule="exact"/>
        <w:rPr>
          <w:rFonts w:ascii="Times New Roman" w:cs="Times New Roman" w:eastAsia="Times New Roman" w:hAnsi="Times New Roman"/>
          <w:sz w:val="18"/>
          <w:szCs w:val="18"/>
          <w:color w:val="auto"/>
        </w:rPr>
      </w:pPr>
    </w:p>
    <w:p>
      <w:pPr>
        <w:ind w:left="1020" w:right="360" w:hanging="503"/>
        <w:spacing w:after="0" w:line="26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4" w:lineRule="exact"/>
        <w:rPr>
          <w:rFonts w:ascii="Times New Roman" w:cs="Times New Roman" w:eastAsia="Times New Roman" w:hAnsi="Times New Roman"/>
          <w:sz w:val="18"/>
          <w:szCs w:val="18"/>
          <w:color w:val="auto"/>
        </w:rPr>
      </w:pPr>
    </w:p>
    <w:p>
      <w:pPr>
        <w:ind w:left="1020" w:right="220" w:hanging="503"/>
        <w:spacing w:after="0" w:line="26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5" w:lineRule="exact"/>
        <w:rPr>
          <w:rFonts w:ascii="Times New Roman" w:cs="Times New Roman" w:eastAsia="Times New Roman" w:hAnsi="Times New Roman"/>
          <w:sz w:val="18"/>
          <w:szCs w:val="18"/>
          <w:color w:val="auto"/>
        </w:rPr>
      </w:pPr>
    </w:p>
    <w:p>
      <w:pPr>
        <w:ind w:left="1020" w:hanging="503"/>
        <w:spacing w:after="0" w:line="309"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18" w:lineRule="exact"/>
        <w:rPr>
          <w:rFonts w:ascii="Times New Roman" w:cs="Times New Roman" w:eastAsia="Times New Roman" w:hAnsi="Times New Roman"/>
          <w:sz w:val="17"/>
          <w:szCs w:val="17"/>
          <w:color w:val="auto"/>
        </w:rPr>
      </w:pPr>
    </w:p>
    <w:p>
      <w:pPr>
        <w:ind w:left="1020" w:right="140" w:hanging="503"/>
        <w:spacing w:after="0" w:line="26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68" w:lineRule="exact"/>
        <w:rPr>
          <w:rFonts w:ascii="Times New Roman" w:cs="Times New Roman" w:eastAsia="Times New Roman" w:hAnsi="Times New Roman"/>
          <w:sz w:val="18"/>
          <w:szCs w:val="18"/>
          <w:color w:val="auto"/>
        </w:rPr>
      </w:pPr>
    </w:p>
    <w:p>
      <w:pPr>
        <w:ind w:left="1020" w:right="400" w:hanging="503"/>
        <w:spacing w:after="0" w:line="26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6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80" w:lineRule="exact"/>
        <w:rPr>
          <w:sz w:val="20"/>
          <w:szCs w:val="20"/>
          <w:color w:val="auto"/>
        </w:rPr>
      </w:pPr>
    </w:p>
    <w:p>
      <w:pPr>
        <w:ind w:right="220" w:firstLine="509"/>
        <w:spacing w:after="0" w:line="248" w:lineRule="auto"/>
        <w:rPr>
          <w:sz w:val="20"/>
          <w:szCs w:val="20"/>
          <w:color w:val="auto"/>
        </w:rPr>
      </w:pPr>
      <w:r>
        <w:rPr>
          <w:rFonts w:ascii="Times New Roman" w:cs="Times New Roman" w:eastAsia="Times New Roman" w:hAnsi="Times New Roman"/>
          <w:sz w:val="18"/>
          <w:szCs w:val="18"/>
          <w:color w:val="auto"/>
        </w:rPr>
        <w:t>Further, we are currently conducting clinical trials of in many countries (e.g., New Zealand, Hong Kong, the United Kingdom). We may also in the future conduct clinical trials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6" w:name="page37"/>
    <w:bookmarkEnd w:id="36"/>
    <w:p>
      <w:pPr>
        <w:ind w:right="100"/>
        <w:spacing w:after="0" w:line="255" w:lineRule="auto"/>
        <w:rPr>
          <w:sz w:val="20"/>
          <w:szCs w:val="20"/>
          <w:color w:val="auto"/>
        </w:rPr>
      </w:pPr>
      <w:r>
        <w:rPr>
          <w:rFonts w:ascii="Times New Roman" w:cs="Times New Roman" w:eastAsia="Times New Roman" w:hAnsi="Times New Roman"/>
          <w:sz w:val="18"/>
          <w:szCs w:val="18"/>
          <w:color w:val="auto"/>
        </w:rPr>
        <w:t>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42" w:lineRule="exact"/>
        <w:rPr>
          <w:sz w:val="20"/>
          <w:szCs w:val="20"/>
          <w:color w:val="auto"/>
        </w:rPr>
      </w:pPr>
    </w:p>
    <w:p>
      <w:pPr>
        <w:ind w:right="120" w:firstLine="509"/>
        <w:spacing w:after="0" w:line="216" w:lineRule="exact"/>
        <w:rPr>
          <w:sz w:val="20"/>
          <w:szCs w:val="20"/>
          <w:color w:val="auto"/>
        </w:rPr>
      </w:pPr>
      <w:r>
        <w:rPr>
          <w:rFonts w:ascii="Times New Roman" w:cs="Times New Roman" w:eastAsia="Times New Roman" w:hAnsi="Times New Roman"/>
          <w:sz w:val="17"/>
          <w:szCs w:val="17"/>
          <w:color w:val="auto"/>
        </w:rPr>
        <w:t>Specifically, the clinical trial sites for our current drug trials, including for ALG-000184 and ALG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055009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184"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78" w:lineRule="exact"/>
        <w:rPr>
          <w:sz w:val="20"/>
          <w:szCs w:val="20"/>
          <w:color w:val="auto"/>
        </w:rPr>
      </w:pPr>
    </w:p>
    <w:p>
      <w:pPr>
        <w:jc w:val="both"/>
        <w:ind w:right="80" w:firstLine="509"/>
        <w:spacing w:after="0" w:line="247" w:lineRule="auto"/>
        <w:rPr>
          <w:sz w:val="20"/>
          <w:szCs w:val="20"/>
          <w:color w:val="auto"/>
        </w:rPr>
      </w:pPr>
      <w:r>
        <w:rPr>
          <w:rFonts w:ascii="Times New Roman" w:cs="Times New Roman" w:eastAsia="Times New Roman" w:hAnsi="Times New Roman"/>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294"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52" w:lineRule="exact"/>
        <w:rPr>
          <w:sz w:val="20"/>
          <w:szCs w:val="20"/>
          <w:color w:val="auto"/>
        </w:rPr>
      </w:pPr>
    </w:p>
    <w:p>
      <w:pPr>
        <w:ind w:right="240" w:firstLine="509"/>
        <w:spacing w:after="0" w:line="245" w:lineRule="auto"/>
        <w:rPr>
          <w:sz w:val="20"/>
          <w:szCs w:val="20"/>
          <w:color w:val="auto"/>
        </w:rPr>
      </w:pPr>
      <w:r>
        <w:rPr>
          <w:rFonts w:ascii="Times New Roman" w:cs="Times New Roman" w:eastAsia="Times New Roman" w:hAnsi="Times New Roman"/>
          <w:sz w:val="18"/>
          <w:szCs w:val="18"/>
          <w:color w:val="auto"/>
        </w:rPr>
        <w:t>We have invested, and will continue to invest, a significant portion of our time and financial resources in the pursuit of a treatment for NASH, including ALG-055009, our THR-b 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93" w:lineRule="exact"/>
        <w:rPr>
          <w:sz w:val="20"/>
          <w:szCs w:val="20"/>
          <w:color w:val="auto"/>
        </w:rPr>
      </w:pPr>
    </w:p>
    <w:p>
      <w:pPr>
        <w:jc w:val="both"/>
        <w:ind w:right="200" w:firstLine="509"/>
        <w:spacing w:after="0" w:line="269" w:lineRule="auto"/>
        <w:rPr>
          <w:sz w:val="20"/>
          <w:szCs w:val="20"/>
          <w:color w:val="auto"/>
        </w:rPr>
      </w:pPr>
      <w:r>
        <w:rPr>
          <w:rFonts w:ascii="Times New Roman" w:cs="Times New Roman" w:eastAsia="Times New Roman" w:hAnsi="Times New Roman"/>
          <w:sz w:val="17"/>
          <w:szCs w:val="17"/>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105" w:lineRule="exact"/>
        <w:rPr>
          <w:sz w:val="20"/>
          <w:szCs w:val="20"/>
          <w:color w:val="auto"/>
        </w:rPr>
      </w:pPr>
    </w:p>
    <w:p>
      <w:pPr>
        <w:ind w:right="260" w:firstLine="509"/>
        <w:spacing w:after="0" w:line="248"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p>
    <w:p>
      <w:pPr>
        <w:spacing w:after="0" w:line="175" w:lineRule="exact"/>
        <w:rPr>
          <w:sz w:val="20"/>
          <w:szCs w:val="20"/>
          <w:color w:val="auto"/>
        </w:rPr>
      </w:pPr>
    </w:p>
    <w:p>
      <w:pPr>
        <w:ind w:right="180" w:firstLine="509"/>
        <w:spacing w:after="0" w:line="278"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(the KU Leuven Agreement) with Katholieke Universiteit Leuven (KU Leuven) under which we are collaborating with KU Leuven’s Rega Institute for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right="220"/>
        <w:spacing w:after="0" w:line="248" w:lineRule="auto"/>
        <w:rPr>
          <w:sz w:val="20"/>
          <w:szCs w:val="20"/>
          <w:color w:val="auto"/>
        </w:rPr>
      </w:pPr>
      <w:r>
        <w:rPr>
          <w:rFonts w:ascii="Times New Roman" w:cs="Times New Roman" w:eastAsia="Times New Roman" w:hAnsi="Times New Roman"/>
          <w:sz w:val="18"/>
          <w:szCs w:val="18"/>
          <w:color w:val="auto"/>
        </w:rPr>
        <w:t>Medical Research, as well as its Centre for Drug Design and Discovery, to research, develop, manufacture and commercialize potential protease inhibitors for the treatment of coronaviruses, including SARS-CoV-2. The KU Leuven Agreement may not result in a therapy that successfully treats SARS-CoV-2.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176"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and Moderna mRNA-1273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88"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63"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Also, Enanta Pharmaceuticals recently announced dosing of its first subject in a Phase 1 clinical trial for EDP-235 which is its lead oral protease inhibitor specifically designed for the treatment of COVID-19, and that EDP-235 received FDA Fast Track Designation. Additionally, Pardes Biosciences protease inhibitor, PBI-0451, is currently in Phase 1 clinical study with top-line results expected to be reported in the first quarter of 2022 and where early results showing potential for an unboosted oral regimen against COVID-19. Furthermore, Novartis is working on a once a day, pan-coronavirus, main protease inhibitor pill and plans to start human testing in 2022; Shionogi has filed for manufacture and sales approval in Japan for its oral therapeutic drug for COVID-19, S-217622, a 3CL protease inhibitor for which Shiongoi has completed the analysis of primary endpoints in its Phase 2b part of a Phase 2/3 clinical trial; and Ascletis Pharma Inc. recently announced that is oral small molecule drug candidate ASC11, a 3CL protease inhibitor, demonstrated potential to be effective treatment for COVID-19 and expects to file an IND in the second half of 2022 and complete a Phase 1 clinical trial in healthy subjects by end of 2022. Faced with such competitor efforts, the value and/or market potential of our COVID-19 protease inhibitor program which is further behind in terms of the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and Janssen Pharmaceutical Companies of Johnson &amp; Johnson,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Novavax, Inc., Regeneron Pharmaceuticals Inc., Synairgen plc, Takeda Pharmaceutical Company Limited, Vaxart, Inc., and Veru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ind w:right="2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3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78"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105"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05" w:lineRule="exact"/>
        <w:rPr>
          <w:sz w:val="20"/>
          <w:szCs w:val="20"/>
          <w:color w:val="auto"/>
        </w:rPr>
      </w:pPr>
    </w:p>
    <w:p>
      <w:pPr>
        <w:ind w:firstLine="509"/>
        <w:spacing w:after="0" w:line="208" w:lineRule="exact"/>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including the preliminary data with respect to our CAM candidate, ALG-000184 and our THR-b agonist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1"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39" w:name="page40"/>
    <w:bookmarkEnd w:id="39"/>
    <w:p>
      <w:pPr>
        <w:ind w:right="80"/>
        <w:spacing w:after="0" w:line="245"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1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8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00" w:lineRule="exact"/>
        <w:rPr>
          <w:rFonts w:ascii="Times New Roman" w:cs="Times New Roman" w:eastAsia="Times New Roman" w:hAnsi="Times New Roman"/>
          <w:sz w:val="18"/>
          <w:szCs w:val="18"/>
          <w:color w:val="auto"/>
        </w:rPr>
      </w:pPr>
    </w:p>
    <w:p>
      <w:pPr>
        <w:ind w:left="1020" w:right="100" w:hanging="503"/>
        <w:spacing w:after="0" w:line="263"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8" w:lineRule="exact"/>
        <w:rPr>
          <w:rFonts w:ascii="Times New Roman" w:cs="Times New Roman" w:eastAsia="Times New Roman" w:hAnsi="Times New Roman"/>
          <w:sz w:val="18"/>
          <w:szCs w:val="18"/>
          <w:color w:val="auto"/>
        </w:rPr>
      </w:pPr>
    </w:p>
    <w:p>
      <w:pPr>
        <w:ind w:left="1020" w:right="360" w:hanging="503"/>
        <w:spacing w:after="0" w:line="263"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biopsies for future patient enrichment efforts;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4" w:lineRule="exact"/>
        <w:rPr>
          <w:rFonts w:ascii="Times New Roman" w:cs="Times New Roman" w:eastAsia="Times New Roman" w:hAnsi="Times New Roman"/>
          <w:sz w:val="18"/>
          <w:szCs w:val="18"/>
          <w:color w:val="auto"/>
        </w:rPr>
      </w:pPr>
    </w:p>
    <w:p>
      <w:pPr>
        <w:ind w:left="1020" w:right="280" w:hanging="503"/>
        <w:spacing w:after="0" w:line="263"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or public health pandemics or epidemics or other business interruptions, including the current COVID-19 pandemic and future outbreaks of the virus.</w:t>
      </w:r>
    </w:p>
    <w:p>
      <w:pPr>
        <w:spacing w:after="0" w:line="162"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80" w:lineRule="exact"/>
        <w:rPr>
          <w:sz w:val="20"/>
          <w:szCs w:val="20"/>
          <w:color w:val="auto"/>
        </w:rPr>
      </w:pPr>
    </w:p>
    <w:p>
      <w:pPr>
        <w:ind w:right="200" w:firstLine="509"/>
        <w:spacing w:after="0" w:line="278"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10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6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0" w:name="page41"/>
    <w:bookmarkEnd w:id="40"/>
    <w:p>
      <w:pPr>
        <w:ind w:right="6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0"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9"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7"/>
          <w:szCs w:val="17"/>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97"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0" w:lineRule="exact"/>
        <w:rPr>
          <w:sz w:val="20"/>
          <w:szCs w:val="20"/>
          <w:color w:val="auto"/>
        </w:rPr>
      </w:pPr>
    </w:p>
    <w:p>
      <w:pPr>
        <w:ind w:right="220" w:firstLine="509"/>
        <w:spacing w:after="0" w:line="248"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9"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5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00" w:lineRule="exact"/>
        <w:rPr>
          <w:rFonts w:ascii="Times New Roman" w:cs="Times New Roman" w:eastAsia="Times New Roman" w:hAnsi="Times New Roman"/>
          <w:sz w:val="18"/>
          <w:szCs w:val="18"/>
          <w:color w:val="auto"/>
        </w:rPr>
      </w:pPr>
    </w:p>
    <w:p>
      <w:pPr>
        <w:ind w:left="1020" w:right="560" w:hanging="503"/>
        <w:spacing w:after="0" w:line="263"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4" w:lineRule="exact"/>
        <w:rPr>
          <w:rFonts w:ascii="Times New Roman" w:cs="Times New Roman" w:eastAsia="Times New Roman" w:hAnsi="Times New Roman"/>
          <w:sz w:val="18"/>
          <w:szCs w:val="18"/>
          <w:color w:val="auto"/>
        </w:rPr>
      </w:pPr>
    </w:p>
    <w:p>
      <w:pPr>
        <w:ind w:left="1020" w:right="80" w:hanging="503"/>
        <w:spacing w:after="0" w:line="263"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1" w:name="page42"/>
    <w:bookmarkEnd w:id="41"/>
    <w:p>
      <w:pPr>
        <w:ind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6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4"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98" w:lineRule="exact"/>
        <w:rPr>
          <w:sz w:val="20"/>
          <w:szCs w:val="20"/>
          <w:color w:val="auto"/>
        </w:rPr>
      </w:pPr>
    </w:p>
    <w:p>
      <w:pPr>
        <w:ind w:right="200" w:firstLine="509"/>
        <w:spacing w:after="0" w:line="263"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6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7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00" w:lineRule="exact"/>
        <w:rPr>
          <w:rFonts w:ascii="Times New Roman" w:cs="Times New Roman" w:eastAsia="Times New Roman" w:hAnsi="Times New Roman"/>
          <w:sz w:val="18"/>
          <w:szCs w:val="18"/>
          <w:color w:val="auto"/>
        </w:rPr>
      </w:pPr>
    </w:p>
    <w:p>
      <w:pPr>
        <w:ind w:left="1020" w:right="20" w:hanging="503"/>
        <w:spacing w:after="0" w:line="263"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42" w:name="page43"/>
    <w:bookmarkEnd w:id="42"/>
    <w:p>
      <w:pPr>
        <w:ind w:right="1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3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78"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7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5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29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4" w:lineRule="exact"/>
        <w:rPr>
          <w:rFonts w:ascii="Times New Roman" w:cs="Times New Roman" w:eastAsia="Times New Roman" w:hAnsi="Times New Roman"/>
          <w:sz w:val="18"/>
          <w:szCs w:val="18"/>
          <w:color w:val="auto"/>
        </w:rPr>
      </w:pPr>
    </w:p>
    <w:p>
      <w:pPr>
        <w:ind w:left="1020" w:right="560" w:hanging="503"/>
        <w:spacing w:after="0" w:line="263"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43" w:name="page44"/>
    <w:bookmarkEnd w:id="43"/>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8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38"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20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are currently conducting clinical trials in multiple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284" w:lineRule="exact"/>
        <w:rPr>
          <w:sz w:val="20"/>
          <w:szCs w:val="20"/>
          <w:color w:val="auto"/>
        </w:rPr>
      </w:pPr>
    </w:p>
    <w:p>
      <w:pPr>
        <w:ind w:right="8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3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63" w:lineRule="exact"/>
        <w:rPr>
          <w:sz w:val="20"/>
          <w:szCs w:val="20"/>
          <w:color w:val="auto"/>
        </w:rPr>
      </w:pPr>
    </w:p>
    <w:p>
      <w:pPr>
        <w:ind w:left="1020" w:right="740" w:hanging="503"/>
        <w:spacing w:after="0" w:line="263"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0" w:lineRule="exact"/>
        <w:rPr>
          <w:rFonts w:ascii="Times New Roman" w:cs="Times New Roman" w:eastAsia="Times New Roman" w:hAnsi="Times New Roman"/>
          <w:sz w:val="18"/>
          <w:szCs w:val="18"/>
          <w:color w:val="auto"/>
        </w:rPr>
      </w:pPr>
    </w:p>
    <w:p>
      <w:pPr>
        <w:ind w:left="1020" w:right="60" w:hanging="503"/>
        <w:spacing w:after="0" w:line="27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44" w:name="page45"/>
    <w:bookmarkEnd w:id="44"/>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00" w:lineRule="exact"/>
        <w:rPr>
          <w:rFonts w:ascii="Times New Roman" w:cs="Times New Roman" w:eastAsia="Times New Roman" w:hAnsi="Times New Roman"/>
          <w:sz w:val="18"/>
          <w:szCs w:val="18"/>
          <w:color w:val="auto"/>
        </w:rPr>
      </w:pPr>
    </w:p>
    <w:p>
      <w:pPr>
        <w:ind w:left="1020" w:right="240" w:hanging="503"/>
        <w:spacing w:after="0" w:line="263"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ongoing COVID-19 pandemic).</w:t>
      </w:r>
    </w:p>
    <w:p>
      <w:pPr>
        <w:spacing w:after="0" w:line="208" w:lineRule="exact"/>
        <w:rPr>
          <w:sz w:val="20"/>
          <w:szCs w:val="20"/>
          <w:color w:val="auto"/>
        </w:rPr>
      </w:pPr>
    </w:p>
    <w:p>
      <w:pPr>
        <w:ind w:right="460" w:firstLine="509"/>
        <w:spacing w:after="0" w:line="263"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2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6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7"/>
          <w:szCs w:val="17"/>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282"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3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45" w:name="page46"/>
    <w:bookmarkEnd w:id="45"/>
    <w:p>
      <w:pPr>
        <w:ind w:firstLine="515"/>
        <w:spacing w:after="0" w:line="242" w:lineRule="auto"/>
        <w:rPr>
          <w:sz w:val="20"/>
          <w:szCs w:val="20"/>
          <w:color w:val="auto"/>
        </w:rPr>
      </w:pPr>
      <w:r>
        <w:rPr>
          <w:rFonts w:ascii="Times New Roman" w:cs="Times New Roman" w:eastAsia="Times New Roman" w:hAnsi="Times New Roman"/>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70" w:lineRule="exact"/>
        <w:rPr>
          <w:sz w:val="20"/>
          <w:szCs w:val="20"/>
          <w:color w:val="auto"/>
        </w:rPr>
      </w:pPr>
    </w:p>
    <w:p>
      <w:pPr>
        <w:ind w:firstLine="515"/>
        <w:spacing w:after="0" w:line="230" w:lineRule="auto"/>
        <w:rPr>
          <w:sz w:val="20"/>
          <w:szCs w:val="20"/>
          <w:color w:val="auto"/>
        </w:rPr>
      </w:pPr>
      <w:r>
        <w:rPr>
          <w:rFonts w:ascii="Times New Roman" w:cs="Times New Roman" w:eastAsia="Times New Roman" w:hAnsi="Times New Roman"/>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274"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38"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274"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9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line="242" w:lineRule="auto"/>
        <w:rPr>
          <w:sz w:val="20"/>
          <w:szCs w:val="20"/>
          <w:color w:val="auto"/>
        </w:rPr>
      </w:pPr>
      <w:r>
        <w:rPr>
          <w:rFonts w:ascii="Times New Roman" w:cs="Times New Roman" w:eastAsia="Times New Roman" w:hAnsi="Times New Roman"/>
          <w:sz w:val="18"/>
          <w:szCs w:val="18"/>
          <w:color w:val="auto"/>
        </w:rPr>
        <w:t>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2021.The availability of such COVID-19 vaccines and each of Pfizer’s and Merck’s oral COVID-19 drug may reduce or eliminate the need for our potential COVID therapies to treat the disease and therefore negatively impact the commercial opportunity therefor.</w:t>
      </w:r>
    </w:p>
    <w:p>
      <w:pPr>
        <w:spacing w:after="0" w:line="74"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8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80" w:lineRule="exact"/>
        <w:rPr>
          <w:sz w:val="20"/>
          <w:szCs w:val="20"/>
          <w:color w:val="auto"/>
        </w:rPr>
      </w:pPr>
    </w:p>
    <w:p>
      <w:pPr>
        <w:ind w:right="340" w:firstLine="509"/>
        <w:spacing w:after="0" w:line="278"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50" w:lineRule="exact"/>
        <w:rPr>
          <w:sz w:val="20"/>
          <w:szCs w:val="20"/>
          <w:color w:val="auto"/>
        </w:rPr>
      </w:pPr>
    </w:p>
    <w:p>
      <w:pPr>
        <w:jc w:val="both"/>
        <w:ind w:right="20" w:firstLine="509"/>
        <w:spacing w:after="0" w:line="247"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91"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29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52"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47" w:name="page48"/>
    <w:bookmarkEnd w:id="47"/>
    <w:p>
      <w:pPr>
        <w:ind w:right="500"/>
        <w:spacing w:after="0" w:line="278" w:lineRule="auto"/>
        <w:rPr>
          <w:sz w:val="20"/>
          <w:szCs w:val="20"/>
          <w:color w:val="auto"/>
        </w:rPr>
      </w:pPr>
      <w:r>
        <w:rPr>
          <w:rFonts w:ascii="Times New Roman" w:cs="Times New Roman" w:eastAsia="Times New Roman" w:hAnsi="Times New Roman"/>
          <w:sz w:val="18"/>
          <w:szCs w:val="18"/>
          <w:color w:val="auto"/>
        </w:rPr>
        <w:t>owner and NDA holder and if, within 45 days of receiving notice, either the patent owner or NDA holder sues for patent infringement, approval of the ANDA or 505(b)(2) NDA is stayed for up to 30 months.</w:t>
      </w:r>
    </w:p>
    <w:p>
      <w:pPr>
        <w:spacing w:after="0" w:line="150"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7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52"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93"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8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48" w:name="page49"/>
    <w:bookmarkEnd w:id="48"/>
    <w:p>
      <w:pPr>
        <w:ind w:right="440"/>
        <w:spacing w:after="0" w:line="278" w:lineRule="auto"/>
        <w:rPr>
          <w:sz w:val="20"/>
          <w:szCs w:val="20"/>
          <w:color w:val="auto"/>
        </w:rPr>
      </w:pPr>
      <w:r>
        <w:rPr>
          <w:rFonts w:ascii="Times New Roman" w:cs="Times New Roman" w:eastAsia="Times New Roman" w:hAnsi="Times New Roman"/>
          <w:sz w:val="18"/>
          <w:szCs w:val="18"/>
          <w:color w:val="auto"/>
        </w:rPr>
        <w:t>that we develop could have a material adverse effect on our operating results, our ability to raise capital needed to commercialize drugs and our overall financial condition.</w:t>
      </w:r>
    </w:p>
    <w:p>
      <w:pPr>
        <w:spacing w:after="0" w:line="25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6"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75" w:lineRule="exact"/>
        <w:rPr>
          <w:sz w:val="20"/>
          <w:szCs w:val="20"/>
          <w:color w:val="auto"/>
        </w:rPr>
      </w:pPr>
    </w:p>
    <w:p>
      <w:pPr>
        <w:ind w:firstLine="509"/>
        <w:spacing w:after="0" w:line="207" w:lineRule="exact"/>
        <w:rPr>
          <w:sz w:val="20"/>
          <w:szCs w:val="20"/>
          <w:color w:val="auto"/>
        </w:rPr>
      </w:pPr>
      <w:r>
        <w:rPr>
          <w:rFonts w:ascii="Times New Roman" w:cs="Times New Roman" w:eastAsia="Times New Roman" w:hAnsi="Times New Roman"/>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ALG-000184 and ALG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055009.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27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ind w:right="140" w:firstLine="509"/>
        <w:spacing w:after="0" w:line="24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76"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87"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6" w:lineRule="exact"/>
        <w:rPr>
          <w:sz w:val="20"/>
          <w:szCs w:val="20"/>
          <w:color w:val="auto"/>
        </w:rPr>
      </w:pPr>
    </w:p>
    <w:p>
      <w:pPr>
        <w:ind w:right="240" w:firstLine="509"/>
        <w:spacing w:after="0" w:line="243"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0"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76"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0" w:name="page51"/>
    <w:bookmarkEnd w:id="50"/>
    <w:p>
      <w:pPr>
        <w:ind w:right="120"/>
        <w:spacing w:after="0" w:line="278" w:lineRule="auto"/>
        <w:rPr>
          <w:sz w:val="20"/>
          <w:szCs w:val="20"/>
          <w:color w:val="auto"/>
        </w:rPr>
      </w:pPr>
      <w:r>
        <w:rPr>
          <w:rFonts w:ascii="Times New Roman" w:cs="Times New Roman" w:eastAsia="Times New Roman" w:hAnsi="Times New Roman"/>
          <w:sz w:val="18"/>
          <w:szCs w:val="18"/>
          <w:color w:val="auto"/>
        </w:rPr>
        <w:t>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with Emory University and KU Leuven</w:t>
      </w:r>
    </w:p>
    <w:p>
      <w:pPr>
        <w:spacing w:after="0" w:line="10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entered into a License Agreement with Emory in June 2018 (the Emory License Agreement), and a Research, Licensing and Commercialization Agreement (KU Leuven Agreement) with KU Leuven in June 2020. Under the Emory License Agreement and KU Leuven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2021, previously filed with the SEC. If these payments become due under the terms of either the Emory University License Agreement or KU Leuven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8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1" w:lineRule="exact"/>
        <w:rPr>
          <w:sz w:val="20"/>
          <w:szCs w:val="20"/>
          <w:color w:val="auto"/>
        </w:rPr>
      </w:pPr>
    </w:p>
    <w:p>
      <w:pPr>
        <w:ind w:right="280" w:firstLine="509"/>
        <w:spacing w:after="0" w:line="263"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6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18"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80" w:lineRule="exact"/>
        <w:rPr>
          <w:sz w:val="20"/>
          <w:szCs w:val="20"/>
          <w:color w:val="auto"/>
        </w:rPr>
      </w:pPr>
    </w:p>
    <w:p>
      <w:pPr>
        <w:ind w:right="160" w:firstLine="509"/>
        <w:spacing w:after="0" w:line="24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8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7"/>
          <w:szCs w:val="17"/>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 governmental action will be taken to address the COVID-19 pandemic, which could impact our business in an as-yet unknown manner.</w:t>
      </w:r>
    </w:p>
    <w:p>
      <w:pPr>
        <w:spacing w:after="0" w:line="19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2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60"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52" w:name="page53"/>
    <w:bookmarkEnd w:id="52"/>
    <w:p>
      <w:pPr>
        <w:ind w:firstLine="509"/>
        <w:spacing w:after="0" w:line="24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93"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recently passed in California, which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87"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p>
    <w:p>
      <w:pPr>
        <w:spacing w:after="0" w:line="8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3" w:name="page54"/>
    <w:bookmarkEnd w:id="53"/>
    <w:p>
      <w:pPr>
        <w:spacing w:after="0" w:line="259" w:lineRule="auto"/>
        <w:rPr>
          <w:sz w:val="20"/>
          <w:szCs w:val="20"/>
          <w:color w:val="auto"/>
        </w:rPr>
      </w:pPr>
      <w:r>
        <w:rPr>
          <w:rFonts w:ascii="Times New Roman" w:cs="Times New Roman" w:eastAsia="Times New Roman" w:hAnsi="Times New Roman"/>
          <w:sz w:val="17"/>
          <w:szCs w:val="17"/>
          <w:color w:val="auto"/>
        </w:rPr>
        <w:t>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76" w:lineRule="exact"/>
        <w:rPr>
          <w:sz w:val="20"/>
          <w:szCs w:val="20"/>
          <w:color w:val="auto"/>
        </w:rPr>
      </w:pPr>
    </w:p>
    <w:p>
      <w:pPr>
        <w:ind w:right="300" w:firstLine="509"/>
        <w:spacing w:after="0" w:line="244"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CROs or other contractors or consultants, may fail or suffer security breaches.</w:t>
      </w:r>
    </w:p>
    <w:p>
      <w:pPr>
        <w:spacing w:after="0" w:line="10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8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01" w:lineRule="exact"/>
        <w:rPr>
          <w:sz w:val="20"/>
          <w:szCs w:val="20"/>
          <w:color w:val="auto"/>
        </w:rPr>
      </w:pPr>
    </w:p>
    <w:p>
      <w:pPr>
        <w:jc w:val="center"/>
        <w:ind w:left="5540" w:right="1320" w:hanging="5023"/>
        <w:spacing w:after="0" w:line="511" w:lineRule="auto"/>
        <w:tabs>
          <w:tab w:leader="none" w:pos="10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-92710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54" w:name="page55"/>
    <w:bookmarkEnd w:id="54"/>
    <w:p>
      <w:pPr>
        <w:ind w:left="1020" w:right="140" w:hanging="503"/>
        <w:spacing w:after="0" w:line="27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42" w:lineRule="exact"/>
        <w:rPr>
          <w:rFonts w:ascii="Times New Roman" w:cs="Times New Roman" w:eastAsia="Times New Roman" w:hAnsi="Times New Roman"/>
          <w:sz w:val="18"/>
          <w:szCs w:val="18"/>
          <w:color w:val="auto"/>
        </w:rPr>
      </w:pPr>
    </w:p>
    <w:p>
      <w:pPr>
        <w:ind w:left="1020" w:hanging="503"/>
        <w:spacing w:after="0" w:line="263"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68" w:lineRule="exact"/>
        <w:rPr>
          <w:rFonts w:ascii="Times New Roman" w:cs="Times New Roman" w:eastAsia="Times New Roman" w:hAnsi="Times New Roman"/>
          <w:sz w:val="18"/>
          <w:szCs w:val="18"/>
          <w:color w:val="auto"/>
        </w:rPr>
      </w:pPr>
    </w:p>
    <w:p>
      <w:pPr>
        <w:ind w:left="1020" w:right="220" w:hanging="503"/>
        <w:spacing w:after="0" w:line="263"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5"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3" w:lineRule="exact"/>
        <w:rPr>
          <w:rFonts w:ascii="Times New Roman" w:cs="Times New Roman" w:eastAsia="Times New Roman" w:hAnsi="Times New Roman"/>
          <w:sz w:val="18"/>
          <w:szCs w:val="18"/>
          <w:color w:val="auto"/>
        </w:rPr>
      </w:pPr>
    </w:p>
    <w:p>
      <w:pPr>
        <w:ind w:left="1020" w:right="200" w:hanging="503"/>
        <w:spacing w:after="0" w:line="27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00" w:lineRule="exact"/>
        <w:rPr>
          <w:rFonts w:ascii="Times New Roman" w:cs="Times New Roman" w:eastAsia="Times New Roman" w:hAnsi="Times New Roman"/>
          <w:sz w:val="18"/>
          <w:szCs w:val="18"/>
          <w:color w:val="auto"/>
        </w:rPr>
      </w:pPr>
    </w:p>
    <w:p>
      <w:pPr>
        <w:ind w:left="1020" w:right="180" w:hanging="503"/>
        <w:spacing w:after="0" w:line="292"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46" w:lineRule="exact"/>
        <w:rPr>
          <w:rFonts w:ascii="Times New Roman" w:cs="Times New Roman" w:eastAsia="Times New Roman" w:hAnsi="Times New Roman"/>
          <w:sz w:val="17"/>
          <w:szCs w:val="17"/>
          <w:color w:val="auto"/>
        </w:rPr>
      </w:pPr>
    </w:p>
    <w:p>
      <w:pPr>
        <w:ind w:left="1020" w:right="260" w:hanging="503"/>
        <w:spacing w:after="0" w:line="263"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6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28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3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81" w:lineRule="exact"/>
        <w:rPr>
          <w:sz w:val="20"/>
          <w:szCs w:val="20"/>
          <w:color w:val="auto"/>
        </w:rPr>
      </w:pPr>
    </w:p>
    <w:p>
      <w:pPr>
        <w:ind w:right="940" w:firstLine="509"/>
        <w:spacing w:after="0" w:line="263"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55" w:name="page56"/>
    <w:bookmarkEnd w:id="55"/>
    <w:p>
      <w:pPr>
        <w:ind w:right="360" w:firstLine="509"/>
        <w:spacing w:after="0" w:line="278"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150"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81"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6"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7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60" w:lineRule="exact"/>
        <w:rPr>
          <w:sz w:val="20"/>
          <w:szCs w:val="20"/>
          <w:color w:val="auto"/>
        </w:rPr>
      </w:pPr>
    </w:p>
    <w:p>
      <w:pPr>
        <w:ind w:firstLine="509"/>
        <w:spacing w:after="0" w:line="209" w:lineRule="exact"/>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000184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199"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4"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3"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7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9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93" w:lineRule="exact"/>
        <w:rPr>
          <w:sz w:val="20"/>
          <w:szCs w:val="20"/>
          <w:color w:val="auto"/>
        </w:rPr>
      </w:pPr>
    </w:p>
    <w:p>
      <w:pPr>
        <w:ind w:right="340" w:firstLine="509"/>
        <w:spacing w:after="0" w:line="247"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7" w:name="page58"/>
    <w:bookmarkEnd w:id="57"/>
    <w:p>
      <w:pPr>
        <w:jc w:val="both"/>
        <w:spacing w:after="0" w:line="267" w:lineRule="auto"/>
        <w:rPr>
          <w:sz w:val="20"/>
          <w:szCs w:val="20"/>
          <w:color w:val="auto"/>
        </w:rPr>
      </w:pPr>
      <w:r>
        <w:rPr>
          <w:rFonts w:ascii="Times New Roman" w:cs="Times New Roman" w:eastAsia="Times New Roman" w:hAnsi="Times New Roman"/>
          <w:sz w:val="17"/>
          <w:szCs w:val="17"/>
          <w:color w:val="auto"/>
        </w:rPr>
        <w:t>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7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8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180"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93" w:lineRule="exact"/>
        <w:rPr>
          <w:sz w:val="20"/>
          <w:szCs w:val="20"/>
          <w:color w:val="auto"/>
        </w:rPr>
      </w:pPr>
    </w:p>
    <w:p>
      <w:pPr>
        <w:ind w:right="520" w:firstLine="509"/>
        <w:spacing w:after="0" w:line="247"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91" w:lineRule="exact"/>
        <w:rPr>
          <w:sz w:val="20"/>
          <w:szCs w:val="20"/>
          <w:color w:val="auto"/>
        </w:rPr>
      </w:pPr>
    </w:p>
    <w:p>
      <w:pPr>
        <w:jc w:val="both"/>
        <w:ind w:right="220" w:firstLine="509"/>
        <w:spacing w:after="0" w:line="248"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75"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62" w:lineRule="exact"/>
        <w:rPr>
          <w:sz w:val="20"/>
          <w:szCs w:val="20"/>
          <w:color w:val="auto"/>
        </w:rPr>
      </w:pPr>
    </w:p>
    <w:p>
      <w:pPr>
        <w:ind w:right="180" w:firstLine="509"/>
        <w:spacing w:after="0" w:line="248"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8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8" w:lineRule="exact"/>
        <w:rPr>
          <w:sz w:val="20"/>
          <w:szCs w:val="20"/>
          <w:color w:val="auto"/>
        </w:rPr>
      </w:pPr>
    </w:p>
    <w:p>
      <w:pPr>
        <w:ind w:right="340" w:firstLine="509"/>
        <w:spacing w:after="0" w:line="24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8" w:name="page59"/>
    <w:bookmarkEnd w:id="58"/>
    <w:p>
      <w:pPr>
        <w:ind w:right="60" w:firstLine="509"/>
        <w:spacing w:after="0" w:line="309" w:lineRule="auto"/>
        <w:rPr>
          <w:sz w:val="20"/>
          <w:szCs w:val="20"/>
          <w:color w:val="auto"/>
        </w:rPr>
      </w:pPr>
      <w:r>
        <w:rPr>
          <w:rFonts w:ascii="Times New Roman" w:cs="Times New Roman" w:eastAsia="Times New Roman" w:hAnsi="Times New Roman"/>
          <w:sz w:val="17"/>
          <w:szCs w:val="17"/>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2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93" w:lineRule="exact"/>
        <w:rPr>
          <w:sz w:val="20"/>
          <w:szCs w:val="20"/>
          <w:color w:val="auto"/>
        </w:rPr>
      </w:pPr>
    </w:p>
    <w:p>
      <w:pPr>
        <w:jc w:val="both"/>
        <w:ind w:right="420" w:firstLine="509"/>
        <w:spacing w:after="0" w:line="247"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9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60"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6" w:lineRule="exact"/>
        <w:rPr>
          <w:sz w:val="20"/>
          <w:szCs w:val="20"/>
          <w:color w:val="auto"/>
        </w:rPr>
      </w:pPr>
    </w:p>
    <w:p>
      <w:pPr>
        <w:ind w:left="1020" w:right="4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90" w:lineRule="exact"/>
        <w:rPr>
          <w:rFonts w:ascii="Times New Roman" w:cs="Times New Roman" w:eastAsia="Times New Roman" w:hAnsi="Times New Roman"/>
          <w:sz w:val="18"/>
          <w:szCs w:val="18"/>
          <w:color w:val="auto"/>
        </w:rPr>
      </w:pPr>
    </w:p>
    <w:p>
      <w:pPr>
        <w:ind w:left="1020" w:right="140" w:hanging="503"/>
        <w:spacing w:after="0" w:line="24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2"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9" w:name="page60"/>
    <w:bookmarkEnd w:id="59"/>
    <w:p>
      <w:pPr>
        <w:ind w:left="1020" w:right="60" w:hanging="503"/>
        <w:spacing w:after="0" w:line="245"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20" w:right="300" w:hanging="503"/>
        <w:spacing w:after="0" w:line="278"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42" w:lineRule="exact"/>
        <w:rPr>
          <w:rFonts w:ascii="Times New Roman" w:cs="Times New Roman" w:eastAsia="Times New Roman" w:hAnsi="Times New Roman"/>
          <w:sz w:val="18"/>
          <w:szCs w:val="18"/>
          <w:color w:val="auto"/>
        </w:rPr>
      </w:pPr>
    </w:p>
    <w:p>
      <w:pPr>
        <w:ind w:left="1020" w:right="100" w:hanging="503"/>
        <w:spacing w:after="0" w:line="243"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80"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8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0" w:lineRule="exact"/>
        <w:rPr>
          <w:sz w:val="20"/>
          <w:szCs w:val="20"/>
          <w:color w:val="auto"/>
        </w:rPr>
      </w:pPr>
    </w:p>
    <w:p>
      <w:pPr>
        <w:ind w:right="20" w:firstLine="509"/>
        <w:spacing w:after="0" w:line="207" w:lineRule="exact"/>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drug candidate.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60" w:name="page61"/>
    <w:bookmarkEnd w:id="60"/>
    <w:p>
      <w:pPr>
        <w:spacing w:after="0" w:line="248" w:lineRule="auto"/>
        <w:rPr>
          <w:sz w:val="20"/>
          <w:szCs w:val="20"/>
          <w:color w:val="auto"/>
        </w:rPr>
      </w:pPr>
      <w:r>
        <w:rPr>
          <w:rFonts w:ascii="Times New Roman" w:cs="Times New Roman" w:eastAsia="Times New Roman" w:hAnsi="Times New Roman"/>
          <w:sz w:val="18"/>
          <w:szCs w:val="18"/>
          <w:color w:val="auto"/>
        </w:rPr>
        <w:t>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189" w:lineRule="exact"/>
        <w:rPr>
          <w:sz w:val="20"/>
          <w:szCs w:val="20"/>
          <w:color w:val="auto"/>
        </w:rPr>
      </w:pPr>
    </w:p>
    <w:p>
      <w:pPr>
        <w:ind w:right="220" w:firstLine="509"/>
        <w:spacing w:after="0" w:line="243"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8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9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8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4"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61" w:name="page62"/>
    <w:bookmarkEnd w:id="61"/>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28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6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93"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99" w:lineRule="exact"/>
        <w:rPr>
          <w:sz w:val="20"/>
          <w:szCs w:val="20"/>
          <w:color w:val="auto"/>
        </w:rPr>
      </w:pPr>
    </w:p>
    <w:p>
      <w:pPr>
        <w:ind w:right="260" w:firstLine="509"/>
        <w:spacing w:after="0" w:line="243"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KU Leuven Agreement, the licensor may have the right to terminate the license. Under some of our in-license agreements, as a sublicensee, we may be obligated to comply with applicable requirements, limitations or obligations of our sublicensors to other third parties. Further, under in-licenses under which we sublicense certain rights, we rely on our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0"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4" w:lineRule="exact"/>
        <w:rPr>
          <w:sz w:val="20"/>
          <w:szCs w:val="20"/>
          <w:color w:val="auto"/>
        </w:rPr>
      </w:pPr>
    </w:p>
    <w:p>
      <w:pPr>
        <w:jc w:val="both"/>
        <w:ind w:right="480" w:firstLine="509"/>
        <w:spacing w:after="0" w:line="255"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3"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0" w:lineRule="exact"/>
        <w:rPr>
          <w:rFonts w:ascii="Times New Roman" w:cs="Times New Roman" w:eastAsia="Times New Roman" w:hAnsi="Times New Roman"/>
          <w:sz w:val="18"/>
          <w:szCs w:val="18"/>
          <w:color w:val="auto"/>
        </w:rPr>
      </w:pPr>
    </w:p>
    <w:p>
      <w:pPr>
        <w:ind w:left="1020" w:right="200" w:hanging="503"/>
        <w:spacing w:after="0" w:line="278"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00" w:lineRule="exact"/>
        <w:rPr>
          <w:rFonts w:ascii="Times New Roman" w:cs="Times New Roman" w:eastAsia="Times New Roman" w:hAnsi="Times New Roman"/>
          <w:sz w:val="18"/>
          <w:szCs w:val="18"/>
          <w:color w:val="auto"/>
        </w:rPr>
      </w:pPr>
    </w:p>
    <w:p>
      <w:pPr>
        <w:ind w:left="1020" w:right="420" w:hanging="503"/>
        <w:spacing w:after="0" w:line="278"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20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8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9" w:lineRule="exact"/>
        <w:rPr>
          <w:sz w:val="20"/>
          <w:szCs w:val="20"/>
          <w:color w:val="auto"/>
        </w:rPr>
      </w:pPr>
    </w:p>
    <w:p>
      <w:pPr>
        <w:ind w:right="240" w:firstLine="509"/>
        <w:spacing w:after="0" w:line="248"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2021, previously filed with the SEC.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10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ind w:right="20"/>
        <w:spacing w:after="0" w:line="242" w:lineRule="auto"/>
        <w:rPr>
          <w:sz w:val="20"/>
          <w:szCs w:val="20"/>
          <w:color w:val="auto"/>
        </w:rPr>
      </w:pPr>
      <w:r>
        <w:rPr>
          <w:rFonts w:ascii="Times New Roman" w:cs="Times New Roman" w:eastAsia="Times New Roman" w:hAnsi="Times New Roman"/>
          <w:sz w:val="18"/>
          <w:szCs w:val="18"/>
          <w:color w:val="auto"/>
        </w:rPr>
        <w:t>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2021, previously filed with the SEC. Any of the foregoing could harm our competitive position, business, financial condition, results of operations and prospects.</w:t>
      </w:r>
    </w:p>
    <w:p>
      <w:pPr>
        <w:spacing w:after="0" w:line="287"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8"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94" w:lineRule="exact"/>
        <w:rPr>
          <w:sz w:val="20"/>
          <w:szCs w:val="20"/>
          <w:color w:val="auto"/>
        </w:rPr>
      </w:pPr>
    </w:p>
    <w:p>
      <w:pPr>
        <w:ind w:firstLine="509"/>
        <w:spacing w:after="0" w:line="209" w:lineRule="exact"/>
        <w:rPr>
          <w:sz w:val="20"/>
          <w:szCs w:val="20"/>
          <w:color w:val="auto"/>
        </w:rPr>
      </w:pPr>
      <w:r>
        <w:rPr>
          <w:rFonts w:ascii="Times New Roman" w:cs="Times New Roman" w:eastAsia="Times New Roman" w:hAnsi="Times New Roman"/>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186"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10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64" w:name="page65"/>
    <w:bookmarkEnd w:id="64"/>
    <w:p>
      <w:pPr>
        <w:ind w:firstLine="509"/>
        <w:spacing w:after="0" w:line="256" w:lineRule="auto"/>
        <w:rPr>
          <w:sz w:val="20"/>
          <w:szCs w:val="20"/>
          <w:color w:val="auto"/>
        </w:rPr>
      </w:pPr>
      <w:r>
        <w:rPr>
          <w:rFonts w:ascii="Times New Roman" w:cs="Times New Roman" w:eastAsia="Times New Roman" w:hAnsi="Times New Roman"/>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7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0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8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0"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118"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80"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86"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6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91"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66" w:name="page67"/>
    <w:bookmarkEnd w:id="66"/>
    <w:p>
      <w:pPr>
        <w:ind w:right="20"/>
        <w:spacing w:after="0" w:line="248" w:lineRule="auto"/>
        <w:rPr>
          <w:sz w:val="20"/>
          <w:szCs w:val="20"/>
          <w:color w:val="auto"/>
        </w:rPr>
      </w:pPr>
      <w:r>
        <w:rPr>
          <w:rFonts w:ascii="Times New Roman" w:cs="Times New Roman" w:eastAsia="Times New Roman" w:hAnsi="Times New Roman"/>
          <w:sz w:val="18"/>
          <w:szCs w:val="18"/>
          <w:color w:val="auto"/>
        </w:rPr>
        <w:t>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76"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75" w:lineRule="exact"/>
        <w:rPr>
          <w:sz w:val="20"/>
          <w:szCs w:val="20"/>
          <w:color w:val="auto"/>
        </w:rPr>
      </w:pPr>
    </w:p>
    <w:p>
      <w:pPr>
        <w:ind w:right="200" w:firstLine="509"/>
        <w:spacing w:after="0" w:line="27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50"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30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8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7" w:name="page68"/>
    <w:bookmarkEnd w:id="67"/>
    <w:p>
      <w:pPr>
        <w:ind w:right="2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38"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1"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As another example, in March 2022, Janssen Biopharma, LLC (Janssen) brought an action against our company, Lawrence M. Blatt, Ph.D., Chairman, Chief Executive Officer and Director of our company, and Leonid Beigelman, Ph.D., President and Director of our company, which generally concerns an alleged breach by certain our employees of their obligations to Janssen as prior employees of Janssen by purporting to assign to Aligos various inventions allegedly owned by Janssen. As a result, Janssen is seeking, among other things, injunctive relief (including declaratory judgment of ownership of certain of our intellectual property) and monetary damages.</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Janssen has considerable resources available to it; we, on the other hand, are an early-stage company with comparatively few resources available to us to engage in costly and protracted litigation. Such intellectual property related claims asserted against us could be costly to defend and could limit our ability to use some technologies in the future. They will be time consuming, will divert our chief executive officer’s, our president’s, management’s and scientific personnel’s attention, may be used by Janssen in an effort to generate negative publicity with our investors, and may result in liability for substantial damages. For example, we may incur significant expense and substantial time in defending against our current intellectual property dispute with Janssen. We anticipate that Janssen may use litigation, including filing amended or new complaints, other court filings, public statements and press releases, regardless of merit in an attempt to disrupt our business and create uncertainty about our future prospects, which could create volatility in the trading price of our common stock or damage to our reputation. In addition, in the event of an unfavorable judgment, Janssen could obtain an injunction against the use of any alleged Janssen intellectual property that could affect our ability to develop or commercialize our drug candidates.</w:t>
      </w:r>
    </w:p>
    <w:p>
      <w:pPr>
        <w:spacing w:after="0" w:line="76"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An adverse judgment in the Janssen proceeding could require us to pay damages, attorneys’ fees, costs and expenses, or result in injunctive relief and the assignment of intellectual property from us to Janssen, or generate negative publicity, any of which could materially adversely affect our business, financial condition, results of operations and prospects. For more information on our current legal and regulatory proceedings, see Part II, Item 1 — “Legal Proceedings.”</w:t>
      </w:r>
    </w:p>
    <w:p>
      <w:pPr>
        <w:spacing w:after="0" w:line="189" w:lineRule="exact"/>
        <w:rPr>
          <w:sz w:val="20"/>
          <w:szCs w:val="20"/>
          <w:color w:val="auto"/>
        </w:rPr>
      </w:pPr>
    </w:p>
    <w:p>
      <w:pPr>
        <w:ind w:right="180" w:firstLine="509"/>
        <w:spacing w:after="0" w:line="242" w:lineRule="auto"/>
        <w:rPr>
          <w:sz w:val="20"/>
          <w:szCs w:val="20"/>
          <w:color w:val="auto"/>
        </w:rPr>
      </w:pPr>
      <w:r>
        <w:rPr>
          <w:rFonts w:ascii="Times New Roman" w:cs="Times New Roman" w:eastAsia="Times New Roman" w:hAnsi="Times New Roman"/>
          <w:sz w:val="18"/>
          <w:szCs w:val="18"/>
          <w:color w:val="auto"/>
        </w:rPr>
        <w:t>If we fail in prosecuting or defending any such claims described above,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0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8"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5" w:lineRule="exact"/>
        <w:rPr>
          <w:sz w:val="20"/>
          <w:szCs w:val="20"/>
          <w:color w:val="auto"/>
        </w:rPr>
      </w:pPr>
    </w:p>
    <w:p>
      <w:pPr>
        <w:ind w:left="1020" w:right="300" w:hanging="503"/>
        <w:spacing w:after="0" w:line="278"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42" w:lineRule="exact"/>
        <w:rPr>
          <w:rFonts w:ascii="Times New Roman" w:cs="Times New Roman" w:eastAsia="Times New Roman" w:hAnsi="Times New Roman"/>
          <w:sz w:val="18"/>
          <w:szCs w:val="18"/>
          <w:color w:val="auto"/>
        </w:rPr>
      </w:pPr>
    </w:p>
    <w:p>
      <w:pPr>
        <w:ind w:left="1020" w:right="260" w:hanging="503"/>
        <w:spacing w:after="0" w:line="263"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8" w:lineRule="exact"/>
        <w:rPr>
          <w:rFonts w:ascii="Times New Roman" w:cs="Times New Roman" w:eastAsia="Times New Roman" w:hAnsi="Times New Roman"/>
          <w:sz w:val="18"/>
          <w:szCs w:val="18"/>
          <w:color w:val="auto"/>
        </w:rPr>
      </w:pPr>
    </w:p>
    <w:p>
      <w:pPr>
        <w:ind w:left="1020" w:right="100" w:hanging="503"/>
        <w:spacing w:after="0" w:line="263"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5" w:lineRule="exact"/>
        <w:rPr>
          <w:rFonts w:ascii="Times New Roman" w:cs="Times New Roman" w:eastAsia="Times New Roman" w:hAnsi="Times New Roman"/>
          <w:sz w:val="18"/>
          <w:szCs w:val="18"/>
          <w:color w:val="auto"/>
        </w:rPr>
      </w:pPr>
    </w:p>
    <w:p>
      <w:pPr>
        <w:ind w:left="1020" w:right="180" w:hanging="503"/>
        <w:spacing w:after="0" w:line="278"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42" w:lineRule="exact"/>
        <w:rPr>
          <w:rFonts w:ascii="Times New Roman" w:cs="Times New Roman" w:eastAsia="Times New Roman" w:hAnsi="Times New Roman"/>
          <w:sz w:val="18"/>
          <w:szCs w:val="18"/>
          <w:color w:val="auto"/>
        </w:rPr>
      </w:pPr>
    </w:p>
    <w:p>
      <w:pPr>
        <w:ind w:left="1020" w:right="100" w:hanging="503"/>
        <w:spacing w:after="0" w:line="263"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4" w:lineRule="exact"/>
        <w:rPr>
          <w:rFonts w:ascii="Times New Roman" w:cs="Times New Roman" w:eastAsia="Times New Roman" w:hAnsi="Times New Roman"/>
          <w:sz w:val="18"/>
          <w:szCs w:val="18"/>
          <w:color w:val="auto"/>
        </w:rPr>
      </w:pPr>
    </w:p>
    <w:p>
      <w:pPr>
        <w:ind w:left="1020" w:right="660" w:hanging="503"/>
        <w:spacing w:after="0" w:line="263"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00" w:lineRule="exact"/>
        <w:rPr>
          <w:rFonts w:ascii="Times New Roman" w:cs="Times New Roman" w:eastAsia="Times New Roman" w:hAnsi="Times New Roman"/>
          <w:sz w:val="18"/>
          <w:szCs w:val="18"/>
          <w:color w:val="auto"/>
        </w:rPr>
      </w:pPr>
    </w:p>
    <w:p>
      <w:pPr>
        <w:ind w:left="1020" w:right="240" w:hanging="503"/>
        <w:spacing w:after="0" w:line="263"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01" w:lineRule="exact"/>
        <w:rPr>
          <w:sz w:val="20"/>
          <w:szCs w:val="20"/>
          <w:color w:val="auto"/>
        </w:rPr>
      </w:pPr>
    </w:p>
    <w:p>
      <w:pPr>
        <w:jc w:val="both"/>
        <w:ind w:right="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38" w:lineRule="exact"/>
        <w:rPr>
          <w:sz w:val="20"/>
          <w:szCs w:val="20"/>
          <w:color w:val="auto"/>
        </w:rPr>
      </w:pPr>
    </w:p>
    <w:p>
      <w:pPr>
        <w:jc w:val="both"/>
        <w:ind w:right="80" w:firstLine="509"/>
        <w:spacing w:after="0" w:line="277" w:lineRule="auto"/>
        <w:rPr>
          <w:sz w:val="20"/>
          <w:szCs w:val="20"/>
          <w:color w:val="auto"/>
        </w:rPr>
      </w:pPr>
      <w:r>
        <w:rPr>
          <w:rFonts w:ascii="Times New Roman" w:cs="Times New Roman" w:eastAsia="Times New Roman" w:hAnsi="Times New Roman"/>
          <w:sz w:val="17"/>
          <w:szCs w:val="17"/>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5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283"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6"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w:t>
      </w:r>
    </w:p>
    <w:p>
      <w:pPr>
        <w:spacing w:after="0" w:line="1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679" w:right="479" w:bottom="1440" w:gutter="0" w:footer="0" w:header="0"/>
        </w:sectPr>
      </w:pPr>
    </w:p>
    <w:bookmarkStart w:id="69" w:name="page70"/>
    <w:bookmarkEnd w:id="69"/>
    <w:p>
      <w:pPr>
        <w:ind w:right="60"/>
        <w:spacing w:after="0" w:line="259" w:lineRule="auto"/>
        <w:rPr>
          <w:sz w:val="20"/>
          <w:szCs w:val="20"/>
          <w:color w:val="auto"/>
        </w:rPr>
      </w:pPr>
      <w:r>
        <w:rPr>
          <w:rFonts w:ascii="Times New Roman" w:cs="Times New Roman" w:eastAsia="Times New Roman" w:hAnsi="Times New Roman"/>
          <w:sz w:val="17"/>
          <w:szCs w:val="17"/>
          <w:color w:val="auto"/>
        </w:rPr>
        <w:t>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05" w:lineRule="exact"/>
        <w:rPr>
          <w:sz w:val="20"/>
          <w:szCs w:val="20"/>
          <w:color w:val="auto"/>
        </w:rPr>
      </w:pPr>
    </w:p>
    <w:p>
      <w:pPr>
        <w:ind w:right="320" w:firstLine="509"/>
        <w:spacing w:after="0" w:line="248" w:lineRule="auto"/>
        <w:rPr>
          <w:sz w:val="20"/>
          <w:szCs w:val="20"/>
          <w:color w:val="auto"/>
        </w:rPr>
      </w:pPr>
      <w:r>
        <w:rPr>
          <w:rFonts w:ascii="Times New Roman" w:cs="Times New Roman" w:eastAsia="Times New Roman" w:hAnsi="Times New Roman"/>
          <w:sz w:val="18"/>
          <w:szCs w:val="18"/>
          <w:color w:val="auto"/>
        </w:rPr>
        <w:t>As of March 31, 2022, we had 95 full-time employees, including 76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0" w:lineRule="exact"/>
        <w:rPr>
          <w:rFonts w:ascii="Times New Roman" w:cs="Times New Roman" w:eastAsia="Times New Roman" w:hAnsi="Times New Roman"/>
          <w:sz w:val="18"/>
          <w:szCs w:val="18"/>
          <w:color w:val="auto"/>
        </w:rPr>
      </w:pPr>
    </w:p>
    <w:p>
      <w:pPr>
        <w:ind w:left="1020" w:right="80" w:hanging="503"/>
        <w:spacing w:after="0" w:line="27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208"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53"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84"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8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70" w:name="page71"/>
    <w:bookmarkEnd w:id="70"/>
    <w:p>
      <w:pPr>
        <w:ind w:right="80"/>
        <w:spacing w:after="0" w:line="278" w:lineRule="auto"/>
        <w:rPr>
          <w:sz w:val="20"/>
          <w:szCs w:val="20"/>
          <w:color w:val="auto"/>
        </w:rPr>
      </w:pPr>
      <w:r>
        <w:rPr>
          <w:rFonts w:ascii="Times New Roman" w:cs="Times New Roman" w:eastAsia="Times New Roman" w:hAnsi="Times New Roman"/>
          <w:sz w:val="18"/>
          <w:szCs w:val="18"/>
          <w:color w:val="auto"/>
        </w:rPr>
        <w:t>with our storage or disposal of biological, hazardous or radioactive materials, and as such we would have to pay the full amount of any resultant liability out of pocket, which could significantly impair our financial condition.</w:t>
      </w:r>
    </w:p>
    <w:p>
      <w:pPr>
        <w:spacing w:after="0" w:line="253"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94"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105" w:lineRule="exact"/>
        <w:rPr>
          <w:sz w:val="20"/>
          <w:szCs w:val="20"/>
          <w:color w:val="auto"/>
        </w:rPr>
      </w:pPr>
    </w:p>
    <w:p>
      <w:pPr>
        <w:ind w:right="180" w:firstLine="509"/>
        <w:spacing w:after="0" w:line="248"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ind w:left="1020" w:right="460" w:hanging="503"/>
        <w:spacing w:after="0" w:line="278"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including the Janssen litigation, and our ability to obtain intellectual property protection for our technologies;</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20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0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70" w:lineRule="exact"/>
        <w:rPr>
          <w:sz w:val="20"/>
          <w:szCs w:val="20"/>
          <w:color w:val="auto"/>
        </w:rPr>
      </w:pPr>
    </w:p>
    <w:p>
      <w:pPr>
        <w:ind w:right="720" w:firstLine="509"/>
        <w:spacing w:after="0" w:line="278"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w:t>
      </w:r>
    </w:p>
    <w:p>
      <w:pPr>
        <w:spacing w:after="0" w:line="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266"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72" w:name="page73"/>
    <w:bookmarkEnd w:id="72"/>
    <w:p>
      <w:pPr>
        <w:ind w:right="20"/>
        <w:spacing w:after="0" w:line="260" w:lineRule="auto"/>
        <w:rPr>
          <w:sz w:val="20"/>
          <w:szCs w:val="20"/>
          <w:color w:val="auto"/>
        </w:rPr>
      </w:pPr>
      <w:r>
        <w:rPr>
          <w:rFonts w:ascii="Times New Roman" w:cs="Times New Roman" w:eastAsia="Times New Roman" w:hAnsi="Times New Roman"/>
          <w:sz w:val="17"/>
          <w:szCs w:val="17"/>
          <w:color w:val="auto"/>
        </w:rPr>
        <w:t>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 $700.0 million as of the prior June 30th,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date on which we have issued more than $1.0 billion in non-convertible debt during the prior three-year period.</w:t>
      </w:r>
    </w:p>
    <w:p>
      <w:pPr>
        <w:spacing w:after="0" w:line="189"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9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74"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As of March 31, 2022, our executive officers, directors and their affiliates beneficially own, in the aggregate, approximately 41.1%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3"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311"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6"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March 31, 2022,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 (the Exchange Act), and may not be subject to the short-swing profit provisions of Section 16(b) of the Exchange Act.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18" w:lineRule="exact"/>
        <w:rPr>
          <w:sz w:val="20"/>
          <w:szCs w:val="20"/>
          <w:color w:val="auto"/>
        </w:rPr>
      </w:pPr>
    </w:p>
    <w:p>
      <w:pPr>
        <w:ind w:right="260" w:firstLine="509"/>
        <w:spacing w:after="0" w:line="263"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162"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8"/>
          <w:szCs w:val="18"/>
          <w:color w:val="auto"/>
        </w:rPr>
        <w:t>As of March 31, 2022, approximately 11.6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89"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8"/>
          <w:szCs w:val="18"/>
          <w:color w:val="auto"/>
        </w:rPr>
        <w:t>In addition, the holders of approximately 42.7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2021 and determined there was an ownership change that resulted in Section 382 limitations. The ownership change limited our ability to utilize net operating losses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74"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6"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7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9" w:lineRule="exact"/>
        <w:rPr>
          <w:sz w:val="20"/>
          <w:szCs w:val="20"/>
          <w:color w:val="auto"/>
        </w:rPr>
      </w:pPr>
    </w:p>
    <w:p>
      <w:pPr>
        <w:ind w:right="200" w:firstLine="509"/>
        <w:spacing w:after="0" w:line="243"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3"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74" w:name="page75"/>
    <w:bookmarkEnd w:id="74"/>
    <w:p>
      <w:pPr>
        <w:ind w:right="100"/>
        <w:spacing w:after="0" w:line="278" w:lineRule="auto"/>
        <w:rPr>
          <w:sz w:val="20"/>
          <w:szCs w:val="20"/>
          <w:color w:val="auto"/>
        </w:rPr>
      </w:pPr>
      <w:r>
        <w:rPr>
          <w:rFonts w:ascii="Times New Roman" w:cs="Times New Roman" w:eastAsia="Times New Roman" w:hAnsi="Times New Roman"/>
          <w:sz w:val="18"/>
          <w:szCs w:val="18"/>
          <w:color w:val="auto"/>
        </w:rPr>
        <w:t>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5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6" w:lineRule="exact"/>
        <w:rPr>
          <w:sz w:val="20"/>
          <w:szCs w:val="20"/>
          <w:color w:val="auto"/>
        </w:rPr>
      </w:pPr>
    </w:p>
    <w:p>
      <w:pPr>
        <w:ind w:right="260" w:firstLine="509"/>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5" w:lineRule="exact"/>
        <w:rPr>
          <w:sz w:val="20"/>
          <w:szCs w:val="20"/>
          <w:color w:val="auto"/>
        </w:rPr>
      </w:pPr>
    </w:p>
    <w:p>
      <w:pPr>
        <w:ind w:left="1020" w:right="280" w:hanging="503"/>
        <w:spacing w:after="0" w:line="27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00" w:lineRule="exact"/>
        <w:rPr>
          <w:rFonts w:ascii="Times New Roman" w:cs="Times New Roman" w:eastAsia="Times New Roman" w:hAnsi="Times New Roman"/>
          <w:sz w:val="18"/>
          <w:szCs w:val="18"/>
          <w:color w:val="auto"/>
        </w:rPr>
      </w:pPr>
    </w:p>
    <w:p>
      <w:pPr>
        <w:ind w:left="1020" w:right="520" w:hanging="503"/>
        <w:spacing w:after="0" w:line="309"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 w:lineRule="exact"/>
        <w:rPr>
          <w:rFonts w:ascii="Times New Roman" w:cs="Times New Roman" w:eastAsia="Times New Roman" w:hAnsi="Times New Roman"/>
          <w:sz w:val="17"/>
          <w:szCs w:val="17"/>
          <w:color w:val="auto"/>
        </w:rPr>
      </w:pPr>
    </w:p>
    <w:p>
      <w:pPr>
        <w:jc w:val="both"/>
        <w:ind w:left="1020" w:right="140" w:hanging="503"/>
        <w:spacing w:after="0" w:line="247"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00" w:lineRule="exact"/>
        <w:rPr>
          <w:rFonts w:ascii="Times New Roman" w:cs="Times New Roman" w:eastAsia="Times New Roman" w:hAnsi="Times New Roman"/>
          <w:sz w:val="18"/>
          <w:szCs w:val="18"/>
          <w:color w:val="auto"/>
        </w:rPr>
      </w:pPr>
    </w:p>
    <w:p>
      <w:pPr>
        <w:ind w:left="1020" w:right="160" w:hanging="503"/>
        <w:spacing w:after="0" w:line="255"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3" w:lineRule="exact"/>
        <w:rPr>
          <w:rFonts w:ascii="Times New Roman" w:cs="Times New Roman" w:eastAsia="Times New Roman" w:hAnsi="Times New Roman"/>
          <w:sz w:val="18"/>
          <w:szCs w:val="18"/>
          <w:color w:val="auto"/>
        </w:rPr>
      </w:pPr>
    </w:p>
    <w:p>
      <w:pPr>
        <w:ind w:left="1020" w:right="340" w:hanging="503"/>
        <w:spacing w:after="0" w:line="263"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8" w:lineRule="exact"/>
        <w:rPr>
          <w:rFonts w:ascii="Times New Roman" w:cs="Times New Roman" w:eastAsia="Times New Roman" w:hAnsi="Times New Roman"/>
          <w:sz w:val="18"/>
          <w:szCs w:val="18"/>
          <w:color w:val="auto"/>
        </w:rPr>
      </w:pPr>
    </w:p>
    <w:p>
      <w:pPr>
        <w:ind w:left="1020" w:hanging="503"/>
        <w:spacing w:after="0" w:line="247"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83" w:lineRule="exact"/>
        <w:rPr>
          <w:rFonts w:ascii="Times New Roman" w:cs="Times New Roman" w:eastAsia="Times New Roman" w:hAnsi="Times New Roman"/>
          <w:sz w:val="18"/>
          <w:szCs w:val="18"/>
          <w:color w:val="auto"/>
        </w:rPr>
      </w:pPr>
    </w:p>
    <w:p>
      <w:pPr>
        <w:ind w:left="1020" w:right="20" w:hanging="503"/>
        <w:spacing w:after="0" w:line="247"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91"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1"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8" w:lineRule="exact"/>
        <w:rPr>
          <w:sz w:val="20"/>
          <w:szCs w:val="20"/>
          <w:color w:val="auto"/>
        </w:rPr>
      </w:pPr>
    </w:p>
    <w:p>
      <w:pPr>
        <w:ind w:right="60" w:firstLine="509"/>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6" w:lineRule="exact"/>
        <w:rPr>
          <w:sz w:val="20"/>
          <w:szCs w:val="20"/>
          <w:color w:val="auto"/>
        </w:rPr>
      </w:pPr>
    </w:p>
    <w:p>
      <w:pPr>
        <w:ind w:right="500" w:firstLine="509"/>
        <w:spacing w:after="0" w:line="263"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5" w:lineRule="exact"/>
        <w:rPr>
          <w:sz w:val="20"/>
          <w:szCs w:val="20"/>
          <w:color w:val="auto"/>
        </w:rPr>
      </w:pPr>
    </w:p>
    <w:p>
      <w:pPr>
        <w:ind w:left="1020" w:right="120" w:hanging="503"/>
        <w:spacing w:after="0" w:line="248"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8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75" w:name="page76"/>
    <w:bookmarkEnd w:id="75"/>
    <w:p>
      <w:pPr>
        <w:jc w:val="both"/>
        <w:ind w:left="1020" w:right="260" w:hanging="503"/>
        <w:spacing w:after="0" w:line="309" w:lineRule="auto"/>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8" w:lineRule="exact"/>
        <w:rPr>
          <w:rFonts w:ascii="Times New Roman" w:cs="Times New Roman" w:eastAsia="Times New Roman" w:hAnsi="Times New Roman"/>
          <w:sz w:val="17"/>
          <w:szCs w:val="17"/>
          <w:color w:val="auto"/>
        </w:rPr>
      </w:pPr>
    </w:p>
    <w:p>
      <w:pPr>
        <w:ind w:left="1020" w:right="440" w:hanging="503"/>
        <w:spacing w:after="0" w:line="263"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68" w:lineRule="exact"/>
        <w:rPr>
          <w:rFonts w:ascii="Times New Roman" w:cs="Times New Roman" w:eastAsia="Times New Roman" w:hAnsi="Times New Roman"/>
          <w:sz w:val="18"/>
          <w:szCs w:val="18"/>
          <w:color w:val="auto"/>
        </w:rPr>
      </w:pPr>
    </w:p>
    <w:p>
      <w:pPr>
        <w:ind w:left="1020" w:right="620" w:hanging="503"/>
        <w:spacing w:after="0" w:line="292" w:lineRule="auto"/>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33" w:lineRule="exact"/>
        <w:rPr>
          <w:rFonts w:ascii="Times New Roman" w:cs="Times New Roman" w:eastAsia="Times New Roman" w:hAnsi="Times New Roman"/>
          <w:sz w:val="17"/>
          <w:szCs w:val="17"/>
          <w:color w:val="auto"/>
        </w:rPr>
      </w:pPr>
    </w:p>
    <w:p>
      <w:pPr>
        <w:ind w:left="1020" w:right="220" w:hanging="503"/>
        <w:spacing w:after="0" w:line="278"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53"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10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6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18"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2008 global financial crisis caused extreme volatility and disruptions in the capital and credit markets. In addition,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armed conflict between Russia and Ukraine could adversely affect our business, financial condition, and results of operations.</w:t>
      </w:r>
    </w:p>
    <w:p>
      <w:pPr>
        <w:spacing w:after="0" w:line="10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68"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82" w:lineRule="exact"/>
        <w:rPr>
          <w:sz w:val="20"/>
          <w:szCs w:val="20"/>
          <w:color w:val="auto"/>
        </w:rPr>
      </w:pPr>
    </w:p>
    <w:p>
      <w:pPr>
        <w:ind w:left="1020" w:right="200" w:hanging="504"/>
        <w:spacing w:after="0" w:line="247"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0" w:lineRule="exact"/>
        <w:rPr>
          <w:rFonts w:ascii="Times New Roman" w:cs="Times New Roman" w:eastAsia="Times New Roman" w:hAnsi="Times New Roman"/>
          <w:sz w:val="18"/>
          <w:szCs w:val="18"/>
          <w:color w:val="auto"/>
        </w:rPr>
      </w:pPr>
    </w:p>
    <w:p>
      <w:pPr>
        <w:ind w:left="1020" w:right="140" w:hanging="504"/>
        <w:spacing w:after="0" w:line="27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42" w:lineRule="exact"/>
        <w:rPr>
          <w:rFonts w:ascii="Times New Roman" w:cs="Times New Roman" w:eastAsia="Times New Roman" w:hAnsi="Times New Roman"/>
          <w:sz w:val="18"/>
          <w:szCs w:val="18"/>
          <w:color w:val="auto"/>
        </w:rPr>
      </w:pPr>
    </w:p>
    <w:p>
      <w:pPr>
        <w:ind w:left="1020" w:right="460" w:hanging="504"/>
        <w:spacing w:after="0" w:line="263"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6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87"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We are actively monitoring the situation in Ukraine and Russia and assessing its impact on our business, including our business partners and customers. For example, we originally planned to have trial sites in Ukraine and Moldova for the conduct of our current and future clinical studies. However, given the conflict between Ukraine and Russia, conducting studies in Ukraine and Moldova has not been possible thereby impacting our ability to conduct clinical trials despite our efforts to mitigate its impact. Such impact on our ability to conduct our clinical trials as planned could consequently materially impact our development programs and business.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18"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8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w:t>
      </w:r>
    </w:p>
    <w:p>
      <w:pPr>
        <w:spacing w:after="0" w:line="11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the United Kingdom formally withdrew from the EU and ratified a trade and cooperation agreement (TCA) governing its future relationship with the EU, including ensuring tariff-free trade for certain goods and services. Since the regulatory framework for pharmaceutical products in the United Kingdom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United Kingdom. Longer term, the United Kingdom is likely to develop its own legislation that diverges from that in the EU.</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TCA provides details on how some aspects of the United Kingdom’s and EU’s relationship will operate going forwards, however there are still many uncertainties. The uncertainty concerning the United Kingdom’s legal, political and economic relationship with the EU since Brexit may be a source of instability in the international markets, create significant currency fluctuations, and/or otherwise adversely affect trading agreements or similar cross-border co-operation arrangements (whether economic, tax, fiscal, legal, regulatory or otherwise). 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w:t>
      </w:r>
    </w:p>
    <w:p>
      <w:pPr>
        <w:spacing w:after="0" w:line="281"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38"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8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0"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8" w:name="page79"/>
    <w:bookmarkEnd w:id="78"/>
    <w:p>
      <w:pPr>
        <w:ind w:right="20"/>
        <w:spacing w:after="0" w:line="255" w:lineRule="auto"/>
        <w:rPr>
          <w:sz w:val="20"/>
          <w:szCs w:val="20"/>
          <w:color w:val="auto"/>
        </w:rPr>
      </w:pPr>
      <w:r>
        <w:rPr>
          <w:rFonts w:ascii="Times New Roman" w:cs="Times New Roman" w:eastAsia="Times New Roman" w:hAnsi="Times New Roman"/>
          <w:sz w:val="18"/>
          <w:szCs w:val="18"/>
          <w:color w:val="auto"/>
        </w:rPr>
        <w:t>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18"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7"/>
          <w:szCs w:val="17"/>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85"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79" w:name="page80"/>
    <w:bookmarkEnd w:id="79"/>
    <w:p>
      <w:pPr>
        <w:ind w:right="6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66" w:lineRule="exact"/>
        <w:rPr>
          <w:sz w:val="20"/>
          <w:szCs w:val="20"/>
          <w:color w:val="auto"/>
        </w:rPr>
      </w:pPr>
    </w:p>
    <w:p>
      <w:pPr>
        <w:ind w:right="300" w:firstLine="509"/>
        <w:spacing w:after="0" w:line="26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16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8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76"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26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5"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25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5"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As a public company, we are incurring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4"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66" w:right="379" w:bottom="1440" w:gutter="0" w:footer="0" w:header="0"/>
        </w:sectPr>
      </w:pPr>
    </w:p>
    <w:bookmarkStart w:id="80" w:name="page81"/>
    <w:bookmarkEnd w:id="80"/>
    <w:p>
      <w:pPr>
        <w:spacing w:after="0" w:line="278" w:lineRule="auto"/>
        <w:rPr>
          <w:sz w:val="20"/>
          <w:szCs w:val="20"/>
          <w:color w:val="auto"/>
        </w:rPr>
      </w:pPr>
      <w:r>
        <w:rPr>
          <w:rFonts w:ascii="Times New Roman" w:cs="Times New Roman" w:eastAsia="Times New Roman" w:hAnsi="Times New Roman"/>
          <w:sz w:val="18"/>
          <w:szCs w:val="18"/>
          <w:color w:val="auto"/>
        </w:rPr>
        <w:t>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9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268" w:lineRule="exact"/>
        <w:rPr>
          <w:sz w:val="20"/>
          <w:szCs w:val="20"/>
          <w:color w:val="auto"/>
        </w:rPr>
      </w:pPr>
    </w:p>
    <w:p>
      <w:pPr>
        <w:ind w:right="60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66" w:lineRule="exact"/>
        <w:rPr>
          <w:sz w:val="20"/>
          <w:szCs w:val="20"/>
          <w:color w:val="auto"/>
        </w:rPr>
      </w:pPr>
    </w:p>
    <w:p>
      <w:pPr>
        <w:jc w:val="both"/>
        <w:ind w:right="24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IPO</w:t>
      </w:r>
    </w:p>
    <w:p>
      <w:pPr>
        <w:spacing w:after="0" w:line="9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us at the IPO price, resulting in an additional $16.0 million in net proceeds after deducting the underwriting discounts and commissions. J.P. Morgan Securities LLC, Jefferies LLC, Piper Sandler &amp; Co. acted as joint book-running managers for the offering.</w:t>
      </w:r>
    </w:p>
    <w:p>
      <w:pPr>
        <w:spacing w:after="0" w:line="180" w:lineRule="exact"/>
        <w:rPr>
          <w:sz w:val="20"/>
          <w:szCs w:val="20"/>
          <w:color w:val="auto"/>
        </w:rPr>
      </w:pPr>
    </w:p>
    <w:p>
      <w:pPr>
        <w:ind w:right="140" w:firstLine="509"/>
        <w:spacing w:after="0" w:line="278"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October 19, 2020.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purchasers of equity securities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2"/>
        </w:trPr>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11"/>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5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11"/>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0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6000" w:type="dxa"/>
            <w:vAlign w:val="bottom"/>
            <w:gridSpan w:val="1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Certificate of Incorporation.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w w:val="99"/>
              </w:rPr>
              <w:t>10/20/2020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000" w:type="dxa"/>
            <w:vAlign w:val="bottom"/>
            <w:gridSpan w:val="15"/>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Amended and Restated Bylaws.</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w w:val="99"/>
              </w:rPr>
              <w:t>10/20/2020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6000" w:type="dxa"/>
            <w:vAlign w:val="bottom"/>
            <w:gridSpan w:val="1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91">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92">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180" w:type="dxa"/>
            <w:vAlign w:val="bottom"/>
            <w:tcBorders>
              <w:right w:val="single" w:sz="8" w:color="0000EE"/>
            </w:tcBorders>
            <w:gridSpan w:val="2"/>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000" w:type="dxa"/>
            <w:vAlign w:val="bottom"/>
            <w:gridSpan w:val="15"/>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Common Stock Certificate.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8"/>
              </w:rPr>
              <w:t>10/9/2020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FF"/>
            </w:tcBorders>
            <w:gridSpan w:val="7"/>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00" w:type="dxa"/>
            <w:vAlign w:val="bottom"/>
          </w:tcPr>
          <w:p>
            <w:pPr>
              <w:spacing w:after="0"/>
              <w:rPr>
                <w:sz w:val="14"/>
                <w:szCs w:val="14"/>
                <w:color w:val="auto"/>
              </w:rPr>
            </w:pPr>
          </w:p>
        </w:tc>
        <w:tc>
          <w:tcPr>
            <w:tcW w:w="5800" w:type="dxa"/>
            <w:vAlign w:val="bottom"/>
            <w:gridSpan w:val="12"/>
          </w:tcPr>
          <w:p>
            <w:pPr>
              <w:spacing w:after="0" w:line="168" w:lineRule="exact"/>
              <w:rPr>
                <w:sz w:val="20"/>
                <w:szCs w:val="20"/>
                <w:color w:val="auto"/>
              </w:rPr>
            </w:pPr>
            <w:r>
              <w:rPr>
                <w:rFonts w:ascii="Times New Roman" w:cs="Times New Roman" w:eastAsia="Times New Roman" w:hAnsi="Times New Roman"/>
                <w:sz w:val="18"/>
                <w:szCs w:val="18"/>
                <w:color w:val="0000FF"/>
                <w:w w:val="98"/>
              </w:rPr>
              <w:t>14(a) under the Securities Exchange Act of 1934, as Adopted Pursuant to Section</w:t>
            </w:r>
          </w:p>
        </w:tc>
        <w:tc>
          <w:tcPr>
            <w:tcW w:w="4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5840" w:type="dxa"/>
            <w:vAlign w:val="bottom"/>
            <w:tcBorders>
              <w:top w:val="single" w:sz="8" w:color="0000FF"/>
            </w:tcBorders>
            <w:gridSpan w:val="13"/>
          </w:tcPr>
          <w:p>
            <w:pPr>
              <w:spacing w:after="0" w:line="168"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gridSpan w:val="7"/>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720" w:type="dxa"/>
            <w:vAlign w:val="bottom"/>
            <w:gridSpan w:val="9"/>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00" w:type="dxa"/>
            <w:vAlign w:val="bottom"/>
          </w:tcPr>
          <w:p>
            <w:pPr>
              <w:spacing w:after="0"/>
              <w:rPr>
                <w:sz w:val="14"/>
                <w:szCs w:val="14"/>
                <w:color w:val="auto"/>
              </w:rPr>
            </w:pPr>
          </w:p>
        </w:tc>
        <w:tc>
          <w:tcPr>
            <w:tcW w:w="5760" w:type="dxa"/>
            <w:vAlign w:val="bottom"/>
            <w:gridSpan w:val="11"/>
          </w:tcPr>
          <w:p>
            <w:pPr>
              <w:spacing w:after="0" w:line="168" w:lineRule="exact"/>
              <w:rPr>
                <w:sz w:val="20"/>
                <w:szCs w:val="20"/>
                <w:color w:val="auto"/>
              </w:rPr>
            </w:pPr>
            <w:r>
              <w:rPr>
                <w:rFonts w:ascii="Times New Roman" w:cs="Times New Roman" w:eastAsia="Times New Roman" w:hAnsi="Times New Roman"/>
                <w:sz w:val="18"/>
                <w:szCs w:val="18"/>
                <w:color w:val="0000FF"/>
                <w:w w:val="97"/>
              </w:rPr>
              <w:t>14(a) under the Securities Exchange Act of 1934, as Adopted Pursuant to Section</w:t>
            </w:r>
          </w:p>
        </w:tc>
        <w:tc>
          <w:tcPr>
            <w:tcW w:w="4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5840" w:type="dxa"/>
            <w:vAlign w:val="bottom"/>
            <w:tcBorders>
              <w:top w:val="single" w:sz="8" w:color="0000FF"/>
            </w:tcBorders>
            <w:gridSpan w:val="13"/>
          </w:tcPr>
          <w:p>
            <w:pPr>
              <w:spacing w:after="0" w:line="168"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gridSpan w:val="7"/>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5160" w:type="dxa"/>
            <w:vAlign w:val="bottom"/>
            <w:tcBorders>
              <w:top w:val="single" w:sz="8" w:color="0000FF"/>
              <w:bottom w:val="single" w:sz="8" w:color="0000EE"/>
            </w:tcBorders>
            <w:gridSpan w:val="10"/>
          </w:tcPr>
          <w:p>
            <w:pPr>
              <w:spacing w:after="0" w:line="168"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640" w:type="dxa"/>
            <w:vAlign w:val="bottom"/>
            <w:tcBorders>
              <w:top w:val="single" w:sz="8" w:color="0000FF"/>
            </w:tcBorders>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5160" w:type="dxa"/>
            <w:vAlign w:val="bottom"/>
            <w:tcBorders>
              <w:top w:val="single" w:sz="8" w:color="0000FF"/>
              <w:bottom w:val="single" w:sz="8" w:color="0000EE"/>
            </w:tcBorders>
            <w:gridSpan w:val="10"/>
          </w:tcPr>
          <w:p>
            <w:pPr>
              <w:spacing w:after="0" w:line="168"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600" w:type="dxa"/>
            <w:vAlign w:val="bottom"/>
            <w:tcBorders>
              <w:top w:val="single" w:sz="8" w:color="0000FF"/>
            </w:tcBorders>
          </w:tcPr>
          <w:p>
            <w:pPr>
              <w:spacing w:after="0"/>
              <w:rPr>
                <w:sz w:val="14"/>
                <w:szCs w:val="14"/>
                <w:color w:val="auto"/>
              </w:rPr>
            </w:pPr>
          </w:p>
        </w:tc>
        <w:tc>
          <w:tcPr>
            <w:tcW w:w="24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39"/>
        </w:trPr>
        <w:tc>
          <w:tcPr>
            <w:tcW w:w="1100" w:type="dxa"/>
            <w:vAlign w:val="bottom"/>
            <w:vMerge w:val="continue"/>
          </w:tcPr>
          <w:p>
            <w:pPr>
              <w:spacing w:after="0"/>
              <w:rPr>
                <w:sz w:val="12"/>
                <w:szCs w:val="12"/>
                <w:color w:val="auto"/>
              </w:rPr>
            </w:pPr>
          </w:p>
        </w:tc>
        <w:tc>
          <w:tcPr>
            <w:tcW w:w="60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rPr>
              <w:t>quarter ended March 31, 2022 has been formatted in Inline XBRL.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6000" w:type="dxa"/>
            <w:vAlign w:val="bottom"/>
            <w:gridSpan w:val="15"/>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-4352290</wp:posOffset>
            </wp:positionV>
            <wp:extent cx="171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69" w:lineRule="exact"/>
        <w:rPr>
          <w:sz w:val="20"/>
          <w:szCs w:val="20"/>
          <w:color w:val="auto"/>
        </w:rPr>
      </w:pPr>
    </w:p>
    <w:p>
      <w:pPr>
        <w:jc w:val="both"/>
        <w:ind w:right="320" w:firstLine="7"/>
        <w:spacing w:after="0" w:line="242" w:lineRule="auto"/>
        <w:tabs>
          <w:tab w:leader="none" w:pos="13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00" w:firstLine="509"/>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ALIGOS THERAPEUTICS, INC.</w:t>
      </w:r>
    </w:p>
    <w:p>
      <w:pPr>
        <w:spacing w:after="0" w:line="221" w:lineRule="exact"/>
        <w:rPr>
          <w:sz w:val="20"/>
          <w:szCs w:val="20"/>
          <w:color w:val="auto"/>
        </w:rPr>
      </w:pPr>
    </w:p>
    <w:p>
      <w:pPr>
        <w:ind w:left="20"/>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16510</wp:posOffset>
            </wp:positionV>
            <wp:extent cx="33242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4, 2022</w:t>
            </w:r>
          </w:p>
        </w:tc>
        <w:tc>
          <w:tcPr>
            <w:tcW w:w="2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 Lesley Ann Calhoun</w:t>
            </w:r>
          </w:p>
        </w:tc>
      </w:tr>
      <w:tr>
        <w:trPr>
          <w:trHeight w:val="185"/>
        </w:trPr>
        <w:tc>
          <w:tcPr>
            <w:tcW w:w="3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Pr>
          <w:p>
            <w:pPr>
              <w:ind w:left="1900"/>
              <w:spacing w:after="0" w:line="185" w:lineRule="exact"/>
              <w:rPr>
                <w:sz w:val="20"/>
                <w:szCs w:val="20"/>
                <w:color w:val="auto"/>
              </w:rPr>
            </w:pPr>
            <w:r>
              <w:rPr>
                <w:rFonts w:ascii="Times New Roman" w:cs="Times New Roman" w:eastAsia="Times New Roman" w:hAnsi="Times New Roman"/>
                <w:sz w:val="18"/>
                <w:szCs w:val="18"/>
                <w:b w:val="1"/>
                <w:bCs w:val="1"/>
                <w:color w:val="auto"/>
              </w:rPr>
              <w:t>Lesley Ann Calhoun</w:t>
            </w:r>
          </w:p>
        </w:tc>
      </w:tr>
      <w:tr>
        <w:trPr>
          <w:trHeight w:val="237"/>
        </w:trPr>
        <w:tc>
          <w:tcPr>
            <w:tcW w:w="3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629"/>
        </w:trPr>
        <w:tc>
          <w:tcPr>
            <w:tcW w:w="3440" w:type="dxa"/>
            <w:vAlign w:val="bottom"/>
          </w:tcPr>
          <w:p>
            <w:pPr>
              <w:spacing w:after="0"/>
              <w:rPr>
                <w:sz w:val="24"/>
                <w:szCs w:val="24"/>
                <w:color w:val="auto"/>
              </w:rPr>
            </w:pPr>
          </w:p>
        </w:tc>
        <w:tc>
          <w:tcPr>
            <w:tcW w:w="25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79</w:t>
            </w:r>
          </w:p>
        </w:tc>
        <w:tc>
          <w:tcPr>
            <w:tcW w:w="5240" w:type="dxa"/>
            <w:vAlign w:val="bottom"/>
          </w:tcPr>
          <w:p>
            <w:pPr>
              <w:spacing w:after="0"/>
              <w:rPr>
                <w:sz w:val="24"/>
                <w:szCs w:val="24"/>
                <w:color w:val="auto"/>
              </w:rPr>
            </w:pPr>
          </w:p>
        </w:tc>
      </w:tr>
      <w:tr>
        <w:trPr>
          <w:trHeight w:val="100"/>
        </w:trPr>
        <w:tc>
          <w:tcPr>
            <w:tcW w:w="344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4" w:name="page85"/>
    <w:bookmarkEnd w:id="84"/>
    <w:p>
      <w:pPr>
        <w:ind w:left="1028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Blatt, certify that:</w:t>
      </w:r>
    </w:p>
    <w:p>
      <w:pPr>
        <w:spacing w:after="0" w:line="101" w:lineRule="exact"/>
        <w:rPr>
          <w:sz w:val="20"/>
          <w:szCs w:val="20"/>
          <w:color w:val="auto"/>
        </w:rPr>
      </w:pPr>
    </w:p>
    <w:p>
      <w:pPr>
        <w:ind w:left="520" w:hanging="513"/>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00" w:lineRule="exact"/>
        <w:rPr>
          <w:rFonts w:ascii="Times New Roman" w:cs="Times New Roman" w:eastAsia="Times New Roman" w:hAnsi="Times New Roman"/>
          <w:sz w:val="18"/>
          <w:szCs w:val="18"/>
          <w:color w:val="auto"/>
        </w:rPr>
      </w:pPr>
    </w:p>
    <w:p>
      <w:pPr>
        <w:jc w:val="both"/>
        <w:ind w:left="520" w:right="300" w:hanging="513"/>
        <w:spacing w:after="0" w:line="255"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520" w:right="260" w:hanging="513"/>
        <w:spacing w:after="0" w:line="278"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jc w:val="both"/>
        <w:ind w:left="520" w:right="300" w:hanging="513"/>
        <w:spacing w:after="0" w:line="247"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Times New Roman" w:cs="Times New Roman" w:eastAsia="Times New Roman" w:hAnsi="Times New Roman"/>
          <w:sz w:val="18"/>
          <w:szCs w:val="18"/>
          <w:color w:val="auto"/>
        </w:rPr>
      </w:pPr>
    </w:p>
    <w:p>
      <w:pPr>
        <w:ind w:left="1140" w:right="120" w:hanging="505"/>
        <w:spacing w:after="0" w:line="247"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8"/>
          <w:szCs w:val="18"/>
          <w:color w:val="auto"/>
        </w:rPr>
      </w:pPr>
    </w:p>
    <w:p>
      <w:pPr>
        <w:ind w:left="1140" w:right="240" w:hanging="505"/>
        <w:spacing w:after="0" w:line="247"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8"/>
          <w:szCs w:val="18"/>
          <w:color w:val="auto"/>
        </w:rPr>
      </w:pPr>
    </w:p>
    <w:p>
      <w:pPr>
        <w:jc w:val="both"/>
        <w:ind w:left="1140" w:right="400" w:hanging="505"/>
        <w:spacing w:after="0" w:line="292" w:lineRule="auto"/>
        <w:tabs>
          <w:tab w:leader="none" w:pos="11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140" w:right="120" w:hanging="505"/>
        <w:spacing w:after="0" w:line="255"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520" w:hanging="513"/>
        <w:spacing w:after="0" w:line="278"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1140" w:right="640" w:hanging="505"/>
        <w:spacing w:after="0" w:line="263"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1140" w:right="340" w:hanging="505"/>
        <w:spacing w:after="0" w:line="278"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16510</wp:posOffset>
            </wp:positionV>
            <wp:extent cx="33496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3349625" cy="8255"/>
                    </a:xfrm>
                    <a:prstGeom prst="rect">
                      <a:avLst/>
                    </a:prstGeom>
                    <a:noFill/>
                  </pic:spPr>
                </pic:pic>
              </a:graphicData>
            </a:graphic>
          </wp:anchor>
        </w:drawing>
      </w:r>
    </w:p>
    <w:p>
      <w:pPr>
        <w:spacing w:after="0" w:line="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416560</wp:posOffset>
            </wp:positionV>
            <wp:extent cx="71589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5" w:name="page86"/>
    <w:bookmarkEnd w:id="85"/>
    <w:p>
      <w:pPr>
        <w:ind w:left="102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101" w:lineRule="exact"/>
        <w:rPr>
          <w:sz w:val="20"/>
          <w:szCs w:val="20"/>
          <w:color w:val="auto"/>
        </w:rPr>
      </w:pPr>
    </w:p>
    <w:p>
      <w:pPr>
        <w:ind w:left="520" w:hanging="513"/>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00" w:lineRule="exact"/>
        <w:rPr>
          <w:rFonts w:ascii="Times New Roman" w:cs="Times New Roman" w:eastAsia="Times New Roman" w:hAnsi="Times New Roman"/>
          <w:sz w:val="18"/>
          <w:szCs w:val="18"/>
          <w:color w:val="auto"/>
        </w:rPr>
      </w:pPr>
    </w:p>
    <w:p>
      <w:pPr>
        <w:jc w:val="both"/>
        <w:ind w:left="520" w:right="300" w:hanging="513"/>
        <w:spacing w:after="0" w:line="255"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520" w:right="260" w:hanging="513"/>
        <w:spacing w:after="0" w:line="278"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8"/>
          <w:szCs w:val="18"/>
          <w:color w:val="auto"/>
        </w:rPr>
      </w:pPr>
    </w:p>
    <w:p>
      <w:pPr>
        <w:jc w:val="both"/>
        <w:ind w:left="520" w:right="300" w:hanging="513"/>
        <w:spacing w:after="0" w:line="247"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Times New Roman" w:cs="Times New Roman" w:eastAsia="Times New Roman" w:hAnsi="Times New Roman"/>
          <w:sz w:val="18"/>
          <w:szCs w:val="18"/>
          <w:color w:val="auto"/>
        </w:rPr>
      </w:pPr>
    </w:p>
    <w:p>
      <w:pPr>
        <w:ind w:left="1140" w:right="120" w:hanging="505"/>
        <w:spacing w:after="0" w:line="247"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8"/>
          <w:szCs w:val="18"/>
          <w:color w:val="auto"/>
        </w:rPr>
      </w:pPr>
    </w:p>
    <w:p>
      <w:pPr>
        <w:ind w:left="1140" w:right="240" w:hanging="505"/>
        <w:spacing w:after="0" w:line="247"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8"/>
          <w:szCs w:val="18"/>
          <w:color w:val="auto"/>
        </w:rPr>
      </w:pPr>
    </w:p>
    <w:p>
      <w:pPr>
        <w:jc w:val="both"/>
        <w:ind w:left="1140" w:right="400" w:hanging="505"/>
        <w:spacing w:after="0" w:line="292" w:lineRule="auto"/>
        <w:tabs>
          <w:tab w:leader="none" w:pos="11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140" w:right="120" w:hanging="505"/>
        <w:spacing w:after="0" w:line="255"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520" w:hanging="513"/>
        <w:spacing w:after="0" w:line="278"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8"/>
          <w:szCs w:val="18"/>
          <w:color w:val="auto"/>
        </w:rPr>
      </w:pPr>
    </w:p>
    <w:p>
      <w:pPr>
        <w:ind w:left="1140" w:right="640" w:hanging="505"/>
        <w:spacing w:after="0" w:line="263"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1140" w:right="340" w:hanging="505"/>
        <w:spacing w:after="0" w:line="278"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tabs>
          <w:tab w:leader="none" w:pos="5620" w:val="left"/>
          <w:tab w:leader="none" w:pos="77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16510</wp:posOffset>
            </wp:positionV>
            <wp:extent cx="33496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3349625" cy="8255"/>
                    </a:xfrm>
                    <a:prstGeom prst="rect">
                      <a:avLst/>
                    </a:prstGeom>
                    <a:noFill/>
                  </pic:spPr>
                </pic:pic>
              </a:graphicData>
            </a:graphic>
          </wp:anchor>
        </w:drawing>
      </w:r>
    </w:p>
    <w:p>
      <w:pPr>
        <w:spacing w:after="0" w:line="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416560</wp:posOffset>
            </wp:positionV>
            <wp:extent cx="71589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jc w:val="both"/>
        <w:ind w:right="60" w:firstLine="509"/>
        <w:spacing w:after="0" w:line="247"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84" w:lineRule="exact"/>
        <w:rPr>
          <w:sz w:val="20"/>
          <w:szCs w:val="20"/>
          <w:color w:val="auto"/>
        </w:rPr>
      </w:pPr>
    </w:p>
    <w:p>
      <w:pPr>
        <w:ind w:left="1140" w:hanging="505"/>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0" w:lineRule="exact"/>
        <w:rPr>
          <w:rFonts w:ascii="Times New Roman" w:cs="Times New Roman" w:eastAsia="Times New Roman" w:hAnsi="Times New Roman"/>
          <w:sz w:val="18"/>
          <w:szCs w:val="18"/>
          <w:color w:val="auto"/>
        </w:rPr>
      </w:pPr>
    </w:p>
    <w:p>
      <w:pPr>
        <w:ind w:left="1140" w:right="540" w:hanging="505"/>
        <w:spacing w:after="0" w:line="263"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920" w:val="left"/>
          <w:tab w:leader="none" w:pos="808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16510</wp:posOffset>
            </wp:positionV>
            <wp:extent cx="31540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3154045" cy="8255"/>
                    </a:xfrm>
                    <a:prstGeom prst="rect">
                      <a:avLst/>
                    </a:prstGeom>
                    <a:noFill/>
                  </pic:spPr>
                </pic:pic>
              </a:graphicData>
            </a:graphic>
          </wp:anchor>
        </w:drawing>
      </w:r>
    </w:p>
    <w:p>
      <w:pPr>
        <w:spacing w:after="0" w:line="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1"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416560</wp:posOffset>
            </wp:positionV>
            <wp:extent cx="71589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jc w:val="both"/>
        <w:ind w:right="60" w:firstLine="509"/>
        <w:spacing w:after="0" w:line="247"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84" w:lineRule="exact"/>
        <w:rPr>
          <w:sz w:val="20"/>
          <w:szCs w:val="20"/>
          <w:color w:val="auto"/>
        </w:rPr>
      </w:pPr>
    </w:p>
    <w:p>
      <w:pPr>
        <w:ind w:left="1140" w:hanging="505"/>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0" w:lineRule="exact"/>
        <w:rPr>
          <w:rFonts w:ascii="Times New Roman" w:cs="Times New Roman" w:eastAsia="Times New Roman" w:hAnsi="Times New Roman"/>
          <w:sz w:val="18"/>
          <w:szCs w:val="18"/>
          <w:color w:val="auto"/>
        </w:rPr>
      </w:pPr>
    </w:p>
    <w:p>
      <w:pPr>
        <w:ind w:left="1140" w:right="540" w:hanging="505"/>
        <w:spacing w:after="0" w:line="26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920" w:val="left"/>
          <w:tab w:leader="none" w:pos="790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16510</wp:posOffset>
            </wp:positionV>
            <wp:extent cx="31540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154045" cy="8255"/>
                    </a:xfrm>
                    <a:prstGeom prst="rect">
                      <a:avLst/>
                    </a:prstGeom>
                    <a:noFill/>
                  </pic:spPr>
                </pic:pic>
              </a:graphicData>
            </a:graphic>
          </wp:anchor>
        </w:drawing>
      </w:r>
    </w:p>
    <w:p>
      <w:pPr>
        <w:spacing w:after="0" w:line="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1"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416560</wp:posOffset>
            </wp:positionV>
            <wp:extent cx="71589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2"/>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1."/>
      <w:numFmt w:val="decimal"/>
      <w:start w:val="4"/>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1."/>
      <w:numFmt w:val="decimal"/>
      <w:start w:val="7"/>
    </w:lvl>
  </w:abstractNum>
  <w:abstractNum w:abstractNumId="10">
    <w:nsid w:val="5577F8E1"/>
    <w:multiLevelType w:val="hybridMultilevel"/>
    <w:lvl w:ilvl="0">
      <w:lvlJc w:val="left"/>
      <w:lvlText w:val="%1."/>
      <w:numFmt w:val="decimal"/>
      <w:start w:val="8"/>
    </w:lvl>
  </w:abstractNum>
  <w:abstractNum w:abstractNumId="11">
    <w:nsid w:val="440BADFC"/>
    <w:multiLevelType w:val="hybridMultilevel"/>
    <w:lvl w:ilvl="0">
      <w:lvlJc w:val="left"/>
      <w:lvlText w:val="%1."/>
      <w:numFmt w:val="decimal"/>
      <w:start w:val="9"/>
    </w:lvl>
  </w:abstractNum>
  <w:abstractNum w:abstractNumId="12">
    <w:nsid w:val="5072367"/>
    <w:multiLevelType w:val="hybridMultilevel"/>
    <w:lvl w:ilvl="0">
      <w:lvlJc w:val="left"/>
      <w:lvlText w:val="%1."/>
      <w:numFmt w:val="decimal"/>
      <w:start w:val="10"/>
    </w:lvl>
  </w:abstractNum>
  <w:abstractNum w:abstractNumId="13">
    <w:nsid w:val="3804823E"/>
    <w:multiLevelType w:val="hybridMultilevel"/>
    <w:lvl w:ilvl="0">
      <w:lvlJc w:val="left"/>
      <w:lvlText w:val="%1."/>
      <w:numFmt w:val="decimal"/>
      <w:start w:val="11"/>
    </w:lvl>
  </w:abstractNum>
  <w:abstractNum w:abstractNumId="14">
    <w:nsid w:val="77465F01"/>
    <w:multiLevelType w:val="hybridMultilevel"/>
    <w:lvl w:ilvl="0">
      <w:lvlJc w:val="left"/>
      <w:lvlText w:val="%1."/>
      <w:numFmt w:val="decimal"/>
      <w:start w:val="12"/>
    </w:lvl>
  </w:abstractNum>
  <w:abstractNum w:abstractNumId="15">
    <w:nsid w:val="7724C67E"/>
    <w:multiLevelType w:val="hybridMultilevel"/>
    <w:lvl w:ilvl="0">
      <w:lvlJc w:val="left"/>
      <w:lvlText w:val="%1."/>
      <w:numFmt w:val="decimal"/>
      <w:start w:val="13"/>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191" Type="http://schemas.openxmlformats.org/officeDocument/2006/relationships/hyperlink" Target="https://www.sec.gov/Archives/edgar/data/1799448/000119312520272852/d46540dex31.htm" TargetMode="External"/><Relationship Id="rId192" Type="http://schemas.openxmlformats.org/officeDocument/2006/relationships/hyperlink" Target="https://www.sec.gov/Archives/edgar/data/1799448/000119312520272852/d46540dex32.htm" TargetMode="External"/><Relationship Id="rId193" Type="http://schemas.openxmlformats.org/officeDocument/2006/relationships/hyperlink" Target="https://www.sec.gov/Archives/edgar/data/1799448/000119312520267346/d3140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2022-05-04T15:52:20Z</dcterms:created>
  <dcterms:modified xsi:type="dcterms:W3CDTF">2022-05-04T15:52:20Z</dcterms:modified>
</cp:coreProperties>
</file>