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algs-20230930.htm"/>
      <w:bookmarkStart w:id="1" w:name="ksalgs20230930"/>
      <w:bookmarkEnd w:id="0"/>
      <w:bookmarkEnd w:id="1"/>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5"/>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5"/>
        </w:rPr>
        <w:t>FORM 10-Q</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center"/>
              <w:rPr>
                <w:color w:val="000000"/>
              </w:rPr>
            </w:pPr>
            <w:r>
              <w:rPr>
                <w:color w:val="000000"/>
              </w:rPr>
              <w:t>☒</w:t>
            </w:r>
          </w:p>
        </w:tc>
        <w:tc>
          <w:tcPr>
            <w:tcW w:w="9874"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September 30, 2023</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center"/>
              <w:rPr>
                <w:color w:val="000000"/>
              </w:rPr>
            </w:pPr>
            <w:r>
              <w:rPr>
                <w:color w:val="000000"/>
              </w:rPr>
              <w:t>☐</w:t>
            </w:r>
          </w:p>
        </w:tc>
        <w:tc>
          <w:tcPr>
            <w:tcW w:w="9874"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Commission File Number: 001-39617</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47"/>
        </w:rPr>
        <w:t>Aligos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097" w:type="dxa"/>
        <w:jc w:val="left"/>
        <w:tblInd w:w="0" w:type="dxa"/>
        <w:tblLayout w:type="fixed"/>
        <w:tblCellMar>
          <w:top w:w="28" w:type="dxa"/>
          <w:left w:w="28" w:type="dxa"/>
          <w:bottom w:w="28" w:type="dxa"/>
          <w:right w:w="28" w:type="dxa"/>
        </w:tblCellMar>
      </w:tblPr>
      <w:tblGrid>
        <w:gridCol w:w="2851"/>
        <w:gridCol w:w="1246"/>
      </w:tblGrid>
      <w:tr>
        <w:trPr/>
        <w:tc>
          <w:tcPr>
            <w:tcW w:w="285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82-4724808</w:t>
            </w:r>
          </w:p>
        </w:tc>
      </w:tr>
      <w:tr>
        <w:trPr/>
        <w:tc>
          <w:tcPr>
            <w:tcW w:w="2851"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85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Corporate Drive, 2nd Floor</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South San Francisco, California</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5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(800) 466-6059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tbl>
      <w:tblPr>
        <w:tblW w:w="8230" w:type="dxa"/>
        <w:jc w:val="left"/>
        <w:tblInd w:w="0" w:type="dxa"/>
        <w:tblLayout w:type="fixed"/>
        <w:tblCellMar>
          <w:top w:w="28" w:type="dxa"/>
          <w:left w:w="28" w:type="dxa"/>
          <w:bottom w:w="28" w:type="dxa"/>
          <w:right w:w="28" w:type="dxa"/>
        </w:tblCellMar>
      </w:tblPr>
      <w:tblGrid>
        <w:gridCol w:w="3916"/>
        <w:gridCol w:w="146"/>
        <w:gridCol w:w="1231"/>
        <w:gridCol w:w="146"/>
        <w:gridCol w:w="27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Trading</w:t>
            </w:r>
            <w:r>
              <w:rPr>
                <w:rFonts w:ascii="Times New Roman" w:hAnsi="Times New Roman"/>
                <w:color w:val="000000"/>
                <w:sz w:val="14"/>
              </w:rPr>
              <w:t xml:space="preserve"> </w:t>
            </w: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Name of each exchange on which registered</w:t>
            </w:r>
            <w:r>
              <w:rPr>
                <w:rFonts w:ascii="Times New Roman" w:hAnsi="Times New Roman"/>
                <w:color w:val="000000"/>
                <w:sz w:val="14"/>
              </w:rPr>
              <w:t xml:space="preserve"> </w:t>
            </w:r>
          </w:p>
        </w:tc>
      </w:tr>
      <w:tr>
        <w:trPr/>
        <w:tc>
          <w:tcPr>
            <w:tcW w:w="39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46" w:type="dxa"/>
            <w:tcBorders/>
            <w:vAlign w:val="center"/>
          </w:tcPr>
          <w:p>
            <w:pPr>
              <w:pStyle w:val="TableContents"/>
              <w:bidi w:val="0"/>
              <w:spacing w:before="0" w:after="283"/>
              <w:jc w:val="center"/>
              <w:rPr/>
            </w:pPr>
            <w:r>
              <w:rPr/>
              <w:t> </w:t>
            </w:r>
          </w:p>
        </w:tc>
        <w:tc>
          <w:tcPr>
            <w:tcW w:w="12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ALGS</w:t>
            </w:r>
          </w:p>
        </w:tc>
        <w:tc>
          <w:tcPr>
            <w:tcW w:w="146" w:type="dxa"/>
            <w:tcBorders/>
            <w:vAlign w:val="center"/>
          </w:tcPr>
          <w:p>
            <w:pPr>
              <w:pStyle w:val="TableContents"/>
              <w:bidi w:val="0"/>
              <w:spacing w:before="0" w:after="283"/>
              <w:jc w:val="center"/>
              <w:rPr/>
            </w:pPr>
            <w:r>
              <w:rPr/>
              <w:t> </w:t>
            </w:r>
          </w:p>
        </w:tc>
        <w:tc>
          <w:tcPr>
            <w:tcW w:w="279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The Nasdaq Stock Market LLC</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spacing w:before="80" w:after="283"/>
        <w:jc w:val="left"/>
        <w:rPr>
          <w:rFonts w:ascii="Times New Roman" w:hAnsi="Times New Roman"/>
          <w:sz w:val="20"/>
        </w:rPr>
      </w:pPr>
      <w:r>
        <w:rPr>
          <w:rFonts w:ascii="Times New Roman" w:hAnsi="Times New Roman"/>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20"/>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20"/>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456" w:type="dxa"/>
        <w:jc w:val="left"/>
        <w:tblInd w:w="0" w:type="dxa"/>
        <w:tblLayout w:type="fixed"/>
        <w:tblCellMar>
          <w:top w:w="28" w:type="dxa"/>
          <w:left w:w="28" w:type="dxa"/>
          <w:bottom w:w="28" w:type="dxa"/>
          <w:right w:w="28" w:type="dxa"/>
        </w:tblCellMar>
      </w:tblPr>
      <w:tblGrid>
        <w:gridCol w:w="1921"/>
        <w:gridCol w:w="146"/>
        <w:gridCol w:w="316"/>
        <w:gridCol w:w="146"/>
        <w:gridCol w:w="109"/>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Large 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42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Accelerated filer</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color w:val="000000"/>
              </w:rPr>
            </w:pPr>
            <w:r>
              <w:rPr>
                <w:color w:val="000000"/>
              </w:rPr>
              <w:t>☐</w:t>
            </w:r>
          </w:p>
        </w:tc>
      </w:tr>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42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Smaller reporting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color w:val="000000"/>
              </w:rPr>
            </w:pPr>
            <w:r>
              <w:rPr>
                <w:color w:val="000000"/>
              </w:rPr>
              <w:t>☒</w:t>
            </w:r>
          </w:p>
        </w:tc>
      </w:tr>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20"/>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20"/>
        </w:rPr>
        <w:t>As of October 31, 2023, the registrant had 74,931,848 shares of common stock, $0.0001 par value per share, outstanding, comprised of 71,839,510</w:t>
      </w:r>
      <w:r>
        <w:rPr>
          <w:rFonts w:ascii="Times New Roman" w:hAnsi="Times New Roman"/>
          <w:color w:val="000000"/>
          <w:sz w:val="20"/>
        </w:rPr>
        <w:t xml:space="preserve"> </w:t>
      </w:r>
      <w:r>
        <w:rPr>
          <w:rFonts w:ascii="Times New Roman" w:hAnsi="Times New Roman"/>
          <w:b w:val="false"/>
          <w:color w:val="000000"/>
          <w:sz w:val="20"/>
        </w:rPr>
        <w:t>shares of voting common stock, $0.0001 par value per share and 3,092,338</w:t>
      </w:r>
      <w:r>
        <w:rPr>
          <w:rFonts w:ascii="Times New Roman" w:hAnsi="Times New Roman"/>
          <w:color w:val="000000"/>
          <w:sz w:val="20"/>
        </w:rPr>
        <w:t xml:space="preserve"> </w:t>
      </w:r>
      <w:r>
        <w:rPr>
          <w:rFonts w:ascii="Times New Roman" w:hAnsi="Times New Roman"/>
          <w:b w:val="false"/>
          <w:color w:val="000000"/>
          <w:sz w:val="20"/>
        </w:rPr>
        <w:t>shares of non-voting common stock, $0.0001 par value per share.</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scope, progress, results and costs of developing our drug candidates or any other future drug candidates, and conducting nonclinical studies and clinical trials, including our ALG-055009, ALG</w:t>
        <w:noBreakHyphen/>
        <w:t>000184, ALG</w:t>
        <w:noBreakHyphen/>
        <w:t>097558 and ALG</w:t>
        <w:noBreakHyphen/>
        <w:t>125755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scope, progress, results and costs related to the research and development of our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timing of, and costs involved in, obtaining and maintaining regulatory approval for any of our current or future drug candidates, and any related restrictions or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expectations regarding the potential market size and size of the potential patient populations for ALG</w:t>
        <w:noBreakHyphen/>
        <w:t>055009, ALG</w:t>
        <w:noBreakHyphen/>
        <w:t>000184, ALG</w:t>
        <w:noBreakHyphen/>
        <w:t>097558 and ALG-125755, our other drug candidates and any future drug candidates, if approved for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maintain existing, and establish new, collaborations, licensing or other arrangements and the financial terms of any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commercialization, marketing and manufacturing capabilities and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rate and degree of market acceptance of our drug candidates, as well as the pricing and reimbursement of our drug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implementation of our business model and strategic plans for our business, drug candidates and technology, including additional indications for which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scope of protection we are able to establish and maintain for intellectual property rights covering our drug candidates, including the projected term of patent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estimates of our expenses, future revenue, capital requirements, our needs for additional financing and our ability to obtain additional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developments and projections relating to our competitors and our industry, including competing therapies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and legal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performance of our third-party suppliers and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attract and retain key management,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expectations regarding the period during which we will qualify as an emerging growth company under the Jumpstart Our Business Startups Act of 2012;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expectations regarding our ability to obtain, maintain, enforce and defend our intellectual property protection for our drug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risks and uncertainties, including those listed under the caption “Risk Factors.”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obligation to publicly update or revise any forward-looking statements contained herein for any reason after the date of this report to conform these statements to new information, actual results or changes in our expectations, except as required by applicable law.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color w:val="000000"/>
          <w:sz w:val="20"/>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material risks associated with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principal risks and uncertainties affecting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have never generated revenue from product sales and may never be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fail to comply with the continued listing requirements of the Nasdaq Stock Market LLC (Nasdaq) our common stock may be delisted and the price of our common stock and our ability to access the capital markets could be negatively impacted.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intend to develop our current drug candidates, and expect to develop other future drug candidates, in combination with other therapies, which exposes us to additional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face significant competition, and if our competitors develop and market products that are more effective, safer or less expensive than the drug candidates we develop, our commercial opportunities will be negatively impacted.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Third parties may initiate legal proceedings alleging that we are infringing, misappropriating or otherwise violating their intellectual property rights, the outcome of which would be uncertain and could negatively impact the success of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50"/>
        <w:gridCol w:w="8712"/>
        <w:gridCol w:w="543"/>
      </w:tblGrid>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9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50" w:type="dxa"/>
            <w:tcBorders/>
            <w:vAlign w:val="center"/>
          </w:tcPr>
          <w:p>
            <w:pPr>
              <w:pStyle w:val="TableContents"/>
              <w:pBdr/>
              <w:bidi w:val="0"/>
              <w:spacing w:before="0" w:after="283"/>
              <w:ind w:left="0" w:right="0" w:hanging="240"/>
              <w:jc w:val="left"/>
              <w:rPr>
                <w:rFonts w:ascii="Times New Roman" w:hAnsi="Times New Roman"/>
                <w:sz w:val="20"/>
              </w:rPr>
            </w:pPr>
            <w:r>
              <w:rPr>
                <w:rFonts w:ascii="Times New Roman" w:hAnsi="Times New Roman"/>
                <w:b/>
                <w:color w:val="000000"/>
                <w:sz w:val="20"/>
              </w:rPr>
              <w:t>PART I</w:t>
            </w:r>
            <w:r>
              <w:rPr>
                <w:rFonts w:ascii="Times New Roman" w:hAnsi="Times New Roman"/>
                <w:b w:val="false"/>
                <w:color w:val="000000"/>
                <w:sz w:val="20"/>
              </w:rPr>
              <w:t>.</w:t>
            </w:r>
          </w:p>
        </w:tc>
        <w:tc>
          <w:tcPr>
            <w:tcW w:w="8712" w:type="dxa"/>
            <w:tcBorders/>
            <w:vAlign w:val="center"/>
          </w:tcPr>
          <w:p>
            <w:pPr>
              <w:pStyle w:val="TableContents"/>
              <w:bidi w:val="0"/>
              <w:spacing w:before="0" w:after="283"/>
              <w:jc w:val="left"/>
              <w:rPr/>
            </w:pPr>
            <w:hyperlink w:anchor="part_ifinancial_information">
              <w:r>
                <w:rPr>
                  <w:rStyle w:val="InternetLink"/>
                  <w:rFonts w:ascii="Times New Roman" w:hAnsi="Times New Roman"/>
                  <w:b w:val="false"/>
                  <w:color w:val="0000FF"/>
                  <w:sz w:val="20"/>
                  <w:u w:val="single"/>
                </w:rPr>
                <w:t>FINANCIAL INFORMATION</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1.</w:t>
            </w:r>
          </w:p>
        </w:tc>
        <w:tc>
          <w:tcPr>
            <w:tcW w:w="8712" w:type="dxa"/>
            <w:tcBorders/>
            <w:vAlign w:val="center"/>
          </w:tcPr>
          <w:p>
            <w:pPr>
              <w:pStyle w:val="TableContents"/>
              <w:pBdr/>
              <w:bidi w:val="0"/>
              <w:spacing w:before="0" w:after="283"/>
              <w:ind w:left="0" w:right="0" w:hanging="240"/>
              <w:jc w:val="left"/>
              <w:rPr/>
            </w:pPr>
            <w:hyperlink w:anchor="item_1_financial_statements">
              <w:r>
                <w:rPr>
                  <w:rStyle w:val="InternetLink"/>
                  <w:rFonts w:ascii="Times New Roman" w:hAnsi="Times New Roman"/>
                  <w:b w:val="false"/>
                  <w:color w:val="0000FF"/>
                  <w:sz w:val="20"/>
                  <w:u w:val="single"/>
                </w:rPr>
                <w:t>Financial Statements (Unaudited)</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1</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712" w:type="dxa"/>
            <w:tcBorders/>
            <w:vAlign w:val="center"/>
          </w:tcPr>
          <w:p>
            <w:pPr>
              <w:pStyle w:val="TableContents"/>
              <w:pBdr/>
              <w:bidi w:val="0"/>
              <w:spacing w:before="0" w:after="283"/>
              <w:ind w:left="0" w:right="0" w:hanging="240"/>
              <w:jc w:val="left"/>
              <w:rPr/>
            </w:pPr>
            <w:hyperlink w:anchor="condensed_consolidated_balance_sheets">
              <w:r>
                <w:rPr>
                  <w:rStyle w:val="InternetLink"/>
                  <w:rFonts w:ascii="Times New Roman" w:hAnsi="Times New Roman"/>
                  <w:b w:val="false"/>
                  <w:color w:val="0000FF"/>
                  <w:sz w:val="20"/>
                  <w:u w:val="single"/>
                </w:rPr>
                <w:t>Condensed Consolidated Balance Sheets as of September 30, 2023 and December 31, 2022</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1</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712" w:type="dxa"/>
            <w:tcBorders/>
            <w:vAlign w:val="center"/>
          </w:tcPr>
          <w:p>
            <w:pPr>
              <w:pStyle w:val="TableContents"/>
              <w:pBdr/>
              <w:bidi w:val="0"/>
              <w:spacing w:before="0" w:after="283"/>
              <w:ind w:left="0" w:right="0" w:hanging="240"/>
              <w:jc w:val="left"/>
              <w:rPr/>
            </w:pPr>
            <w:hyperlink w:anchor="condensed_consolidated_statements_operat">
              <w:r>
                <w:rPr>
                  <w:rStyle w:val="InternetLink"/>
                  <w:rFonts w:ascii="Times New Roman" w:hAnsi="Times New Roman"/>
                  <w:b w:val="false"/>
                  <w:color w:val="0000FF"/>
                  <w:sz w:val="20"/>
                  <w:u w:val="single"/>
                </w:rPr>
                <w:t>Condensed Consolidated Statements of Operations and Comprehensive Loss for the Three and Nine Months Ended September 30, 2023 and 2022</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2</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712" w:type="dxa"/>
            <w:tcBorders/>
            <w:vAlign w:val="center"/>
          </w:tcPr>
          <w:p>
            <w:pPr>
              <w:pStyle w:val="TableContents"/>
              <w:pBdr/>
              <w:bidi w:val="0"/>
              <w:spacing w:before="0" w:after="283"/>
              <w:ind w:left="0" w:right="0" w:hanging="240"/>
              <w:jc w:val="left"/>
              <w:rPr/>
            </w:pPr>
            <w:hyperlink w:anchor="condensed_consolidated_statements_change">
              <w:r>
                <w:rPr>
                  <w:rStyle w:val="InternetLink"/>
                  <w:rFonts w:ascii="Times New Roman" w:hAnsi="Times New Roman"/>
                  <w:b w:val="false"/>
                  <w:color w:val="0000FF"/>
                  <w:sz w:val="20"/>
                  <w:u w:val="single"/>
                </w:rPr>
                <w:t>Condensed Consolidated Statements of Changes in Stockholders’ Equity for the Three and Nine Months Ended September 30, 2023 and 2022</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3</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712" w:type="dxa"/>
            <w:tcBorders/>
            <w:vAlign w:val="center"/>
          </w:tcPr>
          <w:p>
            <w:pPr>
              <w:pStyle w:val="TableContents"/>
              <w:pBdr/>
              <w:bidi w:val="0"/>
              <w:spacing w:before="0" w:after="283"/>
              <w:ind w:left="0" w:right="0" w:hanging="240"/>
              <w:jc w:val="left"/>
              <w:rPr/>
            </w:pPr>
            <w:hyperlink w:anchor="condensed_consolidated_statements">
              <w:r>
                <w:rPr>
                  <w:rStyle w:val="InternetLink"/>
                  <w:rFonts w:ascii="Times New Roman" w:hAnsi="Times New Roman"/>
                  <w:b w:val="false"/>
                  <w:color w:val="0000FF"/>
                  <w:sz w:val="20"/>
                  <w:u w:val="single"/>
                </w:rPr>
                <w:t>Condensed Consolidated Statements of Cash Flows for the Nine Months Ended September 30, 2023 and 2022</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5</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712" w:type="dxa"/>
            <w:tcBorders/>
            <w:vAlign w:val="center"/>
          </w:tcPr>
          <w:p>
            <w:pPr>
              <w:pStyle w:val="TableContents"/>
              <w:pBdr/>
              <w:bidi w:val="0"/>
              <w:spacing w:before="0" w:after="283"/>
              <w:ind w:left="0" w:right="0" w:hanging="240"/>
              <w:jc w:val="left"/>
              <w:rPr/>
            </w:pPr>
            <w:hyperlink w:anchor="notes_to_unaudited_condensed_consolidate">
              <w:r>
                <w:rPr>
                  <w:rStyle w:val="InternetLink"/>
                  <w:rFonts w:ascii="Times New Roman" w:hAnsi="Times New Roman"/>
                  <w:b w:val="false"/>
                  <w:color w:val="0000FF"/>
                  <w:sz w:val="20"/>
                  <w:u w:val="single"/>
                </w:rPr>
                <w:t>Notes to Unaudited Condensed Consolidated Financial Statements</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7</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2.</w:t>
            </w:r>
          </w:p>
        </w:tc>
        <w:tc>
          <w:tcPr>
            <w:tcW w:w="8712" w:type="dxa"/>
            <w:tcBorders/>
            <w:vAlign w:val="center"/>
          </w:tcPr>
          <w:p>
            <w:pPr>
              <w:pStyle w:val="TableContents"/>
              <w:pBdr/>
              <w:bidi w:val="0"/>
              <w:spacing w:before="0" w:after="283"/>
              <w:ind w:left="0" w:right="0" w:hanging="240"/>
              <w:jc w:val="left"/>
              <w:rPr/>
            </w:pPr>
            <w:hyperlink w:anchor="itm2">
              <w:r>
                <w:rPr>
                  <w:rStyle w:val="InternetLink"/>
                  <w:rFonts w:ascii="Times New Roman" w:hAnsi="Times New Roman"/>
                  <w:b w:val="false"/>
                  <w:color w:val="0000FF"/>
                  <w:sz w:val="20"/>
                  <w:u w:val="single"/>
                </w:rPr>
                <w:t>Management’s Discussion and Analysis of Financial Condition and Results of Operations</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19</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3.</w:t>
            </w:r>
          </w:p>
        </w:tc>
        <w:tc>
          <w:tcPr>
            <w:tcW w:w="8712" w:type="dxa"/>
            <w:tcBorders/>
            <w:vAlign w:val="center"/>
          </w:tcPr>
          <w:p>
            <w:pPr>
              <w:pStyle w:val="TableContents"/>
              <w:pBdr/>
              <w:bidi w:val="0"/>
              <w:spacing w:before="0" w:after="283"/>
              <w:ind w:left="0" w:right="0" w:hanging="240"/>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26</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4.</w:t>
            </w:r>
          </w:p>
        </w:tc>
        <w:tc>
          <w:tcPr>
            <w:tcW w:w="8712" w:type="dxa"/>
            <w:tcBorders/>
            <w:vAlign w:val="center"/>
          </w:tcPr>
          <w:p>
            <w:pPr>
              <w:pStyle w:val="TableContents"/>
              <w:pBdr/>
              <w:bidi w:val="0"/>
              <w:spacing w:before="0" w:after="283"/>
              <w:ind w:left="0" w:right="0" w:hanging="240"/>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27</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ind w:left="0" w:right="0" w:firstLine="240"/>
              <w:jc w:val="right"/>
              <w:rPr/>
            </w:pPr>
            <w:r>
              <w:rPr/>
              <w:t> </w:t>
            </w:r>
          </w:p>
        </w:tc>
      </w:tr>
      <w:tr>
        <w:trPr/>
        <w:tc>
          <w:tcPr>
            <w:tcW w:w="950" w:type="dxa"/>
            <w:tcBorders/>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PART II.</w:t>
            </w:r>
          </w:p>
        </w:tc>
        <w:tc>
          <w:tcPr>
            <w:tcW w:w="8712" w:type="dxa"/>
            <w:tcBorders/>
            <w:vAlign w:val="center"/>
          </w:tcPr>
          <w:p>
            <w:pPr>
              <w:pStyle w:val="TableContents"/>
              <w:bidi w:val="0"/>
              <w:spacing w:before="0" w:after="283"/>
              <w:jc w:val="left"/>
              <w:rPr/>
            </w:pPr>
            <w:hyperlink w:anchor="part_iior_information">
              <w:r>
                <w:rPr>
                  <w:rStyle w:val="InternetLink"/>
                  <w:rFonts w:ascii="Times New Roman" w:hAnsi="Times New Roman"/>
                  <w:b w:val="false"/>
                  <w:color w:val="0000FF"/>
                  <w:sz w:val="20"/>
                  <w:u w:val="single"/>
                </w:rPr>
                <w:t>OTHER INFORMATION</w:t>
              </w:r>
            </w:hyperlink>
          </w:p>
        </w:tc>
        <w:tc>
          <w:tcPr>
            <w:tcW w:w="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1.</w:t>
            </w:r>
          </w:p>
        </w:tc>
        <w:tc>
          <w:tcPr>
            <w:tcW w:w="8712" w:type="dxa"/>
            <w:tcBorders/>
            <w:vAlign w:val="center"/>
          </w:tcPr>
          <w:p>
            <w:pPr>
              <w:pStyle w:val="TableContents"/>
              <w:pBdr/>
              <w:bidi w:val="0"/>
              <w:spacing w:before="0" w:after="283"/>
              <w:ind w:left="0" w:right="0" w:hanging="240"/>
              <w:jc w:val="left"/>
              <w:rPr/>
            </w:pPr>
            <w:hyperlink w:anchor="item_1_legal_proceedings">
              <w:r>
                <w:rPr>
                  <w:rStyle w:val="InternetLink"/>
                  <w:rFonts w:ascii="Times New Roman" w:hAnsi="Times New Roman"/>
                  <w:b w:val="false"/>
                  <w:color w:val="0000FF"/>
                  <w:sz w:val="20"/>
                  <w:u w:val="single"/>
                </w:rPr>
                <w:t>Legal Proceedings</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28</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1A.</w:t>
            </w:r>
          </w:p>
        </w:tc>
        <w:tc>
          <w:tcPr>
            <w:tcW w:w="8712" w:type="dxa"/>
            <w:tcBorders/>
            <w:vAlign w:val="center"/>
          </w:tcPr>
          <w:p>
            <w:pPr>
              <w:pStyle w:val="TableContents"/>
              <w:pBdr/>
              <w:bidi w:val="0"/>
              <w:spacing w:before="0" w:after="283"/>
              <w:ind w:left="0" w:right="0" w:hanging="240"/>
              <w:jc w:val="left"/>
              <w:rPr/>
            </w:pPr>
            <w:hyperlink w:anchor="item_1a_risk_factors">
              <w:r>
                <w:rPr>
                  <w:rStyle w:val="InternetLink"/>
                  <w:rFonts w:ascii="Times New Roman" w:hAnsi="Times New Roman"/>
                  <w:b w:val="false"/>
                  <w:color w:val="0000FF"/>
                  <w:sz w:val="20"/>
                  <w:u w:val="single"/>
                </w:rPr>
                <w:t>Risk Factors</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28</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2.</w:t>
            </w:r>
          </w:p>
        </w:tc>
        <w:tc>
          <w:tcPr>
            <w:tcW w:w="8712" w:type="dxa"/>
            <w:tcBorders/>
            <w:vAlign w:val="center"/>
          </w:tcPr>
          <w:p>
            <w:pPr>
              <w:pStyle w:val="TableContents"/>
              <w:pBdr/>
              <w:bidi w:val="0"/>
              <w:spacing w:before="0" w:after="283"/>
              <w:ind w:left="0" w:right="0" w:hanging="240"/>
              <w:jc w:val="left"/>
              <w:rPr/>
            </w:pPr>
            <w:hyperlink w:anchor="item_2_unregistered_sales_equity_securit">
              <w:r>
                <w:rPr>
                  <w:rStyle w:val="InternetLink"/>
                  <w:rFonts w:ascii="Times New Roman" w:hAnsi="Times New Roman"/>
                  <w:b w:val="false"/>
                  <w:color w:val="0000FF"/>
                  <w:sz w:val="20"/>
                  <w:u w:val="single"/>
                </w:rPr>
                <w:t>Unregistered Sales of Equity Securities and Use of Proceeds</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82</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3.</w:t>
            </w:r>
          </w:p>
        </w:tc>
        <w:tc>
          <w:tcPr>
            <w:tcW w:w="8712" w:type="dxa"/>
            <w:tcBorders/>
            <w:vAlign w:val="center"/>
          </w:tcPr>
          <w:p>
            <w:pPr>
              <w:pStyle w:val="TableContents"/>
              <w:pBdr/>
              <w:bidi w:val="0"/>
              <w:spacing w:before="0" w:after="283"/>
              <w:ind w:left="0" w:right="0" w:hanging="240"/>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82</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4.</w:t>
            </w:r>
          </w:p>
        </w:tc>
        <w:tc>
          <w:tcPr>
            <w:tcW w:w="8712" w:type="dxa"/>
            <w:tcBorders/>
            <w:vAlign w:val="center"/>
          </w:tcPr>
          <w:p>
            <w:pPr>
              <w:pStyle w:val="TableContents"/>
              <w:pBdr/>
              <w:bidi w:val="0"/>
              <w:spacing w:before="0" w:after="283"/>
              <w:ind w:left="0" w:right="0" w:hanging="240"/>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82</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5.</w:t>
            </w:r>
          </w:p>
        </w:tc>
        <w:tc>
          <w:tcPr>
            <w:tcW w:w="8712" w:type="dxa"/>
            <w:tcBorders/>
            <w:vAlign w:val="center"/>
          </w:tcPr>
          <w:p>
            <w:pPr>
              <w:pStyle w:val="TableContents"/>
              <w:pBdr/>
              <w:bidi w:val="0"/>
              <w:spacing w:before="0" w:after="283"/>
              <w:ind w:left="0" w:right="0" w:hanging="240"/>
              <w:jc w:val="left"/>
              <w:rPr/>
            </w:pPr>
            <w:hyperlink w:anchor="item_5_or_information">
              <w:r>
                <w:rPr>
                  <w:rStyle w:val="InternetLink"/>
                  <w:rFonts w:ascii="Times New Roman" w:hAnsi="Times New Roman"/>
                  <w:b w:val="false"/>
                  <w:color w:val="0000FF"/>
                  <w:sz w:val="20"/>
                  <w:u w:val="single"/>
                </w:rPr>
                <w:t>Other Information</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82</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ind w:left="0" w:right="0" w:firstLine="240"/>
              <w:jc w:val="left"/>
              <w:rPr>
                <w:rFonts w:ascii="Times New Roman" w:hAnsi="Times New Roman"/>
                <w:b w:val="false"/>
                <w:color w:val="000000"/>
                <w:sz w:val="20"/>
              </w:rPr>
            </w:pPr>
            <w:r>
              <w:rPr>
                <w:rFonts w:ascii="Times New Roman" w:hAnsi="Times New Roman"/>
                <w:b w:val="false"/>
                <w:color w:val="000000"/>
                <w:sz w:val="20"/>
              </w:rPr>
              <w:t>Item 6.</w:t>
            </w:r>
          </w:p>
        </w:tc>
        <w:tc>
          <w:tcPr>
            <w:tcW w:w="8712" w:type="dxa"/>
            <w:tcBorders/>
            <w:vAlign w:val="center"/>
          </w:tcPr>
          <w:p>
            <w:pPr>
              <w:pStyle w:val="TableContents"/>
              <w:pBdr/>
              <w:bidi w:val="0"/>
              <w:spacing w:before="0" w:after="283"/>
              <w:ind w:left="0" w:right="0" w:hanging="240"/>
              <w:jc w:val="left"/>
              <w:rPr/>
            </w:pPr>
            <w:hyperlink w:anchor="exhibits">
              <w:r>
                <w:rPr>
                  <w:rStyle w:val="InternetLink"/>
                  <w:rFonts w:ascii="Times New Roman" w:hAnsi="Times New Roman"/>
                  <w:b w:val="false"/>
                  <w:color w:val="0000FF"/>
                  <w:sz w:val="20"/>
                  <w:u w:val="single"/>
                </w:rPr>
                <w:t>Exhibits</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83</w:t>
            </w:r>
          </w:p>
        </w:tc>
      </w:tr>
      <w:tr>
        <w:trPr/>
        <w:tc>
          <w:tcPr>
            <w:tcW w:w="9662" w:type="dxa"/>
            <w:gridSpan w:val="2"/>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right"/>
              <w:rPr/>
            </w:pPr>
            <w:r>
              <w:rPr/>
              <w:t> </w:t>
            </w:r>
          </w:p>
        </w:tc>
      </w:tr>
      <w:tr>
        <w:trPr/>
        <w:tc>
          <w:tcPr>
            <w:tcW w:w="9662" w:type="dxa"/>
            <w:gridSpan w:val="2"/>
            <w:tcBorders/>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543"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b w:val="false"/>
                <w:color w:val="000000"/>
                <w:sz w:val="20"/>
              </w:rPr>
            </w:pPr>
            <w:r>
              <w:rPr>
                <w:rFonts w:ascii="Times New Roman" w:hAnsi="Times New Roman"/>
                <w:b w:val="false"/>
                <w:color w:val="000000"/>
                <w:sz w:val="20"/>
              </w:rPr>
              <w:t>84</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financial_information"/>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ALIGOS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0"/>
        </w:rPr>
        <w:t>(In thousands, except share and per share data)</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19"/>
        <w:gridCol w:w="146"/>
        <w:gridCol w:w="215"/>
        <w:gridCol w:w="858"/>
        <w:gridCol w:w="166"/>
        <w:gridCol w:w="146"/>
        <w:gridCol w:w="212"/>
        <w:gridCol w:w="849"/>
        <w:gridCol w:w="594"/>
      </w:tblGrid>
      <w:tr>
        <w:trPr/>
        <w:tc>
          <w:tcPr>
            <w:tcW w:w="7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70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1" w:type="dxa"/>
            <w:gridSpan w:val="2"/>
            <w:tcBorders/>
            <w:shd w:fill="FFFFFF" w:val="clear"/>
            <w:vAlign w:val="center"/>
          </w:tcPr>
          <w:p>
            <w:pPr>
              <w:pStyle w:val="TableContents"/>
              <w:bidi w:val="0"/>
              <w:spacing w:before="0" w:after="283"/>
              <w:jc w:val="center"/>
              <w:rPr/>
            </w:pPr>
            <w:r>
              <w:rPr/>
              <w:t> </w:t>
            </w:r>
          </w:p>
        </w:tc>
        <w:tc>
          <w:tcPr>
            <w:tcW w:w="594" w:type="dxa"/>
            <w:tcBorders/>
            <w:shd w:fill="FFFFFF" w:val="clear"/>
            <w:vAlign w:val="center"/>
          </w:tcPr>
          <w:p>
            <w:pPr>
              <w:pStyle w:val="TableContents"/>
              <w:bidi w:val="0"/>
              <w:spacing w:before="0" w:after="283"/>
              <w:jc w:val="center"/>
              <w:rPr/>
            </w:pPr>
            <w:r>
              <w:rPr/>
              <w:t> </w:t>
            </w:r>
          </w:p>
        </w:tc>
      </w:tr>
      <w:tr>
        <w:trPr/>
        <w:tc>
          <w:tcPr>
            <w:tcW w:w="701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7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1"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70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7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1"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701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81,347</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01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01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44,480</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01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7,603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9"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133,545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7,698</w:t>
            </w:r>
          </w:p>
        </w:tc>
        <w:tc>
          <w:tcPr>
            <w:tcW w:w="594" w:type="dxa"/>
            <w:tcBorders/>
            <w:shd w:fill="FFFFFF" w:val="clear"/>
            <w:vAlign w:val="center"/>
          </w:tcPr>
          <w:p>
            <w:pPr>
              <w:pStyle w:val="TableContents"/>
              <w:bidi w:val="0"/>
              <w:spacing w:before="0" w:after="283"/>
              <w:jc w:val="left"/>
              <w:rPr/>
            </w:pPr>
            <w:r>
              <w:rPr/>
              <w:t> </w:t>
            </w:r>
          </w:p>
        </w:tc>
      </w:tr>
      <w:tr>
        <w:trPr/>
        <w:tc>
          <w:tcPr>
            <w:tcW w:w="70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4,816</w:t>
            </w:r>
          </w:p>
        </w:tc>
        <w:tc>
          <w:tcPr>
            <w:tcW w:w="594" w:type="dxa"/>
            <w:tcBorders/>
            <w:shd w:fill="CFF0FC" w:val="clear"/>
            <w:vAlign w:val="center"/>
          </w:tcPr>
          <w:p>
            <w:pPr>
              <w:pStyle w:val="TableContents"/>
              <w:bidi w:val="0"/>
              <w:spacing w:before="0" w:after="283"/>
              <w:jc w:val="left"/>
              <w:rPr/>
            </w:pPr>
            <w:r>
              <w:rPr/>
              <w:t> </w:t>
            </w:r>
          </w:p>
        </w:tc>
      </w:tr>
      <w:tr>
        <w:trPr/>
        <w:tc>
          <w:tcPr>
            <w:tcW w:w="70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9"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146,693</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1"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701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w:t>
            </w:r>
          </w:p>
        </w:tc>
        <w:tc>
          <w:tcPr>
            <w:tcW w:w="146" w:type="dxa"/>
            <w:tcBorders/>
            <w:shd w:fill="CFF0FC" w:val="clear"/>
            <w:vAlign w:val="center"/>
          </w:tcPr>
          <w:p>
            <w:pPr>
              <w:pStyle w:val="TableContents"/>
              <w:bidi w:val="0"/>
              <w:spacing w:before="0" w:after="283"/>
              <w:jc w:val="left"/>
              <w:rPr/>
            </w:pPr>
            <w:r>
              <w:rPr/>
              <w:t> </w:t>
            </w:r>
          </w:p>
        </w:tc>
        <w:tc>
          <w:tcPr>
            <w:tcW w:w="107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1"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701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7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1"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70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7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1"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200"/>
              <w:jc w:val="right"/>
              <w:rPr/>
            </w:pPr>
            <w:r>
              <w:rPr/>
              <w:t> </w:t>
            </w:r>
          </w:p>
        </w:tc>
      </w:tr>
      <w:tr>
        <w:trPr/>
        <w:tc>
          <w:tcPr>
            <w:tcW w:w="701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4,737</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01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16,039</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01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3,035</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01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Finance lease liabilities, current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01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 from customers, current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01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 from collaborations, current</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8,743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33,129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9,201</w:t>
            </w:r>
          </w:p>
        </w:tc>
        <w:tc>
          <w:tcPr>
            <w:tcW w:w="594" w:type="dxa"/>
            <w:tcBorders/>
            <w:shd w:fill="CFF0FC" w:val="clear"/>
            <w:vAlign w:val="center"/>
          </w:tcPr>
          <w:p>
            <w:pPr>
              <w:pStyle w:val="TableContents"/>
              <w:bidi w:val="0"/>
              <w:spacing w:before="0" w:after="283"/>
              <w:jc w:val="left"/>
              <w:rPr/>
            </w:pPr>
            <w:r>
              <w:rPr/>
              <w:t> </w:t>
            </w:r>
          </w:p>
        </w:tc>
      </w:tr>
      <w:tr>
        <w:trPr/>
        <w:tc>
          <w:tcPr>
            <w:tcW w:w="70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w:t>
            </w:r>
          </w:p>
        </w:tc>
        <w:tc>
          <w:tcPr>
            <w:tcW w:w="594" w:type="dxa"/>
            <w:tcBorders/>
            <w:shd w:fill="FFFFFF" w:val="clear"/>
            <w:vAlign w:val="center"/>
          </w:tcPr>
          <w:p>
            <w:pPr>
              <w:pStyle w:val="TableContents"/>
              <w:bidi w:val="0"/>
              <w:spacing w:before="0" w:after="283"/>
              <w:jc w:val="left"/>
              <w:rPr/>
            </w:pPr>
            <w:r>
              <w:rPr/>
              <w:t> </w:t>
            </w:r>
          </w:p>
        </w:tc>
      </w:tr>
      <w:tr>
        <w:trPr/>
        <w:tc>
          <w:tcPr>
            <w:tcW w:w="70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 from customers, net of current portion</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w:t>
            </w:r>
          </w:p>
        </w:tc>
        <w:tc>
          <w:tcPr>
            <w:tcW w:w="594" w:type="dxa"/>
            <w:tcBorders/>
            <w:shd w:fill="CFF0FC" w:val="clear"/>
            <w:vAlign w:val="center"/>
          </w:tcPr>
          <w:p>
            <w:pPr>
              <w:pStyle w:val="TableContents"/>
              <w:bidi w:val="0"/>
              <w:spacing w:before="0" w:after="283"/>
              <w:jc w:val="left"/>
              <w:rPr/>
            </w:pPr>
            <w:r>
              <w:rPr/>
              <w:t> </w:t>
            </w:r>
          </w:p>
        </w:tc>
      </w:tr>
      <w:tr>
        <w:trPr/>
        <w:tc>
          <w:tcPr>
            <w:tcW w:w="70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 term liability</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9"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42,793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Commitments</w:t>
            </w:r>
            <w:r>
              <w:rPr>
                <w:rFonts w:ascii="Times New Roman" w:hAnsi="Times New Roman"/>
                <w:color w:val="000000"/>
                <w:sz w:val="20"/>
              </w:rPr>
              <w:t> </w:t>
            </w:r>
            <w:r>
              <w:rPr>
                <w:rFonts w:ascii="Times New Roman" w:hAnsi="Times New Roman"/>
                <w:b w:val="false"/>
                <w:color w:val="000000"/>
                <w:sz w:val="20"/>
              </w:rPr>
              <w:t>and contingencies (Note 10)</w:t>
            </w:r>
          </w:p>
        </w:tc>
        <w:tc>
          <w:tcPr>
            <w:tcW w:w="146" w:type="dxa"/>
            <w:tcBorders/>
            <w:shd w:fill="FFFFFF" w:val="clear"/>
            <w:vAlign w:val="center"/>
          </w:tcPr>
          <w:p>
            <w:pPr>
              <w:pStyle w:val="TableContents"/>
              <w:bidi w:val="0"/>
              <w:spacing w:before="0" w:after="283"/>
              <w:jc w:val="left"/>
              <w:rPr/>
            </w:pPr>
            <w:r>
              <w:rPr/>
              <w:t> </w:t>
            </w:r>
          </w:p>
        </w:tc>
        <w:tc>
          <w:tcPr>
            <w:tcW w:w="107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1"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70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7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1"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200"/>
              <w:jc w:val="right"/>
              <w:rPr/>
            </w:pPr>
            <w:r>
              <w:rPr/>
              <w:t> </w:t>
            </w:r>
          </w:p>
        </w:tc>
      </w:tr>
      <w:tr>
        <w:trPr/>
        <w:tc>
          <w:tcPr>
            <w:tcW w:w="701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Preferred Stock, $0.0001</w:t>
            </w:r>
            <w:r>
              <w:rPr>
                <w:rFonts w:ascii="Times New Roman" w:hAnsi="Times New Roman"/>
                <w:color w:val="000000"/>
                <w:sz w:val="20"/>
              </w:rPr>
              <w:t> </w:t>
            </w:r>
            <w:r>
              <w:rPr>
                <w:rFonts w:ascii="Times New Roman" w:hAnsi="Times New Roman"/>
                <w:b w:val="false"/>
                <w:color w:val="000000"/>
                <w:sz w:val="20"/>
              </w:rPr>
              <w:t>par value; 10,000,000</w:t>
            </w:r>
            <w:r>
              <w:rPr>
                <w:rFonts w:ascii="Times New Roman" w:hAnsi="Times New Roman"/>
                <w:color w:val="000000"/>
                <w:sz w:val="20"/>
              </w:rPr>
              <w:t> </w:t>
            </w:r>
            <w:r>
              <w:rPr>
                <w:rFonts w:ascii="Times New Roman" w:hAnsi="Times New Roman"/>
                <w:b w:val="false"/>
                <w:color w:val="000000"/>
                <w:sz w:val="20"/>
              </w:rPr>
              <w:t>shares authorized as of September 30, 2023 (unaudited) and December 31, 2022, respectively; no</w:t>
            </w:r>
            <w:r>
              <w:rPr>
                <w:rFonts w:ascii="Times New Roman" w:hAnsi="Times New Roman"/>
                <w:color w:val="000000"/>
                <w:sz w:val="20"/>
              </w:rPr>
              <w:t> </w:t>
            </w:r>
            <w:r>
              <w:rPr>
                <w:rFonts w:ascii="Times New Roman" w:hAnsi="Times New Roman"/>
                <w:b w:val="false"/>
                <w:color w:val="000000"/>
                <w:sz w:val="20"/>
              </w:rPr>
              <w:t>shares issued and outstanding as of September 30, 2023 (unaudited)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01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$0.0001</w:t>
            </w:r>
            <w:r>
              <w:rPr>
                <w:rFonts w:ascii="Times New Roman" w:hAnsi="Times New Roman"/>
                <w:color w:val="000000"/>
                <w:sz w:val="20"/>
              </w:rPr>
              <w:t> </w:t>
            </w:r>
            <w:r>
              <w:rPr>
                <w:rFonts w:ascii="Times New Roman" w:hAnsi="Times New Roman"/>
                <w:b w:val="false"/>
                <w:color w:val="000000"/>
                <w:sz w:val="20"/>
              </w:rPr>
              <w:t>par value; 320,000,000</w:t>
            </w:r>
            <w:r>
              <w:rPr>
                <w:rFonts w:ascii="Times New Roman" w:hAnsi="Times New Roman"/>
                <w:color w:val="000000"/>
                <w:sz w:val="20"/>
              </w:rPr>
              <w:t> </w:t>
            </w:r>
            <w:r>
              <w:rPr>
                <w:rFonts w:ascii="Times New Roman" w:hAnsi="Times New Roman"/>
                <w:b w:val="false"/>
                <w:color w:val="000000"/>
                <w:sz w:val="20"/>
              </w:rPr>
              <w:t>shares authorized as of September 30, 2023 (unaudited) and December 31, 2022, respectively; 43,502,582</w:t>
            </w:r>
            <w:r>
              <w:rPr>
                <w:rFonts w:ascii="Times New Roman" w:hAnsi="Times New Roman"/>
                <w:color w:val="000000"/>
                <w:sz w:val="20"/>
              </w:rPr>
              <w:t> </w:t>
            </w:r>
            <w:r>
              <w:rPr>
                <w:rFonts w:ascii="Times New Roman" w:hAnsi="Times New Roman"/>
                <w:b w:val="false"/>
                <w:color w:val="000000"/>
                <w:sz w:val="20"/>
              </w:rPr>
              <w:t>and 42,922,980</w:t>
            </w:r>
            <w:r>
              <w:rPr>
                <w:rFonts w:ascii="Times New Roman" w:hAnsi="Times New Roman"/>
                <w:color w:val="000000"/>
                <w:sz w:val="20"/>
              </w:rPr>
              <w:t> </w:t>
            </w:r>
            <w:r>
              <w:rPr>
                <w:rFonts w:ascii="Times New Roman" w:hAnsi="Times New Roman"/>
                <w:b w:val="false"/>
                <w:color w:val="000000"/>
                <w:sz w:val="20"/>
              </w:rPr>
              <w:t>shares issued and outstanding as of September 30, 2023 (unaudited)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01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513,225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502,613</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01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(458,905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(399,118</w:t>
            </w:r>
          </w:p>
        </w:tc>
        <w:tc>
          <w:tcPr>
            <w:tcW w:w="59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01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income</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9"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103,900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85,852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146,693</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val="false"/>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0"/>
        </w:rPr>
        <w:t>(In thousands, except share and per share data)</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58"/>
        <w:gridCol w:w="146"/>
        <w:gridCol w:w="146"/>
        <w:gridCol w:w="211"/>
        <w:gridCol w:w="916"/>
        <w:gridCol w:w="166"/>
        <w:gridCol w:w="146"/>
        <w:gridCol w:w="211"/>
        <w:gridCol w:w="916"/>
        <w:gridCol w:w="166"/>
        <w:gridCol w:w="146"/>
        <w:gridCol w:w="211"/>
        <w:gridCol w:w="916"/>
        <w:gridCol w:w="166"/>
        <w:gridCol w:w="146"/>
        <w:gridCol w:w="211"/>
        <w:gridCol w:w="916"/>
        <w:gridCol w:w="611"/>
      </w:tblGrid>
      <w:tr>
        <w:trPr/>
        <w:tc>
          <w:tcPr>
            <w:tcW w:w="3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 from collaborations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10,370</w:t>
            </w:r>
          </w:p>
        </w:tc>
        <w:tc>
          <w:tcPr>
            <w:tcW w:w="611" w:type="dxa"/>
            <w:tcBorders/>
            <w:shd w:fill="CFF0FC" w:val="clear"/>
            <w:vAlign w:val="center"/>
          </w:tcPr>
          <w:p>
            <w:pPr>
              <w:pStyle w:val="TableContents"/>
              <w:bidi w:val="0"/>
              <w:spacing w:before="0" w:after="283"/>
              <w:jc w:val="left"/>
              <w:rPr/>
            </w:pPr>
            <w:r>
              <w:rPr/>
              <w:t> </w:t>
            </w:r>
          </w:p>
        </w:tc>
      </w:tr>
      <w:tr>
        <w:trPr/>
        <w:tc>
          <w:tcPr>
            <w:tcW w:w="38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 from customers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38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85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50,783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65,977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5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5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85,268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(74,898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Loss before income tax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(18,664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(58,962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(74,103</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8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(74,160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85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Unrealized gain (loss) on available-for-sale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85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(74,453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5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5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of common stock, basic and diluted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43,496,975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42,761,928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43,209,656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42,647,732</w:t>
            </w:r>
          </w:p>
        </w:tc>
        <w:tc>
          <w:tcPr>
            <w:tcW w:w="611"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val="false"/>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densed_consolidated_statements_change"/>
      <w:bookmarkEnd w:id="6"/>
      <w:r>
        <w:rPr>
          <w:rFonts w:ascii="Times New Roman" w:hAnsi="Times New Roman"/>
          <w:b/>
          <w:color w:val="000000"/>
          <w:sz w:val="20"/>
        </w:rPr>
        <w:t>CONDENSED CONSOLIDATED STATEMENTS OF CHANGES IN STOCKHOLDERS’ EQUITY</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val="false"/>
          <w:color w:val="000000"/>
          <w:sz w:val="20"/>
        </w:rPr>
        <w:t>(Unaudited)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val="false"/>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7"/>
        <w:gridCol w:w="146"/>
        <w:gridCol w:w="146"/>
        <w:gridCol w:w="916"/>
        <w:gridCol w:w="146"/>
        <w:gridCol w:w="146"/>
        <w:gridCol w:w="345"/>
        <w:gridCol w:w="346"/>
        <w:gridCol w:w="146"/>
        <w:gridCol w:w="146"/>
        <w:gridCol w:w="196"/>
        <w:gridCol w:w="691"/>
        <w:gridCol w:w="146"/>
        <w:gridCol w:w="146"/>
        <w:gridCol w:w="217"/>
        <w:gridCol w:w="834"/>
        <w:gridCol w:w="166"/>
        <w:gridCol w:w="146"/>
        <w:gridCol w:w="416"/>
        <w:gridCol w:w="800"/>
        <w:gridCol w:w="146"/>
        <w:gridCol w:w="146"/>
        <w:gridCol w:w="231"/>
        <w:gridCol w:w="821"/>
        <w:gridCol w:w="213"/>
      </w:tblGrid>
      <w:tr>
        <w:trPr/>
        <w:tc>
          <w:tcPr>
            <w:tcW w:w="2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3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24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240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43,502,582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509,998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(440,864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69,635</w:t>
            </w:r>
          </w:p>
        </w:tc>
        <w:tc>
          <w:tcPr>
            <w:tcW w:w="213" w:type="dxa"/>
            <w:tcBorders/>
            <w:shd w:fill="CFF0FC" w:val="clear"/>
            <w:vAlign w:val="center"/>
          </w:tcPr>
          <w:p>
            <w:pPr>
              <w:pStyle w:val="TableContents"/>
              <w:bidi w:val="0"/>
              <w:spacing w:before="0" w:after="283"/>
              <w:jc w:val="left"/>
              <w:rPr/>
            </w:pPr>
            <w:r>
              <w:rPr/>
              <w:t> </w:t>
            </w:r>
          </w:p>
        </w:tc>
      </w:tr>
      <w:tr>
        <w:trPr/>
        <w:tc>
          <w:tcPr>
            <w:tcW w:w="240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213" w:type="dxa"/>
            <w:tcBorders/>
            <w:shd w:fill="FFFFFF" w:val="clear"/>
            <w:vAlign w:val="center"/>
          </w:tcPr>
          <w:p>
            <w:pPr>
              <w:pStyle w:val="TableContents"/>
              <w:bidi w:val="0"/>
              <w:spacing w:before="0" w:after="283"/>
              <w:jc w:val="left"/>
              <w:rPr/>
            </w:pPr>
            <w:r>
              <w:rPr/>
              <w:t> </w:t>
            </w:r>
          </w:p>
        </w:tc>
      </w:tr>
      <w:tr>
        <w:trPr/>
        <w:tc>
          <w:tcPr>
            <w:tcW w:w="240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Issuance of common stock related </w:t>
              <w:br/>
              <w:t>   to ESPP 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213" w:type="dxa"/>
            <w:tcBorders/>
            <w:shd w:fill="CFF0FC" w:val="clear"/>
            <w:vAlign w:val="center"/>
          </w:tcPr>
          <w:p>
            <w:pPr>
              <w:pStyle w:val="TableContents"/>
              <w:bidi w:val="0"/>
              <w:spacing w:before="0" w:after="283"/>
              <w:jc w:val="left"/>
              <w:rPr/>
            </w:pPr>
            <w:r>
              <w:rPr/>
              <w:t> </w:t>
            </w:r>
          </w:p>
        </w:tc>
      </w:tr>
      <w:tr>
        <w:trPr/>
        <w:tc>
          <w:tcPr>
            <w:tcW w:w="240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 expense related to employee stock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2,883</w:t>
            </w:r>
          </w:p>
        </w:tc>
        <w:tc>
          <w:tcPr>
            <w:tcW w:w="213" w:type="dxa"/>
            <w:tcBorders/>
            <w:shd w:fill="FFFFFF" w:val="clear"/>
            <w:vAlign w:val="center"/>
          </w:tcPr>
          <w:p>
            <w:pPr>
              <w:pStyle w:val="TableContents"/>
              <w:bidi w:val="0"/>
              <w:spacing w:before="0" w:after="283"/>
              <w:jc w:val="left"/>
              <w:rPr/>
            </w:pPr>
            <w:r>
              <w:rPr/>
              <w:t> </w:t>
            </w:r>
          </w:p>
        </w:tc>
      </w:tr>
      <w:tr>
        <w:trPr/>
        <w:tc>
          <w:tcPr>
            <w:tcW w:w="240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 expense related to employee stock purchases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326</w:t>
            </w:r>
          </w:p>
        </w:tc>
        <w:tc>
          <w:tcPr>
            <w:tcW w:w="213" w:type="dxa"/>
            <w:tcBorders/>
            <w:shd w:fill="CFF0FC" w:val="clear"/>
            <w:vAlign w:val="center"/>
          </w:tcPr>
          <w:p>
            <w:pPr>
              <w:pStyle w:val="TableContents"/>
              <w:bidi w:val="0"/>
              <w:spacing w:before="0" w:after="283"/>
              <w:jc w:val="left"/>
              <w:rPr/>
            </w:pPr>
            <w:r>
              <w:rPr/>
              <w:t> </w:t>
            </w:r>
          </w:p>
        </w:tc>
      </w:tr>
      <w:tr>
        <w:trPr/>
        <w:tc>
          <w:tcPr>
            <w:tcW w:w="240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Vesting of early exercised </w:t>
              <w:br/>
              <w:t>   common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w:t>
            </w:r>
          </w:p>
        </w:tc>
        <w:tc>
          <w:tcPr>
            <w:tcW w:w="213" w:type="dxa"/>
            <w:tcBorders/>
            <w:shd w:fill="FFFFFF" w:val="clear"/>
            <w:vAlign w:val="center"/>
          </w:tcPr>
          <w:p>
            <w:pPr>
              <w:pStyle w:val="TableContents"/>
              <w:bidi w:val="0"/>
              <w:spacing w:before="0" w:after="283"/>
              <w:jc w:val="left"/>
              <w:rPr/>
            </w:pPr>
            <w:r>
              <w:rPr/>
              <w:t> </w:t>
            </w:r>
          </w:p>
        </w:tc>
      </w:tr>
      <w:tr>
        <w:trPr/>
        <w:tc>
          <w:tcPr>
            <w:tcW w:w="240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213" w:type="dxa"/>
            <w:tcBorders/>
            <w:shd w:fill="CFF0FC" w:val="clear"/>
            <w:vAlign w:val="center"/>
          </w:tcPr>
          <w:p>
            <w:pPr>
              <w:pStyle w:val="TableContents"/>
              <w:bidi w:val="0"/>
              <w:spacing w:before="0" w:after="283"/>
              <w:jc w:val="left"/>
              <w:rPr/>
            </w:pPr>
            <w:r>
              <w:rPr/>
              <w:t> </w:t>
            </w:r>
          </w:p>
        </w:tc>
      </w:tr>
      <w:tr>
        <w:trPr/>
        <w:tc>
          <w:tcPr>
            <w:tcW w:w="240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(18,041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0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43,502,582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513,225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(458,905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54,821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4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4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3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24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240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42,922,980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502,613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(399,118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103,900</w:t>
            </w:r>
          </w:p>
        </w:tc>
        <w:tc>
          <w:tcPr>
            <w:tcW w:w="213" w:type="dxa"/>
            <w:tcBorders/>
            <w:shd w:fill="FFFFFF" w:val="clear"/>
            <w:vAlign w:val="center"/>
          </w:tcPr>
          <w:p>
            <w:pPr>
              <w:pStyle w:val="TableContents"/>
              <w:bidi w:val="0"/>
              <w:spacing w:before="0" w:after="283"/>
              <w:jc w:val="left"/>
              <w:rPr/>
            </w:pPr>
            <w:r>
              <w:rPr/>
              <w:t> </w:t>
            </w:r>
          </w:p>
        </w:tc>
      </w:tr>
      <w:tr>
        <w:trPr/>
        <w:tc>
          <w:tcPr>
            <w:tcW w:w="240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Issuance of common stock upon </w:t>
              <w:br/>
              <w:t>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17,109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213" w:type="dxa"/>
            <w:tcBorders/>
            <w:shd w:fill="CFF0FC" w:val="clear"/>
            <w:vAlign w:val="center"/>
          </w:tcPr>
          <w:p>
            <w:pPr>
              <w:pStyle w:val="TableContents"/>
              <w:bidi w:val="0"/>
              <w:spacing w:before="0" w:after="283"/>
              <w:jc w:val="left"/>
              <w:rPr/>
            </w:pPr>
            <w:r>
              <w:rPr/>
              <w:t> </w:t>
            </w:r>
          </w:p>
        </w:tc>
      </w:tr>
      <w:tr>
        <w:trPr/>
        <w:tc>
          <w:tcPr>
            <w:tcW w:w="240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Issuance of common stock related </w:t>
              <w:br/>
              <w:t>   to ESPP purchase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562,493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461</w:t>
            </w:r>
          </w:p>
        </w:tc>
        <w:tc>
          <w:tcPr>
            <w:tcW w:w="213" w:type="dxa"/>
            <w:tcBorders/>
            <w:shd w:fill="FFFFFF" w:val="clear"/>
            <w:vAlign w:val="center"/>
          </w:tcPr>
          <w:p>
            <w:pPr>
              <w:pStyle w:val="TableContents"/>
              <w:bidi w:val="0"/>
              <w:spacing w:before="0" w:after="283"/>
              <w:jc w:val="left"/>
              <w:rPr/>
            </w:pPr>
            <w:r>
              <w:rPr/>
              <w:t> </w:t>
            </w:r>
          </w:p>
        </w:tc>
      </w:tr>
      <w:tr>
        <w:trPr/>
        <w:tc>
          <w:tcPr>
            <w:tcW w:w="240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 expense related to employee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9,361</w:t>
            </w:r>
          </w:p>
        </w:tc>
        <w:tc>
          <w:tcPr>
            <w:tcW w:w="213" w:type="dxa"/>
            <w:tcBorders/>
            <w:shd w:fill="CFF0FC" w:val="clear"/>
            <w:vAlign w:val="center"/>
          </w:tcPr>
          <w:p>
            <w:pPr>
              <w:pStyle w:val="TableContents"/>
              <w:bidi w:val="0"/>
              <w:spacing w:before="0" w:after="283"/>
              <w:jc w:val="left"/>
              <w:rPr/>
            </w:pPr>
            <w:r>
              <w:rPr/>
              <w:t> </w:t>
            </w:r>
          </w:p>
        </w:tc>
      </w:tr>
      <w:tr>
        <w:trPr/>
        <w:tc>
          <w:tcPr>
            <w:tcW w:w="240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 expense related to employee stock purchases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708</w:t>
            </w:r>
          </w:p>
        </w:tc>
        <w:tc>
          <w:tcPr>
            <w:tcW w:w="213" w:type="dxa"/>
            <w:tcBorders/>
            <w:shd w:fill="FFFFFF" w:val="clear"/>
            <w:vAlign w:val="center"/>
          </w:tcPr>
          <w:p>
            <w:pPr>
              <w:pStyle w:val="TableContents"/>
              <w:bidi w:val="0"/>
              <w:spacing w:before="0" w:after="283"/>
              <w:jc w:val="left"/>
              <w:rPr/>
            </w:pPr>
            <w:r>
              <w:rPr/>
              <w:t> </w:t>
            </w:r>
          </w:p>
        </w:tc>
      </w:tr>
      <w:tr>
        <w:trPr/>
        <w:tc>
          <w:tcPr>
            <w:tcW w:w="240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Vesting of early exercised </w:t>
              <w:br/>
              <w:t>   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w:t>
            </w:r>
          </w:p>
        </w:tc>
        <w:tc>
          <w:tcPr>
            <w:tcW w:w="213" w:type="dxa"/>
            <w:tcBorders/>
            <w:shd w:fill="CFF0FC" w:val="clear"/>
            <w:vAlign w:val="center"/>
          </w:tcPr>
          <w:p>
            <w:pPr>
              <w:pStyle w:val="TableContents"/>
              <w:bidi w:val="0"/>
              <w:spacing w:before="0" w:after="283"/>
              <w:jc w:val="left"/>
              <w:rPr/>
            </w:pPr>
            <w:r>
              <w:rPr/>
              <w:t> </w:t>
            </w:r>
          </w:p>
        </w:tc>
      </w:tr>
      <w:tr>
        <w:trPr/>
        <w:tc>
          <w:tcPr>
            <w:tcW w:w="240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96</w:t>
            </w:r>
          </w:p>
        </w:tc>
        <w:tc>
          <w:tcPr>
            <w:tcW w:w="213" w:type="dxa"/>
            <w:tcBorders/>
            <w:shd w:fill="FFFFFF" w:val="clear"/>
            <w:vAlign w:val="center"/>
          </w:tcPr>
          <w:p>
            <w:pPr>
              <w:pStyle w:val="TableContents"/>
              <w:bidi w:val="0"/>
              <w:spacing w:before="0" w:after="283"/>
              <w:jc w:val="left"/>
              <w:rPr/>
            </w:pPr>
            <w:r>
              <w:rPr/>
              <w:t> </w:t>
            </w:r>
          </w:p>
        </w:tc>
      </w:tr>
      <w:tr>
        <w:trPr/>
        <w:tc>
          <w:tcPr>
            <w:tcW w:w="240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(59,787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0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43,502,582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513,225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(458,905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54,821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3"/>
        <w:gridCol w:w="146"/>
        <w:gridCol w:w="146"/>
        <w:gridCol w:w="146"/>
        <w:gridCol w:w="916"/>
        <w:gridCol w:w="146"/>
        <w:gridCol w:w="146"/>
        <w:gridCol w:w="345"/>
        <w:gridCol w:w="346"/>
        <w:gridCol w:w="146"/>
        <w:gridCol w:w="146"/>
        <w:gridCol w:w="196"/>
        <w:gridCol w:w="691"/>
        <w:gridCol w:w="146"/>
        <w:gridCol w:w="146"/>
        <w:gridCol w:w="217"/>
        <w:gridCol w:w="834"/>
        <w:gridCol w:w="166"/>
        <w:gridCol w:w="146"/>
        <w:gridCol w:w="377"/>
        <w:gridCol w:w="839"/>
        <w:gridCol w:w="166"/>
        <w:gridCol w:w="146"/>
        <w:gridCol w:w="231"/>
        <w:gridCol w:w="820"/>
        <w:gridCol w:w="212"/>
      </w:tblGrid>
      <w:tr>
        <w:trPr/>
        <w:tc>
          <w:tcPr>
            <w:tcW w:w="2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2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04"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vAlign w:val="center"/>
          </w:tcPr>
          <w:p>
            <w:pPr>
              <w:pStyle w:val="TableContents"/>
              <w:bidi w:val="0"/>
              <w:spacing w:before="0" w:after="283"/>
              <w:jc w:val="center"/>
              <w:rPr/>
            </w:pPr>
            <w:r>
              <w:rPr/>
              <w:t> </w:t>
            </w:r>
          </w:p>
        </w:tc>
      </w:tr>
      <w:tr>
        <w:trPr/>
        <w:tc>
          <w:tcPr>
            <w:tcW w:w="22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224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42,808,288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495,538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(358,611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136,981</w:t>
            </w:r>
          </w:p>
        </w:tc>
        <w:tc>
          <w:tcPr>
            <w:tcW w:w="212" w:type="dxa"/>
            <w:tcBorders/>
            <w:shd w:fill="CFF0FC" w:val="clear"/>
            <w:vAlign w:val="center"/>
          </w:tcPr>
          <w:p>
            <w:pPr>
              <w:pStyle w:val="TableContents"/>
              <w:bidi w:val="0"/>
              <w:spacing w:before="0" w:after="283"/>
              <w:jc w:val="left"/>
              <w:rPr/>
            </w:pPr>
            <w:r>
              <w:rPr/>
              <w:t> </w:t>
            </w:r>
          </w:p>
        </w:tc>
      </w:tr>
      <w:tr>
        <w:trPr/>
        <w:tc>
          <w:tcPr>
            <w:tcW w:w="224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w:t>
            </w:r>
          </w:p>
        </w:tc>
        <w:tc>
          <w:tcPr>
            <w:tcW w:w="212" w:type="dxa"/>
            <w:tcBorders/>
            <w:shd w:fill="FFFFFF" w:val="clear"/>
            <w:vAlign w:val="center"/>
          </w:tcPr>
          <w:p>
            <w:pPr>
              <w:pStyle w:val="TableContents"/>
              <w:bidi w:val="0"/>
              <w:spacing w:before="0" w:after="283"/>
              <w:jc w:val="left"/>
              <w:rPr/>
            </w:pPr>
            <w:r>
              <w:rPr/>
              <w:t> </w:t>
            </w:r>
          </w:p>
        </w:tc>
      </w:tr>
      <w:tr>
        <w:trPr/>
        <w:tc>
          <w:tcPr>
            <w:tcW w:w="224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Issuance of common stock related </w:t>
              <w:br/>
              <w:t>   to ESPP 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212" w:type="dxa"/>
            <w:tcBorders/>
            <w:shd w:fill="CFF0FC" w:val="clear"/>
            <w:vAlign w:val="center"/>
          </w:tcPr>
          <w:p>
            <w:pPr>
              <w:pStyle w:val="TableContents"/>
              <w:bidi w:val="0"/>
              <w:spacing w:before="0" w:after="283"/>
              <w:jc w:val="left"/>
              <w:rPr/>
            </w:pPr>
            <w:r>
              <w:rPr/>
              <w:t> </w:t>
            </w:r>
          </w:p>
        </w:tc>
      </w:tr>
      <w:tr>
        <w:trPr/>
        <w:tc>
          <w:tcPr>
            <w:tcW w:w="224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 expense related to employee stock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3,272</w:t>
            </w:r>
          </w:p>
        </w:tc>
        <w:tc>
          <w:tcPr>
            <w:tcW w:w="212" w:type="dxa"/>
            <w:tcBorders/>
            <w:shd w:fill="FFFFFF" w:val="clear"/>
            <w:vAlign w:val="center"/>
          </w:tcPr>
          <w:p>
            <w:pPr>
              <w:pStyle w:val="TableContents"/>
              <w:bidi w:val="0"/>
              <w:spacing w:before="0" w:after="283"/>
              <w:jc w:val="left"/>
              <w:rPr/>
            </w:pPr>
            <w:r>
              <w:rPr/>
              <w:t> </w:t>
            </w:r>
          </w:p>
        </w:tc>
      </w:tr>
      <w:tr>
        <w:trPr/>
        <w:tc>
          <w:tcPr>
            <w:tcW w:w="224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 expense related to employee stock purchases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219</w:t>
            </w:r>
          </w:p>
        </w:tc>
        <w:tc>
          <w:tcPr>
            <w:tcW w:w="212" w:type="dxa"/>
            <w:tcBorders/>
            <w:shd w:fill="CFF0FC" w:val="clear"/>
            <w:vAlign w:val="center"/>
          </w:tcPr>
          <w:p>
            <w:pPr>
              <w:pStyle w:val="TableContents"/>
              <w:bidi w:val="0"/>
              <w:spacing w:before="0" w:after="283"/>
              <w:jc w:val="left"/>
              <w:rPr/>
            </w:pPr>
            <w:r>
              <w:rPr/>
              <w:t> </w:t>
            </w:r>
          </w:p>
        </w:tc>
      </w:tr>
      <w:tr>
        <w:trPr/>
        <w:tc>
          <w:tcPr>
            <w:tcW w:w="224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Vesting of early exercised </w:t>
              <w:br/>
              <w:t>   common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w:t>
            </w:r>
          </w:p>
        </w:tc>
        <w:tc>
          <w:tcPr>
            <w:tcW w:w="212" w:type="dxa"/>
            <w:tcBorders/>
            <w:shd w:fill="FFFFFF" w:val="clear"/>
            <w:vAlign w:val="center"/>
          </w:tcPr>
          <w:p>
            <w:pPr>
              <w:pStyle w:val="TableContents"/>
              <w:bidi w:val="0"/>
              <w:spacing w:before="0" w:after="283"/>
              <w:jc w:val="left"/>
              <w:rPr/>
            </w:pPr>
            <w:r>
              <w:rPr/>
              <w:t> </w:t>
            </w:r>
          </w:p>
        </w:tc>
      </w:tr>
      <w:tr>
        <w:trPr/>
        <w:tc>
          <w:tcPr>
            <w:tcW w:w="224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comprehensive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109</w:t>
            </w:r>
          </w:p>
        </w:tc>
        <w:tc>
          <w:tcPr>
            <w:tcW w:w="212" w:type="dxa"/>
            <w:tcBorders/>
            <w:shd w:fill="CFF0FC" w:val="clear"/>
            <w:vAlign w:val="center"/>
          </w:tcPr>
          <w:p>
            <w:pPr>
              <w:pStyle w:val="TableContents"/>
              <w:bidi w:val="0"/>
              <w:spacing w:before="0" w:after="283"/>
              <w:jc w:val="left"/>
              <w:rPr/>
            </w:pPr>
            <w:r>
              <w:rPr/>
              <w:t> </w:t>
            </w:r>
          </w:p>
        </w:tc>
      </w:tr>
      <w:tr>
        <w:trPr/>
        <w:tc>
          <w:tcPr>
            <w:tcW w:w="224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(18,621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24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42,815,593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499,082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(377,232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122,013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r>
      <w:tr>
        <w:trPr/>
        <w:tc>
          <w:tcPr>
            <w:tcW w:w="22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04"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vAlign w:val="center"/>
          </w:tcPr>
          <w:p>
            <w:pPr>
              <w:pStyle w:val="TableContents"/>
              <w:bidi w:val="0"/>
              <w:spacing w:before="0" w:after="283"/>
              <w:jc w:val="center"/>
              <w:rPr/>
            </w:pPr>
            <w:r>
              <w:rPr/>
              <w:t> </w:t>
            </w:r>
          </w:p>
        </w:tc>
      </w:tr>
      <w:tr>
        <w:trPr/>
        <w:tc>
          <w:tcPr>
            <w:tcW w:w="22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224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December 31, 2021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42,690,229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487,347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(303,072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184,731</w:t>
            </w:r>
          </w:p>
        </w:tc>
        <w:tc>
          <w:tcPr>
            <w:tcW w:w="212" w:type="dxa"/>
            <w:tcBorders/>
            <w:shd w:fill="FFFFFF" w:val="clear"/>
            <w:vAlign w:val="center"/>
          </w:tcPr>
          <w:p>
            <w:pPr>
              <w:pStyle w:val="TableContents"/>
              <w:bidi w:val="0"/>
              <w:spacing w:before="0" w:after="283"/>
              <w:jc w:val="left"/>
              <w:rPr/>
            </w:pPr>
            <w:r>
              <w:rPr/>
              <w:t> </w:t>
            </w:r>
          </w:p>
        </w:tc>
      </w:tr>
      <w:tr>
        <w:trPr/>
        <w:tc>
          <w:tcPr>
            <w:tcW w:w="224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Issuance of common stock upon </w:t>
              <w:br/>
              <w:t>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12,896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w:t>
            </w:r>
          </w:p>
        </w:tc>
        <w:tc>
          <w:tcPr>
            <w:tcW w:w="212" w:type="dxa"/>
            <w:tcBorders/>
            <w:shd w:fill="CFF0FC" w:val="clear"/>
            <w:vAlign w:val="center"/>
          </w:tcPr>
          <w:p>
            <w:pPr>
              <w:pStyle w:val="TableContents"/>
              <w:bidi w:val="0"/>
              <w:spacing w:before="0" w:after="283"/>
              <w:jc w:val="left"/>
              <w:rPr/>
            </w:pPr>
            <w:r>
              <w:rPr/>
              <w:t> </w:t>
            </w:r>
          </w:p>
        </w:tc>
      </w:tr>
      <w:tr>
        <w:trPr/>
        <w:tc>
          <w:tcPr>
            <w:tcW w:w="224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Issuance of common stock related </w:t>
              <w:br/>
              <w:t>   to ESPP purchase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112,468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w:t>
            </w:r>
          </w:p>
        </w:tc>
        <w:tc>
          <w:tcPr>
            <w:tcW w:w="212" w:type="dxa"/>
            <w:tcBorders/>
            <w:shd w:fill="FFFFFF" w:val="clear"/>
            <w:vAlign w:val="center"/>
          </w:tcPr>
          <w:p>
            <w:pPr>
              <w:pStyle w:val="TableContents"/>
              <w:bidi w:val="0"/>
              <w:spacing w:before="0" w:after="283"/>
              <w:jc w:val="left"/>
              <w:rPr/>
            </w:pPr>
            <w:r>
              <w:rPr/>
              <w:t> </w:t>
            </w:r>
          </w:p>
        </w:tc>
      </w:tr>
      <w:tr>
        <w:trPr/>
        <w:tc>
          <w:tcPr>
            <w:tcW w:w="224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 expense related to employee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10,306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10,306</w:t>
            </w:r>
          </w:p>
        </w:tc>
        <w:tc>
          <w:tcPr>
            <w:tcW w:w="212" w:type="dxa"/>
            <w:tcBorders/>
            <w:shd w:fill="CFF0FC" w:val="clear"/>
            <w:vAlign w:val="center"/>
          </w:tcPr>
          <w:p>
            <w:pPr>
              <w:pStyle w:val="TableContents"/>
              <w:bidi w:val="0"/>
              <w:spacing w:before="0" w:after="283"/>
              <w:jc w:val="left"/>
              <w:rPr/>
            </w:pPr>
            <w:r>
              <w:rPr/>
              <w:t> </w:t>
            </w:r>
          </w:p>
        </w:tc>
      </w:tr>
      <w:tr>
        <w:trPr/>
        <w:tc>
          <w:tcPr>
            <w:tcW w:w="224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 expense related to employee stock purchases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1,110</w:t>
            </w:r>
          </w:p>
        </w:tc>
        <w:tc>
          <w:tcPr>
            <w:tcW w:w="212" w:type="dxa"/>
            <w:tcBorders/>
            <w:shd w:fill="FFFFFF" w:val="clear"/>
            <w:vAlign w:val="center"/>
          </w:tcPr>
          <w:p>
            <w:pPr>
              <w:pStyle w:val="TableContents"/>
              <w:bidi w:val="0"/>
              <w:spacing w:before="0" w:after="283"/>
              <w:jc w:val="left"/>
              <w:rPr/>
            </w:pPr>
            <w:r>
              <w:rPr/>
              <w:t> </w:t>
            </w:r>
          </w:p>
        </w:tc>
      </w:tr>
      <w:tr>
        <w:trPr/>
        <w:tc>
          <w:tcPr>
            <w:tcW w:w="224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Vesting of early exercised </w:t>
              <w:br/>
              <w:t>   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188</w:t>
            </w:r>
          </w:p>
        </w:tc>
        <w:tc>
          <w:tcPr>
            <w:tcW w:w="212" w:type="dxa"/>
            <w:tcBorders/>
            <w:shd w:fill="CFF0FC" w:val="clear"/>
            <w:vAlign w:val="center"/>
          </w:tcPr>
          <w:p>
            <w:pPr>
              <w:pStyle w:val="TableContents"/>
              <w:bidi w:val="0"/>
              <w:spacing w:before="0" w:after="283"/>
              <w:jc w:val="left"/>
              <w:rPr/>
            </w:pPr>
            <w:r>
              <w:rPr/>
              <w:t> </w:t>
            </w:r>
          </w:p>
        </w:tc>
      </w:tr>
      <w:tr>
        <w:trPr/>
        <w:tc>
          <w:tcPr>
            <w:tcW w:w="224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(293</w:t>
            </w:r>
          </w:p>
        </w:tc>
        <w:tc>
          <w:tcPr>
            <w:tcW w:w="21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24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(74,160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24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as of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42,815,593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499,082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(377,232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122,013</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val="false"/>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condensed_consolidated_statement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69"/>
        <w:gridCol w:w="146"/>
        <w:gridCol w:w="235"/>
        <w:gridCol w:w="820"/>
        <w:gridCol w:w="184"/>
        <w:gridCol w:w="162"/>
        <w:gridCol w:w="235"/>
        <w:gridCol w:w="938"/>
        <w:gridCol w:w="1016"/>
      </w:tblGrid>
      <w:tr>
        <w:trPr/>
        <w:tc>
          <w:tcPr>
            <w:tcW w:w="6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6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5"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173"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200"/>
              <w:jc w:val="right"/>
              <w:rPr/>
            </w:pPr>
            <w:r>
              <w:rPr/>
              <w:t> </w:t>
            </w:r>
          </w:p>
        </w:tc>
      </w:tr>
      <w:tr>
        <w:trPr/>
        <w:tc>
          <w:tcPr>
            <w:tcW w:w="64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(59,787</w:t>
            </w:r>
          </w:p>
        </w:tc>
        <w:tc>
          <w:tcPr>
            <w:tcW w:w="18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(74,160</w:t>
            </w:r>
          </w:p>
        </w:tc>
        <w:tc>
          <w:tcPr>
            <w:tcW w:w="10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55"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173"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400"/>
              <w:jc w:val="right"/>
              <w:rPr/>
            </w:pPr>
            <w:r>
              <w:rPr/>
              <w:t> </w:t>
            </w:r>
          </w:p>
        </w:tc>
      </w:tr>
      <w:tr>
        <w:trPr/>
        <w:tc>
          <w:tcPr>
            <w:tcW w:w="646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Accretion of discount on investments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w:t>
            </w:r>
          </w:p>
        </w:tc>
        <w:tc>
          <w:tcPr>
            <w:tcW w:w="18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101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69"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Amortization of right of use assets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1,129</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994</w:t>
            </w:r>
          </w:p>
        </w:tc>
        <w:tc>
          <w:tcPr>
            <w:tcW w:w="1016" w:type="dxa"/>
            <w:tcBorders/>
            <w:shd w:fill="CFF0FC" w:val="clear"/>
            <w:vAlign w:val="center"/>
          </w:tcPr>
          <w:p>
            <w:pPr>
              <w:pStyle w:val="TableContents"/>
              <w:bidi w:val="0"/>
              <w:spacing w:before="0" w:after="283"/>
              <w:ind w:left="0" w:right="0" w:firstLine="400"/>
              <w:jc w:val="left"/>
              <w:rPr/>
            </w:pPr>
            <w:r>
              <w:rPr/>
              <w:t> </w:t>
            </w:r>
          </w:p>
        </w:tc>
      </w:tr>
      <w:tr>
        <w:trPr/>
        <w:tc>
          <w:tcPr>
            <w:tcW w:w="646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Impairment of right of use assets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6469"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Loss on disposal of assets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016" w:type="dxa"/>
            <w:tcBorders/>
            <w:shd w:fill="CFF0FC" w:val="clear"/>
            <w:vAlign w:val="center"/>
          </w:tcPr>
          <w:p>
            <w:pPr>
              <w:pStyle w:val="TableContents"/>
              <w:bidi w:val="0"/>
              <w:spacing w:before="0" w:after="283"/>
              <w:ind w:left="0" w:right="0" w:firstLine="400"/>
              <w:jc w:val="left"/>
              <w:rPr/>
            </w:pPr>
            <w:r>
              <w:rPr/>
              <w:t> </w:t>
            </w:r>
          </w:p>
        </w:tc>
      </w:tr>
      <w:tr>
        <w:trPr/>
        <w:tc>
          <w:tcPr>
            <w:tcW w:w="646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Depreciation expense</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1,165</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1,784</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6469"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Stock-based compensation including ESPP</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10,069</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11,277</w:t>
            </w:r>
          </w:p>
        </w:tc>
        <w:tc>
          <w:tcPr>
            <w:tcW w:w="1016" w:type="dxa"/>
            <w:tcBorders/>
            <w:shd w:fill="CFF0FC" w:val="clear"/>
            <w:vAlign w:val="center"/>
          </w:tcPr>
          <w:p>
            <w:pPr>
              <w:pStyle w:val="TableContents"/>
              <w:bidi w:val="0"/>
              <w:spacing w:before="0" w:after="283"/>
              <w:ind w:left="0" w:right="0" w:firstLine="400"/>
              <w:jc w:val="left"/>
              <w:rPr/>
            </w:pPr>
            <w:r>
              <w:rPr/>
              <w:t> </w:t>
            </w:r>
          </w:p>
        </w:tc>
      </w:tr>
      <w:tr>
        <w:trPr/>
        <w:tc>
          <w:tcPr>
            <w:tcW w:w="646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055"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173" w:type="dxa"/>
            <w:gridSpan w:val="2"/>
            <w:tcBorders/>
            <w:shd w:fill="FFFFFF" w:val="clear"/>
            <w:vAlign w:val="center"/>
          </w:tcPr>
          <w:p>
            <w:pPr>
              <w:pStyle w:val="TableContents"/>
              <w:bidi w:val="0"/>
              <w:spacing w:before="0" w:after="283"/>
              <w:jc w:val="right"/>
              <w:rPr/>
            </w:pPr>
            <w:r>
              <w:rPr/>
              <w:t> </w:t>
            </w:r>
          </w:p>
        </w:tc>
        <w:tc>
          <w:tcPr>
            <w:tcW w:w="1016" w:type="dxa"/>
            <w:tcBorders/>
            <w:shd w:fill="FFFFFF" w:val="clear"/>
            <w:vAlign w:val="center"/>
          </w:tcPr>
          <w:p>
            <w:pPr>
              <w:pStyle w:val="TableContents"/>
              <w:bidi w:val="0"/>
              <w:spacing w:before="0" w:after="283"/>
              <w:ind w:left="0" w:right="0" w:firstLine="600"/>
              <w:jc w:val="right"/>
              <w:rPr/>
            </w:pPr>
            <w:r>
              <w:rPr/>
              <w:t> </w:t>
            </w:r>
          </w:p>
        </w:tc>
      </w:tr>
      <w:tr>
        <w:trPr/>
        <w:tc>
          <w:tcPr>
            <w:tcW w:w="6469"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3,472</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6,167</w:t>
            </w:r>
          </w:p>
        </w:tc>
        <w:tc>
          <w:tcPr>
            <w:tcW w:w="1016" w:type="dxa"/>
            <w:tcBorders/>
            <w:shd w:fill="CFF0FC" w:val="clear"/>
            <w:vAlign w:val="center"/>
          </w:tcPr>
          <w:p>
            <w:pPr>
              <w:pStyle w:val="TableContents"/>
              <w:bidi w:val="0"/>
              <w:spacing w:before="0" w:after="283"/>
              <w:ind w:left="0" w:right="0" w:firstLine="600"/>
              <w:jc w:val="left"/>
              <w:rPr/>
            </w:pPr>
            <w:r>
              <w:rPr/>
              <w:t> </w:t>
            </w:r>
          </w:p>
        </w:tc>
      </w:tr>
      <w:tr>
        <w:trPr/>
        <w:tc>
          <w:tcPr>
            <w:tcW w:w="6469"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Right of use assets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w:t>
            </w:r>
          </w:p>
        </w:tc>
        <w:tc>
          <w:tcPr>
            <w:tcW w:w="1016"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69"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(1,796</w:t>
            </w:r>
          </w:p>
        </w:tc>
        <w:tc>
          <w:tcPr>
            <w:tcW w:w="1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1016"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69"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(3,657</w:t>
            </w:r>
          </w:p>
        </w:tc>
        <w:tc>
          <w:tcPr>
            <w:tcW w:w="18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(11,528</w:t>
            </w:r>
          </w:p>
        </w:tc>
        <w:tc>
          <w:tcPr>
            <w:tcW w:w="1016"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69"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(1,805</w:t>
            </w:r>
          </w:p>
        </w:tc>
        <w:tc>
          <w:tcPr>
            <w:tcW w:w="1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(1,334</w:t>
            </w:r>
          </w:p>
        </w:tc>
        <w:tc>
          <w:tcPr>
            <w:tcW w:w="1016"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69"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016" w:type="dxa"/>
            <w:tcBorders/>
            <w:shd w:fill="FFFFFF" w:val="clear"/>
            <w:vAlign w:val="center"/>
          </w:tcPr>
          <w:p>
            <w:pPr>
              <w:pStyle w:val="TableContents"/>
              <w:bidi w:val="0"/>
              <w:spacing w:before="0" w:after="283"/>
              <w:ind w:left="0" w:right="0" w:firstLine="600"/>
              <w:jc w:val="left"/>
              <w:rPr/>
            </w:pPr>
            <w:r>
              <w:rPr/>
              <w:t> </w:t>
            </w:r>
          </w:p>
        </w:tc>
      </w:tr>
      <w:tr>
        <w:trPr/>
        <w:tc>
          <w:tcPr>
            <w:tcW w:w="6469"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Deferred revenue from collaborations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(6,650</w:t>
            </w:r>
          </w:p>
        </w:tc>
        <w:tc>
          <w:tcPr>
            <w:tcW w:w="1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4,640</w:t>
            </w:r>
          </w:p>
        </w:tc>
        <w:tc>
          <w:tcPr>
            <w:tcW w:w="1016" w:type="dxa"/>
            <w:tcBorders/>
            <w:shd w:fill="CFF0FC" w:val="clear"/>
            <w:vAlign w:val="center"/>
          </w:tcPr>
          <w:p>
            <w:pPr>
              <w:pStyle w:val="TableContents"/>
              <w:bidi w:val="0"/>
              <w:spacing w:before="0" w:after="283"/>
              <w:ind w:left="0" w:right="0" w:firstLine="600"/>
              <w:jc w:val="left"/>
              <w:rPr/>
            </w:pPr>
            <w:r>
              <w:rPr/>
              <w:t> </w:t>
            </w:r>
          </w:p>
        </w:tc>
      </w:tr>
      <w:tr>
        <w:trPr/>
        <w:tc>
          <w:tcPr>
            <w:tcW w:w="6469"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Deferred revenue from customers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1,158</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69" w:type="dxa"/>
            <w:tcBorders/>
            <w:shd w:fill="CFF0FC" w:val="clear"/>
            <w:vAlign w:val="center"/>
          </w:tcPr>
          <w:p>
            <w:pPr>
              <w:pStyle w:val="TableContents"/>
              <w:bidi w:val="0"/>
              <w:spacing w:before="0" w:after="283"/>
              <w:ind w:left="800" w:right="0" w:firstLine="800"/>
              <w:jc w:val="left"/>
              <w:rPr>
                <w:rFonts w:ascii="Times New Roman" w:hAnsi="Times New Roman"/>
                <w:b w:val="false"/>
                <w:color w:val="000000"/>
                <w:sz w:val="20"/>
              </w:rPr>
            </w:pPr>
            <w:r>
              <w:rPr>
                <w:rFonts w:ascii="Times New Roman" w:hAnsi="Times New Roman"/>
                <w:b w:val="false"/>
                <w:color w:val="000000"/>
                <w:sz w:val="20"/>
              </w:rPr>
              <w:t>Net cash and cash equivalents used in operating activities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(56,339</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(62,606</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4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055"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173" w:type="dxa"/>
            <w:gridSpan w:val="2"/>
            <w:tcBorders/>
            <w:shd w:fill="FFFFFF" w:val="clear"/>
            <w:vAlign w:val="center"/>
          </w:tcPr>
          <w:p>
            <w:pPr>
              <w:pStyle w:val="TableContents"/>
              <w:bidi w:val="0"/>
              <w:spacing w:before="0" w:after="283"/>
              <w:jc w:val="right"/>
              <w:rPr/>
            </w:pPr>
            <w:r>
              <w:rPr/>
              <w:t> </w:t>
            </w:r>
          </w:p>
        </w:tc>
        <w:tc>
          <w:tcPr>
            <w:tcW w:w="1016" w:type="dxa"/>
            <w:tcBorders/>
            <w:shd w:fill="FFFFFF" w:val="clear"/>
            <w:vAlign w:val="center"/>
          </w:tcPr>
          <w:p>
            <w:pPr>
              <w:pStyle w:val="TableContents"/>
              <w:bidi w:val="0"/>
              <w:spacing w:before="0" w:after="283"/>
              <w:ind w:left="0" w:right="0" w:firstLine="200"/>
              <w:jc w:val="right"/>
              <w:rPr/>
            </w:pPr>
            <w:r>
              <w:rPr/>
              <w:t> </w:t>
            </w:r>
          </w:p>
        </w:tc>
      </w:tr>
      <w:tr>
        <w:trPr/>
        <w:tc>
          <w:tcPr>
            <w:tcW w:w="64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Activities in available-for-sale investments:</w:t>
            </w:r>
          </w:p>
        </w:tc>
        <w:tc>
          <w:tcPr>
            <w:tcW w:w="146" w:type="dxa"/>
            <w:tcBorders/>
            <w:shd w:fill="CFF0FC" w:val="clear"/>
            <w:vAlign w:val="center"/>
          </w:tcPr>
          <w:p>
            <w:pPr>
              <w:pStyle w:val="TableContents"/>
              <w:bidi w:val="0"/>
              <w:spacing w:before="0" w:after="283"/>
              <w:jc w:val="left"/>
              <w:rPr/>
            </w:pPr>
            <w:r>
              <w:rPr/>
              <w:t> </w:t>
            </w:r>
          </w:p>
        </w:tc>
        <w:tc>
          <w:tcPr>
            <w:tcW w:w="1055"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173"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400"/>
              <w:jc w:val="right"/>
              <w:rPr/>
            </w:pPr>
            <w:r>
              <w:rPr/>
              <w:t> </w:t>
            </w:r>
          </w:p>
        </w:tc>
      </w:tr>
      <w:tr>
        <w:trPr/>
        <w:tc>
          <w:tcPr>
            <w:tcW w:w="646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Maturities of investments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45,011</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42,695</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6469"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Purchase of short-term investments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(79,740</w:t>
            </w:r>
          </w:p>
        </w:tc>
        <w:tc>
          <w:tcPr>
            <w:tcW w:w="10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(852</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69" w:type="dxa"/>
            <w:tcBorders/>
            <w:shd w:fill="CFF0FC" w:val="clear"/>
            <w:vAlign w:val="center"/>
          </w:tcPr>
          <w:p>
            <w:pPr>
              <w:pStyle w:val="TableContents"/>
              <w:bidi w:val="0"/>
              <w:spacing w:before="0" w:after="283"/>
              <w:ind w:left="800" w:right="0" w:firstLine="800"/>
              <w:jc w:val="left"/>
              <w:rPr>
                <w:rFonts w:ascii="Times New Roman" w:hAnsi="Times New Roman"/>
                <w:b w:val="false"/>
                <w:color w:val="000000"/>
                <w:sz w:val="20"/>
              </w:rPr>
            </w:pPr>
            <w:r>
              <w:rPr>
                <w:rFonts w:ascii="Times New Roman" w:hAnsi="Times New Roman"/>
                <w:b w:val="false"/>
                <w:color w:val="000000"/>
                <w:sz w:val="20"/>
              </w:rPr>
              <w:t>Net cash and cash equivalents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44,988</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(37,897</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4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55"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173" w:type="dxa"/>
            <w:gridSpan w:val="2"/>
            <w:tcBorders/>
            <w:shd w:fill="FFFFFF" w:val="clear"/>
            <w:vAlign w:val="center"/>
          </w:tcPr>
          <w:p>
            <w:pPr>
              <w:pStyle w:val="TableContents"/>
              <w:bidi w:val="0"/>
              <w:spacing w:before="0" w:after="283"/>
              <w:jc w:val="right"/>
              <w:rPr/>
            </w:pPr>
            <w:r>
              <w:rPr/>
              <w:t> </w:t>
            </w:r>
          </w:p>
        </w:tc>
        <w:tc>
          <w:tcPr>
            <w:tcW w:w="1016" w:type="dxa"/>
            <w:tcBorders/>
            <w:shd w:fill="FFFFFF" w:val="clear"/>
            <w:vAlign w:val="center"/>
          </w:tcPr>
          <w:p>
            <w:pPr>
              <w:pStyle w:val="TableContents"/>
              <w:bidi w:val="0"/>
              <w:spacing w:before="0" w:after="283"/>
              <w:ind w:left="0" w:right="0" w:firstLine="200"/>
              <w:jc w:val="right"/>
              <w:rPr/>
            </w:pPr>
            <w:r>
              <w:rPr/>
              <w:t> </w:t>
            </w:r>
          </w:p>
        </w:tc>
      </w:tr>
      <w:tr>
        <w:trPr/>
        <w:tc>
          <w:tcPr>
            <w:tcW w:w="64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Payments on finance lease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1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10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the ESPP purchase</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016" w:type="dxa"/>
            <w:tcBorders/>
            <w:shd w:fill="FFFFFF" w:val="clear"/>
            <w:vAlign w:val="center"/>
          </w:tcPr>
          <w:p>
            <w:pPr>
              <w:pStyle w:val="TableContents"/>
              <w:bidi w:val="0"/>
              <w:spacing w:before="0" w:after="283"/>
              <w:ind w:left="0" w:right="0" w:firstLine="200"/>
              <w:jc w:val="left"/>
              <w:rPr/>
            </w:pPr>
            <w:r>
              <w:rPr/>
              <w:t> </w:t>
            </w:r>
          </w:p>
        </w:tc>
      </w:tr>
      <w:tr>
        <w:trPr/>
        <w:tc>
          <w:tcPr>
            <w:tcW w:w="64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the exercise of common stock option</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69" w:type="dxa"/>
            <w:tcBorders/>
            <w:shd w:fill="FFFFFF" w:val="clear"/>
            <w:vAlign w:val="center"/>
          </w:tcPr>
          <w:p>
            <w:pPr>
              <w:pStyle w:val="TableContents"/>
              <w:bidi w:val="0"/>
              <w:spacing w:before="0" w:after="283"/>
              <w:ind w:left="800" w:right="0" w:firstLine="800"/>
              <w:jc w:val="left"/>
              <w:rPr>
                <w:rFonts w:ascii="Times New Roman" w:hAnsi="Times New Roman"/>
                <w:b w:val="false"/>
                <w:color w:val="000000"/>
                <w:sz w:val="20"/>
              </w:rPr>
            </w:pPr>
            <w:r>
              <w:rPr>
                <w:rFonts w:ascii="Times New Roman" w:hAnsi="Times New Roman"/>
                <w:b w:val="false"/>
                <w:color w:val="000000"/>
                <w:sz w:val="20"/>
              </w:rPr>
              <w:t>Net cash and cash equivalents provided by financing activities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69" w:type="dxa"/>
            <w:tcBorders/>
            <w:shd w:fill="CFF0FC" w:val="clear"/>
            <w:vAlign w:val="center"/>
          </w:tcPr>
          <w:p>
            <w:pPr>
              <w:pStyle w:val="TableContents"/>
              <w:bidi w:val="0"/>
              <w:spacing w:before="0" w:after="283"/>
              <w:ind w:left="800" w:right="0" w:firstLine="800"/>
              <w:jc w:val="left"/>
              <w:rPr>
                <w:rFonts w:ascii="Times New Roman" w:hAnsi="Times New Roman"/>
                <w:b w:val="false"/>
                <w:color w:val="000000"/>
                <w:sz w:val="20"/>
              </w:rPr>
            </w:pPr>
            <w:r>
              <w:rPr>
                <w:rFonts w:ascii="Times New Roman" w:hAnsi="Times New Roman"/>
                <w:b w:val="false"/>
                <w:color w:val="000000"/>
                <w:sz w:val="20"/>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(10,959</w:t>
            </w:r>
          </w:p>
        </w:tc>
        <w:tc>
          <w:tcPr>
            <w:tcW w:w="1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(100,460</w:t>
            </w:r>
          </w:p>
        </w:tc>
        <w:tc>
          <w:tcPr>
            <w:tcW w:w="1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4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beginning of period</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81,462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186,980</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end of period</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70,503</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86,520</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val="false"/>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8907" w:type="dxa"/>
        <w:jc w:val="left"/>
        <w:tblInd w:w="0" w:type="dxa"/>
        <w:tblLayout w:type="fixed"/>
        <w:tblCellMar>
          <w:top w:w="28" w:type="dxa"/>
          <w:left w:w="28" w:type="dxa"/>
          <w:bottom w:w="28" w:type="dxa"/>
          <w:right w:w="28" w:type="dxa"/>
        </w:tblCellMar>
      </w:tblPr>
      <w:tblGrid>
        <w:gridCol w:w="5956"/>
        <w:gridCol w:w="146"/>
        <w:gridCol w:w="265"/>
        <w:gridCol w:w="849"/>
        <w:gridCol w:w="183"/>
        <w:gridCol w:w="183"/>
        <w:gridCol w:w="265"/>
        <w:gridCol w:w="849"/>
        <w:gridCol w:w="2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Reconciliation to amounts on the consolidated balance sheet:</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9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70,429</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86,440</w:t>
            </w:r>
          </w:p>
        </w:tc>
        <w:tc>
          <w:tcPr>
            <w:tcW w:w="211" w:type="dxa"/>
            <w:tcBorders/>
            <w:shd w:fill="FFFFFF" w:val="clear"/>
            <w:vAlign w:val="center"/>
          </w:tcPr>
          <w:p>
            <w:pPr>
              <w:pStyle w:val="TableContents"/>
              <w:bidi w:val="0"/>
              <w:spacing w:before="0" w:after="283"/>
              <w:jc w:val="left"/>
              <w:rPr/>
            </w:pPr>
            <w:r>
              <w:rPr/>
              <w:t> </w:t>
            </w:r>
          </w:p>
        </w:tc>
      </w:tr>
      <w:tr>
        <w:trPr/>
        <w:tc>
          <w:tcPr>
            <w:tcW w:w="59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70,503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86,520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59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Supplemental disclosures of noncash financing and investing activities: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9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Mark to market adjustment for available-for-sale investments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9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Acquisition of right of use asset through operating lease obligation</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1,094</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CFF0FC" w:val="cle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Vesting of early exercised options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val="false"/>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ALIGOS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unaudited_condensed_consolidate"/>
      <w:bookmarkEnd w:id="8"/>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pBdr>
          <w:bottom w:val="single" w:sz="8" w:space="1" w:color="000000"/>
        </w:pBdr>
        <w:bidi w:val="0"/>
        <w:spacing w:before="120" w:after="283"/>
        <w:jc w:val="center"/>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Organization </w:t>
      </w:r>
    </w:p>
    <w:p>
      <w:pPr>
        <w:pStyle w:val="TextBody"/>
        <w:bidi w:val="0"/>
        <w:spacing w:before="12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Aligos is a clinical-stage biopharmaceutical company developing novel therapeutics to address unmet medical needs in viral and liver diseases, including for non-alcoholic steatohepatitis (NASH), coronaviruses and chronic hepatitis B.</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incurred losses and negative cash flows from operations since its inception. As of September 30, 2023 and December 31, 2022, the Company had an accumulated deficit of $458.9</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$399.1</w:t>
      </w:r>
      <w:r>
        <w:rPr>
          <w:rFonts w:ascii="Times New Roman" w:hAnsi="Times New Roman"/>
          <w:color w:val="000000"/>
          <w:sz w:val="20"/>
        </w:rPr>
        <w:t xml:space="preserve"> </w:t>
      </w:r>
      <w:r>
        <w:rPr>
          <w:rFonts w:ascii="Times New Roman" w:hAnsi="Times New Roman"/>
          <w:b w:val="false"/>
          <w:color w:val="000000"/>
          <w:sz w:val="20"/>
        </w:rPr>
        <w:t>million, respectively. Management expects to continue to incur additional substantial losses in the foreseeable future as a result of expanded research and development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Company has unrestricted cash, cash equivalents and investments of approximately $70.4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expects to finance its cash needs through a combination of public or private equity offerings, debt financings, collaborations, strategic alliances, licensing arrangements and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the Company expects its existing unrestricted cash, cash equivalents and investments, will enable it to fund its operations for at least 12 months following the date the condensed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and the macro-economic environment generally.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Company’s ability to raise additional funds will depend on financial, economic and other factors, many of which are beyond its control. For example, the current inflationary economic environment, the COVID-19 pandemic and rising interest rates have resulted in a disruption of global financial markets. If the disruption persists or deepens,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has always maintained a dual banking system to limit its credit and liquidity risk.</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unaudited condensed consolidated financial statements have been prepared in accordance with U.S. generally accepted accounting principles (GAAP) and applicable rules and regulations of the Securities and Exchange Commission (SEC) regarding interim financial reporting. Accordingly, they do not include all of the information and footnotes required by U.S. GAAP for complete financial statements. Any reference in these notes to applicable accounting guidance is meant to refer to the authoritative U.S. GAAP included in the Accounting Standards Codification (ASC), and Accounting Standards Update (ASU) issued by the Financial Accounting Standards Board (FASB).</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condensed consolidated balance sheet as of December 31, 2022 included herein was derived from the audited consolidated financial statements as of that date but does not include all of the information and notes required by U.S. GAAP for complete financial statements. Certain information and note disclosures normally included in the financial statements prepared in accordance with U.S. GAAP have been condensed or omitted pursuant to requirements for interim financial statements. As such, the information included in this Quarterly Report on Form 10-Q should be read in conjunction with the audited consolidated financial statements and the related notes thereto as of and for the year ended December 31, 2022, included in the Company’s Annual Report on Form 10-K filed with the SEC on March 9, 2023.</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Unaudited interim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accompanying consolidated balance sheet as of September 30, 2023, the consolidated statements of operations and comprehensive loss for the three and nine months ended September 30, 2023 and 2022, the consolidated statements of stockholders’ equity for the three and nine months ended September 30, 2023 and 2022, and the consolidated statements of cash flows for the nine months ended September 30, 2023 and 2022 are unaudited. The unaudited consolidated interim financial statements have been prepared on the same basis as the audited annual consolidated financial statements and, in the opinion of management, reflect all adjustments, which include only normal recurring adjustments, necessary for the fair presentation of the Company’s consolidated financial position as of September 30, 2023 and the consolidated results of its operations and cash flows for the three and nine months ended September 30, 2023 and 2022. The consolidated financial data and other information disclosed in these notes related to the three and nine months ended September 30, 2023 and 2022 are unaudited. The consolidated results for the three and nine months ended September 30, 2023 are not necessarily indicative of results to be expected for the year ending December 31, 2023, any other interim periods, or any future year or period.</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Significant accounting policies and estimates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Accounting for Government Grants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2022, the Company was awarded a grant of $1.1</w:t>
      </w:r>
      <w:r>
        <w:rPr>
          <w:rFonts w:ascii="Times New Roman" w:hAnsi="Times New Roman"/>
          <w:color w:val="000000"/>
          <w:sz w:val="20"/>
        </w:rPr>
        <w:t xml:space="preserve"> </w:t>
      </w:r>
      <w:r>
        <w:rPr>
          <w:rFonts w:ascii="Times New Roman" w:hAnsi="Times New Roman"/>
          <w:b w:val="false"/>
          <w:color w:val="000000"/>
          <w:sz w:val="20"/>
        </w:rPr>
        <w:t>million by the National Institute of Health (NIH) for research to target coronaviruses. The grant is for multiple years with the amount updated after each year of progress through 2025, subject to the annual reapplication and approval by the NIH. In 2023, the approved grant awarded was an additional $1.4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2023, the Company was awarded a contract of $8.5</w:t>
      </w:r>
      <w:r>
        <w:rPr>
          <w:rFonts w:ascii="Times New Roman" w:hAnsi="Times New Roman"/>
          <w:color w:val="000000"/>
          <w:sz w:val="20"/>
        </w:rPr>
        <w:t xml:space="preserve"> </w:t>
      </w:r>
      <w:r>
        <w:rPr>
          <w:rFonts w:ascii="Times New Roman" w:hAnsi="Times New Roman"/>
          <w:b w:val="false"/>
          <w:color w:val="000000"/>
          <w:sz w:val="20"/>
        </w:rPr>
        <w:t>million by the National Institute of Allergies and Infectious Diseases (NIAID) for research to target coronaviruses. This contract is for 2</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U.S. GAAP does not contain authoritative accounting standards for grants or contracts provided by governmental entities to a for-profit entity. Absent authoritative accounting standards, interpretative guidance issued and commonly applied by financial statement preparers allows for the selection of accounting policies amongst acceptable alternatives. The Company determined it most appropriate to account for grants by analogy to International Accounting Standards 20 (“IAS 20”), </w:t>
      </w:r>
      <w:r>
        <w:rPr>
          <w:rFonts w:ascii="Times New Roman" w:hAnsi="Times New Roman"/>
          <w:b w:val="false"/>
          <w:i/>
          <w:color w:val="000000"/>
          <w:sz w:val="20"/>
        </w:rPr>
        <w:t>Accounting for Government Grants and Disclosure of Government Assistance.</w:t>
      </w:r>
      <w:r>
        <w:rPr>
          <w:rFonts w:ascii="Times New Roman" w:hAnsi="Times New Roman"/>
          <w:color w:val="000000"/>
          <w:sz w:val="20"/>
        </w:rPr>
        <w:t xml:space="preserve"> </w:t>
      </w:r>
      <w:r>
        <w:rPr>
          <w:rFonts w:ascii="Times New Roman" w:hAnsi="Times New Roman"/>
          <w:b w:val="false"/>
          <w:color w:val="000000"/>
          <w:sz w:val="20"/>
        </w:rPr>
        <w:t>Under this model, reimbursements the Company receives from the U.S. government for qualifying expenditures under the NIH grant will be recognized in earnings as a reduction to Research and development expense when there is reasonable assurance that the Company will receive the grant. IAS 20 does not define “reasonable assurance”; however, based on certain interpretations, it is analogous to “probable” as defined in FASB ASC 450-20-20 under U.S. GAAP, which is the definition the Company has applied. The grants and contracts will be recognized in earnings as a reduction of the related expenses.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 of Right of Use Assets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accordance with ASC 360, Property, Plant and Equipment, management reviews the Company’s right of use assets for impairment annually or whenever events or changes in circumstances indicate that the carrying amount of an asset may not be fully recoverable. Events relating to recoverability may include significant unfavorable changes in business conditions, recurring losses, or a forecasted inability to achieve break-even operating results over an extended period. The Company determines the extent to which an asset may be impaired based upon its expectation of the asset’s future usability, as well as on a reasonable assurance that the future cash flows associated with the asset will be in excess of its carrying amount. If the total of the expected undiscounted future cash flows is less than the carrying amount of the asset, a loss is recognized for the difference between fair value and the carrying value of the asset. During the three months ended June 30, 2023, the Company vacated certain leased office space and as a result, the Company took an impairment charge against right of use assets of $0.7</w:t>
      </w:r>
      <w:r>
        <w:rPr>
          <w:rFonts w:ascii="Times New Roman" w:hAnsi="Times New Roman"/>
          <w:color w:val="000000"/>
          <w:sz w:val="20"/>
        </w:rPr>
        <w:t xml:space="preserve"> </w:t>
      </w:r>
      <w:r>
        <w:rPr>
          <w:rFonts w:ascii="Times New Roman" w:hAnsi="Times New Roman"/>
          <w:b w:val="false"/>
          <w:color w:val="000000"/>
          <w:sz w:val="20"/>
        </w:rPr>
        <w:t>million, recorded in the Consolidated Statements of Operations and Comprehensive Loss. No</w:t>
      </w:r>
      <w:r>
        <w:rPr>
          <w:rFonts w:ascii="Times New Roman" w:hAnsi="Times New Roman"/>
          <w:color w:val="000000"/>
          <w:sz w:val="20"/>
        </w:rPr>
        <w:t xml:space="preserve"> </w:t>
      </w:r>
      <w:r>
        <w:rPr>
          <w:rFonts w:ascii="Times New Roman" w:hAnsi="Times New Roman"/>
          <w:b w:val="false"/>
          <w:color w:val="000000"/>
          <w:sz w:val="20"/>
        </w:rPr>
        <w:t>further impairments were made in the three months ended September 30, 2023.</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No other material changes have been made to the Company’s significant accounting policies disclosed in Note 2, Summary of significant accounting policies, in its Annual Report on Form 10-K, filed on March 9, 2023, for the year ended December 31, 2022.</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has considered all recent accounting pronouncements issued, but not yet effective, and does not expect any to have a material effect on the Company’s condensed consolidated financial statements other than those discussed in its Annual Report on Form 10-K, filed on March 9, 2023, for the year ended December 31,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Property and equipment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components of property and equipment as of September 30, 2023 and December 31, 2022 were as follows (in thousands):</w:t>
      </w:r>
      <w:r>
        <w:rPr>
          <w:rFonts w:ascii="Times New Roman" w:hAnsi="Times New Roman"/>
          <w:color w:val="000000"/>
          <w:sz w:val="20"/>
        </w:rPr>
        <w:t xml:space="preserve"> </w:t>
      </w:r>
    </w:p>
    <w:p>
      <w:pPr>
        <w:pStyle w:val="TextBody"/>
        <w:bidi w:val="0"/>
        <w:jc w:val="left"/>
        <w:rPr/>
      </w:pPr>
      <w:r>
        <w:rPr/>
        <w:t> </w:t>
      </w:r>
    </w:p>
    <w:tbl>
      <w:tblPr>
        <w:tblW w:w="5745" w:type="dxa"/>
        <w:jc w:val="left"/>
        <w:tblInd w:w="0" w:type="dxa"/>
        <w:tblLayout w:type="fixed"/>
        <w:tblCellMar>
          <w:top w:w="28" w:type="dxa"/>
          <w:left w:w="28" w:type="dxa"/>
          <w:bottom w:w="28" w:type="dxa"/>
          <w:right w:w="28" w:type="dxa"/>
        </w:tblCellMar>
      </w:tblPr>
      <w:tblGrid>
        <w:gridCol w:w="2641"/>
        <w:gridCol w:w="146"/>
        <w:gridCol w:w="254"/>
        <w:gridCol w:w="886"/>
        <w:gridCol w:w="166"/>
        <w:gridCol w:w="146"/>
        <w:gridCol w:w="260"/>
        <w:gridCol w:w="835"/>
        <w:gridCol w:w="4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6,087</w:t>
            </w:r>
          </w:p>
        </w:tc>
        <w:tc>
          <w:tcPr>
            <w:tcW w:w="41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Lab equipment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6,179</w:t>
            </w:r>
          </w:p>
        </w:tc>
        <w:tc>
          <w:tcPr>
            <w:tcW w:w="41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w:t>
            </w:r>
          </w:p>
        </w:tc>
        <w:tc>
          <w:tcPr>
            <w:tcW w:w="41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and office equipment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w:t>
            </w:r>
          </w:p>
        </w:tc>
        <w:tc>
          <w:tcPr>
            <w:tcW w:w="41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Vehicles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w:t>
            </w:r>
          </w:p>
        </w:tc>
        <w:tc>
          <w:tcPr>
            <w:tcW w:w="41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 under construction</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at cost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14,384</w:t>
            </w:r>
          </w:p>
        </w:tc>
        <w:tc>
          <w:tcPr>
            <w:tcW w:w="41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depreciation</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net</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Depreciation expense was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2023, and $0.5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$1.8</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2022, respectively. Finance leases are also included in property and equipment as vehicles and lab equipment on the condensed consolidated balance sheets.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Investments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amortized cost, gross unrealized gains and losses, and estimated fair values of total fixed-maturity securities were as follows (in thousands):</w:t>
      </w:r>
      <w:r>
        <w:rPr>
          <w:rFonts w:ascii="Times New Roman" w:hAnsi="Times New Roman"/>
          <w:color w:val="000000"/>
          <w:sz w:val="20"/>
        </w:rPr>
        <w:t xml:space="preserve"> </w:t>
      </w:r>
    </w:p>
    <w:p>
      <w:pPr>
        <w:pStyle w:val="TextBody"/>
        <w:bidi w:val="0"/>
        <w:jc w:val="left"/>
        <w:rPr/>
      </w:pPr>
      <w:r>
        <w:rPr/>
        <w:t> </w:t>
      </w:r>
    </w:p>
    <w:tbl>
      <w:tblPr>
        <w:tblW w:w="7287" w:type="dxa"/>
        <w:jc w:val="left"/>
        <w:tblInd w:w="0" w:type="dxa"/>
        <w:tblLayout w:type="fixed"/>
        <w:tblCellMar>
          <w:top w:w="28" w:type="dxa"/>
          <w:left w:w="28" w:type="dxa"/>
          <w:bottom w:w="28" w:type="dxa"/>
          <w:right w:w="28" w:type="dxa"/>
        </w:tblCellMar>
      </w:tblPr>
      <w:tblGrid>
        <w:gridCol w:w="2446"/>
        <w:gridCol w:w="146"/>
        <w:gridCol w:w="487"/>
        <w:gridCol w:w="384"/>
        <w:gridCol w:w="146"/>
        <w:gridCol w:w="146"/>
        <w:gridCol w:w="495"/>
        <w:gridCol w:w="391"/>
        <w:gridCol w:w="146"/>
        <w:gridCol w:w="146"/>
        <w:gridCol w:w="495"/>
        <w:gridCol w:w="391"/>
        <w:gridCol w:w="146"/>
        <w:gridCol w:w="146"/>
        <w:gridCol w:w="495"/>
        <w:gridCol w:w="390"/>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291"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Available-for-sale securities:</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44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U.S. Treasury bonds</w:t>
            </w:r>
          </w:p>
        </w:tc>
        <w:tc>
          <w:tcPr>
            <w:tcW w:w="146" w:type="dxa"/>
            <w:tcBorders/>
            <w:shd w:fill="FFFFFF" w:val="clear"/>
            <w:vAlign w:val="center"/>
          </w:tcPr>
          <w:p>
            <w:pPr>
              <w:pStyle w:val="TableContents"/>
              <w:bidi w:val="0"/>
              <w:spacing w:before="0" w:after="283"/>
              <w:jc w:val="left"/>
              <w:rPr/>
            </w:pPr>
            <w:r>
              <w:rPr/>
              <w:t> </w:t>
            </w:r>
          </w:p>
        </w:tc>
        <w:tc>
          <w:tcPr>
            <w:tcW w:w="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46" w:type="dxa"/>
            <w:tcBorders/>
            <w:shd w:fill="FFFFFF"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tbl>
      <w:tblPr>
        <w:tblW w:w="7325" w:type="dxa"/>
        <w:jc w:val="left"/>
        <w:tblInd w:w="0" w:type="dxa"/>
        <w:tblLayout w:type="fixed"/>
        <w:tblCellMar>
          <w:top w:w="28" w:type="dxa"/>
          <w:left w:w="28" w:type="dxa"/>
          <w:bottom w:w="28" w:type="dxa"/>
          <w:right w:w="28" w:type="dxa"/>
        </w:tblCellMar>
      </w:tblPr>
      <w:tblGrid>
        <w:gridCol w:w="2446"/>
        <w:gridCol w:w="146"/>
        <w:gridCol w:w="211"/>
        <w:gridCol w:w="676"/>
        <w:gridCol w:w="146"/>
        <w:gridCol w:w="146"/>
        <w:gridCol w:w="495"/>
        <w:gridCol w:w="391"/>
        <w:gridCol w:w="146"/>
        <w:gridCol w:w="146"/>
        <w:gridCol w:w="318"/>
        <w:gridCol w:w="568"/>
        <w:gridCol w:w="166"/>
        <w:gridCol w:w="146"/>
        <w:gridCol w:w="211"/>
        <w:gridCol w:w="676"/>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291" w:type="dxa"/>
            <w:tcBorders/>
            <w:shd w:fill="FFFFFF" w:val="cle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Available-for-sale securities: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44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U.S. Treasury bonds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44,480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Changes in fair value are related to changes in market interest rates. The Company expects to collect all contractual principal and interest payments.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is a summary of maturities of securities available-for-sale as of September 30, 2023 (in thousands):</w:t>
      </w:r>
      <w:r>
        <w:rPr>
          <w:rFonts w:ascii="Times New Roman" w:hAnsi="Times New Roman"/>
          <w:color w:val="000000"/>
          <w:sz w:val="20"/>
        </w:rPr>
        <w:t xml:space="preserve"> </w:t>
      </w:r>
    </w:p>
    <w:p>
      <w:pPr>
        <w:pStyle w:val="TextBody"/>
        <w:bidi w:val="0"/>
        <w:jc w:val="left"/>
        <w:rPr/>
      </w:pPr>
      <w:r>
        <w:rPr/>
        <w:t> </w:t>
      </w:r>
    </w:p>
    <w:tbl>
      <w:tblPr>
        <w:tblW w:w="5235" w:type="dxa"/>
        <w:jc w:val="left"/>
        <w:tblInd w:w="0" w:type="dxa"/>
        <w:tblLayout w:type="fixed"/>
        <w:tblCellMar>
          <w:top w:w="28" w:type="dxa"/>
          <w:left w:w="28" w:type="dxa"/>
          <w:bottom w:w="28" w:type="dxa"/>
          <w:right w:w="28" w:type="dxa"/>
        </w:tblCellMar>
      </w:tblPr>
      <w:tblGrid>
        <w:gridCol w:w="1976"/>
        <w:gridCol w:w="146"/>
        <w:gridCol w:w="696"/>
        <w:gridCol w:w="549"/>
        <w:gridCol w:w="196"/>
        <w:gridCol w:w="196"/>
        <w:gridCol w:w="491"/>
        <w:gridCol w:w="394"/>
        <w:gridCol w:w="591"/>
      </w:tblGrid>
      <w:tr>
        <w:trPr/>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Amounts maturing in:</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245" w:type="dxa"/>
            <w:gridSpan w:val="2"/>
            <w:tcBorders/>
            <w:shd w:fill="CFF0FC" w:val="clear"/>
            <w:vAlign w:val="center"/>
          </w:tcPr>
          <w:p>
            <w:pPr>
              <w:pStyle w:val="TableContents"/>
              <w:bidi w:val="0"/>
              <w:spacing w:before="0" w:after="283"/>
              <w:jc w:val="left"/>
              <w:rPr>
                <w:sz w:val="4"/>
                <w:szCs w:val="4"/>
              </w:rPr>
            </w:pPr>
            <w:r>
              <w:rPr>
                <w:sz w:val="4"/>
                <w:szCs w:val="4"/>
              </w:rPr>
            </w:r>
          </w:p>
        </w:tc>
        <w:tc>
          <w:tcPr>
            <w:tcW w:w="19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sz w:val="4"/>
                <w:szCs w:val="4"/>
              </w:rPr>
            </w:pPr>
            <w:r>
              <w:rPr>
                <w:sz w:val="4"/>
                <w:szCs w:val="4"/>
              </w:rPr>
            </w:r>
          </w:p>
        </w:tc>
        <w:tc>
          <w:tcPr>
            <w:tcW w:w="885" w:type="dxa"/>
            <w:gridSpan w:val="2"/>
            <w:tcBorders/>
            <w:shd w:fill="CFF0FC" w:val="clear"/>
            <w:vAlign w:val="center"/>
          </w:tcPr>
          <w:p>
            <w:pPr>
              <w:pStyle w:val="TableContents"/>
              <w:bidi w:val="0"/>
              <w:spacing w:before="0" w:after="283"/>
              <w:jc w:val="left"/>
              <w:rPr>
                <w:sz w:val="4"/>
                <w:szCs w:val="4"/>
              </w:rPr>
            </w:pPr>
            <w:r>
              <w:rPr>
                <w:sz w:val="4"/>
                <w:szCs w:val="4"/>
              </w:rPr>
            </w:r>
          </w:p>
        </w:tc>
        <w:tc>
          <w:tcPr>
            <w:tcW w:w="591" w:type="dxa"/>
            <w:tcBorders/>
            <w:shd w:fill="CFF0FC" w:val="clear"/>
            <w:vAlign w:val="center"/>
          </w:tcPr>
          <w:p>
            <w:pPr>
              <w:pStyle w:val="TableContents"/>
              <w:bidi w:val="0"/>
              <w:spacing w:before="0" w:after="283"/>
              <w:ind w:left="0" w:right="0" w:firstLine="100"/>
              <w:jc w:val="center"/>
              <w:rPr/>
            </w:pPr>
            <w:r>
              <w:rPr/>
              <w:t> </w:t>
            </w:r>
          </w:p>
        </w:tc>
      </w:tr>
      <w:tr>
        <w:trPr/>
        <w:tc>
          <w:tcPr>
            <w:tcW w:w="19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One year or less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197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investments</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6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9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sz w:val="4"/>
                <w:szCs w:val="4"/>
              </w:rPr>
            </w:pPr>
            <w:r>
              <w:rPr>
                <w:sz w:val="4"/>
                <w:szCs w:val="4"/>
              </w:rPr>
            </w:r>
          </w:p>
        </w:tc>
        <w:tc>
          <w:tcPr>
            <w:tcW w:w="4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5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Company recorded interest income of $1.0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$2.7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2023, and $0.5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$0.8</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2022, respectively, as a component of interest and other income, net on the Company’s condensed consolidated statement of operations and comprehensive loss.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Accrued liabilities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Accrued liabilities consisted of the following (in thousands):</w:t>
      </w:r>
      <w:r>
        <w:rPr>
          <w:rFonts w:ascii="Times New Roman" w:hAnsi="Times New Roman"/>
          <w:color w:val="000000"/>
          <w:sz w:val="20"/>
        </w:rPr>
        <w:t xml:space="preserve"> </w:t>
      </w:r>
    </w:p>
    <w:p>
      <w:pPr>
        <w:pStyle w:val="TextBody"/>
        <w:bidi w:val="0"/>
        <w:jc w:val="left"/>
        <w:rPr/>
      </w:pPr>
      <w:r>
        <w:rPr/>
        <w:t> </w:t>
      </w:r>
    </w:p>
    <w:tbl>
      <w:tblPr>
        <w:tblW w:w="6775" w:type="dxa"/>
        <w:jc w:val="left"/>
        <w:tblInd w:w="0" w:type="dxa"/>
        <w:tblLayout w:type="fixed"/>
        <w:tblCellMar>
          <w:top w:w="28" w:type="dxa"/>
          <w:left w:w="28" w:type="dxa"/>
          <w:bottom w:w="28" w:type="dxa"/>
          <w:right w:w="28" w:type="dxa"/>
        </w:tblCellMar>
      </w:tblPr>
      <w:tblGrid>
        <w:gridCol w:w="3511"/>
        <w:gridCol w:w="146"/>
        <w:gridCol w:w="271"/>
        <w:gridCol w:w="869"/>
        <w:gridCol w:w="146"/>
        <w:gridCol w:w="146"/>
        <w:gridCol w:w="260"/>
        <w:gridCol w:w="835"/>
        <w:gridCol w:w="5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6,297</w:t>
            </w:r>
          </w:p>
        </w:tc>
        <w:tc>
          <w:tcPr>
            <w:tcW w:w="5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payables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8,203</w:t>
            </w:r>
          </w:p>
        </w:tc>
        <w:tc>
          <w:tcPr>
            <w:tcW w:w="5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Liability for early exercised stock options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5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1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16,039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there remains a</w:t>
      </w:r>
      <w:r>
        <w:rPr>
          <w:rFonts w:ascii="Times New Roman" w:hAnsi="Times New Roman"/>
          <w:color w:val="000000"/>
          <w:sz w:val="20"/>
        </w:rPr>
        <w:t xml:space="preserve"> </w:t>
      </w:r>
      <w:r>
        <w:rPr>
          <w:rFonts w:ascii="Times New Roman" w:hAnsi="Times New Roman"/>
          <w:b w:val="false"/>
          <w:color w:val="000000"/>
          <w:sz w:val="20"/>
        </w:rPr>
        <w:t>$0.1</w:t>
      </w:r>
      <w:r>
        <w:rPr>
          <w:rFonts w:ascii="Times New Roman" w:hAnsi="Times New Roman"/>
          <w:color w:val="000000"/>
          <w:sz w:val="20"/>
        </w:rPr>
        <w:t xml:space="preserve"> </w:t>
      </w:r>
      <w:r>
        <w:rPr>
          <w:rFonts w:ascii="Times New Roman" w:hAnsi="Times New Roman"/>
          <w:b w:val="false"/>
          <w:color w:val="000000"/>
          <w:sz w:val="20"/>
        </w:rPr>
        <w:t>million accrual, included within Accrued Compensation noted above, for the workforce reduction announced in February 2023, which is expected to be fully utilized by the end of 2023.</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and nine months ended September 30, 2023, the Company’s stock option compensation expense was approximately $2.9</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$9.4</w:t>
      </w:r>
      <w:r>
        <w:rPr>
          <w:rFonts w:ascii="Times New Roman" w:hAnsi="Times New Roman"/>
          <w:color w:val="000000"/>
          <w:sz w:val="20"/>
        </w:rPr>
        <w:t xml:space="preserve"> </w:t>
      </w:r>
      <w:r>
        <w:rPr>
          <w:rFonts w:ascii="Times New Roman" w:hAnsi="Times New Roman"/>
          <w:b w:val="false"/>
          <w:color w:val="000000"/>
          <w:sz w:val="20"/>
        </w:rPr>
        <w:t>million, respectively, and during the three and nine months ended September 30, 2022, the Company’s stock option compensation expense was approximately $3.3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$10.2</w:t>
      </w:r>
      <w:r>
        <w:rPr>
          <w:rFonts w:ascii="Times New Roman" w:hAnsi="Times New Roman"/>
          <w:color w:val="000000"/>
          <w:sz w:val="20"/>
        </w:rPr>
        <w:t xml:space="preserve"> </w:t>
      </w:r>
      <w:r>
        <w:rPr>
          <w:rFonts w:ascii="Times New Roman" w:hAnsi="Times New Roman"/>
          <w:b w:val="false"/>
          <w:color w:val="000000"/>
          <w:sz w:val="20"/>
        </w:rPr>
        <w:t>million, respectively. There was no</w:t>
      </w:r>
      <w:r>
        <w:rPr>
          <w:rFonts w:ascii="Times New Roman" w:hAnsi="Times New Roman"/>
          <w:color w:val="000000"/>
          <w:sz w:val="20"/>
        </w:rPr>
        <w:t xml:space="preserve"> </w:t>
      </w:r>
      <w:r>
        <w:rPr>
          <w:rFonts w:ascii="Times New Roman" w:hAnsi="Times New Roman"/>
          <w:b w:val="false"/>
          <w:color w:val="000000"/>
          <w:sz w:val="20"/>
        </w:rPr>
        <w:t>recognized tax benefit in either of the periods. As of September 30, 2023, the unamortized expense balance was $19.0</w:t>
      </w:r>
      <w:r>
        <w:rPr>
          <w:rFonts w:ascii="Times New Roman" w:hAnsi="Times New Roman"/>
          <w:color w:val="000000"/>
          <w:sz w:val="20"/>
        </w:rPr>
        <w:t xml:space="preserve"> </w:t>
      </w:r>
      <w:r>
        <w:rPr>
          <w:rFonts w:ascii="Times New Roman" w:hAnsi="Times New Roman"/>
          <w:b w:val="false"/>
          <w:color w:val="000000"/>
          <w:sz w:val="20"/>
        </w:rPr>
        <w:t>million, to be amortized over a weighted average period of 2.13</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Stock option activity during the nine months ended September 30, 2023 is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27"/>
        <w:gridCol w:w="146"/>
        <w:gridCol w:w="146"/>
        <w:gridCol w:w="1036"/>
        <w:gridCol w:w="166"/>
        <w:gridCol w:w="146"/>
        <w:gridCol w:w="266"/>
        <w:gridCol w:w="590"/>
        <w:gridCol w:w="146"/>
        <w:gridCol w:w="146"/>
        <w:gridCol w:w="237"/>
        <w:gridCol w:w="762"/>
        <w:gridCol w:w="146"/>
        <w:gridCol w:w="146"/>
        <w:gridCol w:w="417"/>
        <w:gridCol w:w="688"/>
        <w:gridCol w:w="194"/>
      </w:tblGrid>
      <w:tr>
        <w:trPr/>
        <w:tc>
          <w:tcPr>
            <w:tcW w:w="4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82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subject</w:t>
              <w:br/>
              <w:t>to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 xml:space="preserve">Value </w:t>
              <w:br/>
              <w:t>(in thousands)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as of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9,840,127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9"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8" w:type="dxa"/>
            <w:tcBorders/>
            <w:shd w:fill="CFF0FC" w:val="clear"/>
            <w:vAlign w:val="center"/>
          </w:tcPr>
          <w:p>
            <w:pPr>
              <w:pStyle w:val="TableContents"/>
              <w:bidi w:val="0"/>
              <w:spacing w:before="0" w:after="283"/>
              <w:jc w:val="right"/>
              <w:rPr>
                <w:color w:val="000000"/>
              </w:rPr>
            </w:pPr>
            <w:r>
              <w:rPr>
                <w:color w:val="000000"/>
              </w:rPr>
              <w:t>—</w:t>
            </w:r>
          </w:p>
        </w:tc>
        <w:tc>
          <w:tcPr>
            <w:tcW w:w="194" w:type="dxa"/>
            <w:tcBorders/>
            <w:shd w:fill="CFF0FC" w:val="clear"/>
            <w:vAlign w:val="center"/>
          </w:tcPr>
          <w:p>
            <w:pPr>
              <w:pStyle w:val="TableContents"/>
              <w:bidi w:val="0"/>
              <w:spacing w:before="0" w:after="283"/>
              <w:jc w:val="left"/>
              <w:rPr/>
            </w:pPr>
            <w:r>
              <w:rPr/>
              <w:t> </w:t>
            </w:r>
          </w:p>
        </w:tc>
      </w:tr>
      <w:tr>
        <w:trPr/>
        <w:tc>
          <w:tcPr>
            <w:tcW w:w="48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2,151,160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5"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r>
      <w:tr>
        <w:trPr/>
        <w:tc>
          <w:tcPr>
            <w:tcW w:w="48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(17,109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05"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r>
      <w:tr>
        <w:trPr/>
        <w:tc>
          <w:tcPr>
            <w:tcW w:w="48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(842,236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5"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r>
      <w:tr>
        <w:trPr/>
        <w:tc>
          <w:tcPr>
            <w:tcW w:w="48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11,131,942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8" w:type="dxa"/>
            <w:tcBorders/>
            <w:shd w:fill="CFF0FC" w:val="clear"/>
            <w:vAlign w:val="center"/>
          </w:tcPr>
          <w:p>
            <w:pPr>
              <w:pStyle w:val="TableContents"/>
              <w:bidi w:val="0"/>
              <w:spacing w:before="0" w:after="283"/>
              <w:jc w:val="right"/>
              <w:rPr>
                <w:color w:val="000000"/>
              </w:rPr>
            </w:pPr>
            <w:r>
              <w:rPr>
                <w:color w:val="000000"/>
              </w:rPr>
              <w:t>—</w:t>
            </w:r>
          </w:p>
        </w:tc>
        <w:tc>
          <w:tcPr>
            <w:tcW w:w="194" w:type="dxa"/>
            <w:tcBorders/>
            <w:shd w:fill="CFF0FC" w:val="clear"/>
            <w:vAlign w:val="center"/>
          </w:tcPr>
          <w:p>
            <w:pPr>
              <w:pStyle w:val="TableContents"/>
              <w:bidi w:val="0"/>
              <w:spacing w:before="0" w:after="283"/>
              <w:jc w:val="left"/>
              <w:rPr/>
            </w:pPr>
            <w:r>
              <w:rPr/>
              <w:t> </w:t>
            </w:r>
          </w:p>
        </w:tc>
      </w:tr>
      <w:tr>
        <w:trPr/>
        <w:tc>
          <w:tcPr>
            <w:tcW w:w="48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05"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r>
      <w:tr>
        <w:trPr/>
        <w:tc>
          <w:tcPr>
            <w:tcW w:w="48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vested and expected to vest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11,131,027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8" w:type="dxa"/>
            <w:tcBorders/>
            <w:shd w:fill="FFFFFF" w:val="clear"/>
            <w:vAlign w:val="center"/>
          </w:tcPr>
          <w:p>
            <w:pPr>
              <w:pStyle w:val="TableContents"/>
              <w:bidi w:val="0"/>
              <w:spacing w:before="0" w:after="283"/>
              <w:jc w:val="right"/>
              <w:rPr>
                <w:color w:val="000000"/>
              </w:rPr>
            </w:pPr>
            <w:r>
              <w:rPr>
                <w:color w:val="000000"/>
              </w:rPr>
              <w:t>—</w:t>
            </w:r>
          </w:p>
        </w:tc>
        <w:tc>
          <w:tcPr>
            <w:tcW w:w="194" w:type="dxa"/>
            <w:tcBorders/>
            <w:shd w:fill="FFFFFF" w:val="clear"/>
            <w:vAlign w:val="center"/>
          </w:tcPr>
          <w:p>
            <w:pPr>
              <w:pStyle w:val="TableContents"/>
              <w:bidi w:val="0"/>
              <w:spacing w:before="0" w:after="283"/>
              <w:jc w:val="left"/>
              <w:rPr/>
            </w:pPr>
            <w:r>
              <w:rPr/>
              <w:t> </w:t>
            </w:r>
          </w:p>
        </w:tc>
      </w:tr>
      <w:tr>
        <w:trPr/>
        <w:tc>
          <w:tcPr>
            <w:tcW w:w="48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vested and exercisable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5,471,525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8" w:type="dxa"/>
            <w:tcBorders/>
            <w:shd w:fill="CFF0FC" w:val="clear"/>
            <w:vAlign w:val="center"/>
          </w:tcPr>
          <w:p>
            <w:pPr>
              <w:pStyle w:val="TableContents"/>
              <w:bidi w:val="0"/>
              <w:spacing w:before="0" w:after="283"/>
              <w:jc w:val="right"/>
              <w:rPr>
                <w:color w:val="000000"/>
              </w:rPr>
            </w:pPr>
            <w:r>
              <w:rPr>
                <w:color w:val="000000"/>
              </w:rPr>
              <w:t>—</w:t>
            </w:r>
          </w:p>
        </w:tc>
        <w:tc>
          <w:tcPr>
            <w:tcW w:w="194"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weighted-average grant date fair value of options granted during the three and nine months ended September 30, 2023 was $0.59</w:t>
      </w:r>
      <w:r>
        <w:rPr>
          <w:rFonts w:ascii="Times New Roman" w:hAnsi="Times New Roman"/>
          <w:color w:val="000000"/>
          <w:sz w:val="20"/>
        </w:rPr>
        <w:t xml:space="preserve"> </w:t>
      </w:r>
      <w:r>
        <w:rPr>
          <w:rFonts w:ascii="Times New Roman" w:hAnsi="Times New Roman"/>
          <w:b w:val="false"/>
          <w:color w:val="000000"/>
          <w:sz w:val="20"/>
        </w:rPr>
        <w:t>and $0.83</w:t>
      </w:r>
      <w:r>
        <w:rPr>
          <w:rFonts w:ascii="Times New Roman" w:hAnsi="Times New Roman"/>
          <w:color w:val="000000"/>
          <w:sz w:val="20"/>
        </w:rPr>
        <w:t xml:space="preserve"> </w:t>
      </w:r>
      <w:r>
        <w:rPr>
          <w:rFonts w:ascii="Times New Roman" w:hAnsi="Times New Roman"/>
          <w:b w:val="false"/>
          <w:color w:val="000000"/>
          <w:sz w:val="20"/>
        </w:rPr>
        <w:t>per share, respectively, and during the three and nine months ended September 30, 2022 was $0.98</w:t>
      </w:r>
      <w:r>
        <w:rPr>
          <w:rFonts w:ascii="Times New Roman" w:hAnsi="Times New Roman"/>
          <w:color w:val="000000"/>
          <w:sz w:val="20"/>
        </w:rPr>
        <w:t xml:space="preserve"> </w:t>
      </w:r>
      <w:r>
        <w:rPr>
          <w:rFonts w:ascii="Times New Roman" w:hAnsi="Times New Roman"/>
          <w:b w:val="false"/>
          <w:color w:val="000000"/>
          <w:sz w:val="20"/>
        </w:rPr>
        <w:t>and $1.81</w:t>
      </w:r>
      <w:r>
        <w:rPr>
          <w:rFonts w:ascii="Times New Roman" w:hAnsi="Times New Roman"/>
          <w:color w:val="000000"/>
          <w:sz w:val="20"/>
        </w:rPr>
        <w:t xml:space="preserve"> </w:t>
      </w:r>
      <w:r>
        <w:rPr>
          <w:rFonts w:ascii="Times New Roman" w:hAnsi="Times New Roman"/>
          <w:b w:val="false"/>
          <w:color w:val="000000"/>
          <w:sz w:val="20"/>
        </w:rPr>
        <w:t>per share, respectively.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three and nine months ended September 30, 2023, the Company recorded $2</w:t>
      </w:r>
      <w:r>
        <w:rPr>
          <w:rFonts w:ascii="Times New Roman" w:hAnsi="Times New Roman"/>
          <w:color w:val="000000"/>
          <w:sz w:val="20"/>
        </w:rPr>
        <w:t xml:space="preserve"> </w:t>
      </w:r>
      <w:r>
        <w:rPr>
          <w:rFonts w:ascii="Times New Roman" w:hAnsi="Times New Roman"/>
          <w:b w:val="false"/>
          <w:color w:val="000000"/>
          <w:sz w:val="20"/>
        </w:rPr>
        <w:t>thousand</w:t>
      </w:r>
      <w:r>
        <w:rPr>
          <w:rFonts w:ascii="Times New Roman" w:hAnsi="Times New Roman"/>
          <w:color w:val="000000"/>
          <w:sz w:val="20"/>
        </w:rPr>
        <w:t xml:space="preserve"> </w:t>
      </w:r>
      <w:r>
        <w:rPr>
          <w:rFonts w:ascii="Times New Roman" w:hAnsi="Times New Roman"/>
          <w:b w:val="false"/>
          <w:color w:val="000000"/>
          <w:sz w:val="20"/>
        </w:rPr>
        <w:t>and $2</w:t>
      </w:r>
      <w:r>
        <w:rPr>
          <w:rFonts w:ascii="Times New Roman" w:hAnsi="Times New Roman"/>
          <w:color w:val="000000"/>
          <w:sz w:val="20"/>
        </w:rPr>
        <w:t xml:space="preserve"> </w:t>
      </w:r>
      <w:r>
        <w:rPr>
          <w:rFonts w:ascii="Times New Roman" w:hAnsi="Times New Roman"/>
          <w:b w:val="false"/>
          <w:color w:val="000000"/>
          <w:sz w:val="20"/>
        </w:rPr>
        <w:t>thousand</w:t>
      </w:r>
      <w:r>
        <w:rPr>
          <w:rFonts w:ascii="Times New Roman" w:hAnsi="Times New Roman"/>
          <w:color w:val="000000"/>
          <w:sz w:val="20"/>
        </w:rPr>
        <w:t xml:space="preserve"> </w:t>
      </w:r>
      <w:r>
        <w:rPr>
          <w:rFonts w:ascii="Times New Roman" w:hAnsi="Times New Roman"/>
          <w:b w:val="false"/>
          <w:color w:val="000000"/>
          <w:sz w:val="20"/>
        </w:rPr>
        <w:t>stock-based compensation expense related to restricted stock units newly granted in the three months ended September 30, 2023.</w:t>
      </w:r>
      <w:r>
        <w:rPr>
          <w:rFonts w:ascii="Times New Roman" w:hAnsi="Times New Roman"/>
          <w:color w:val="000000"/>
          <w:sz w:val="20"/>
        </w:rPr>
        <w:t xml:space="preserve"> </w:t>
      </w:r>
      <w:r>
        <w:rPr>
          <w:rFonts w:ascii="Times New Roman" w:hAnsi="Times New Roman"/>
          <w:b w:val="false"/>
          <w:color w:val="000000"/>
          <w:sz w:val="20"/>
        </w:rPr>
        <w:t>During the three and nine months ended September 30, 2022, the Company recorded total stock-based compensation expense related to restricted stock awards of $4</w:t>
      </w:r>
      <w:r>
        <w:rPr>
          <w:rFonts w:ascii="Times New Roman" w:hAnsi="Times New Roman"/>
          <w:color w:val="000000"/>
          <w:sz w:val="20"/>
        </w:rPr>
        <w:t xml:space="preserve"> </w:t>
      </w:r>
      <w:r>
        <w:rPr>
          <w:rFonts w:ascii="Times New Roman" w:hAnsi="Times New Roman"/>
          <w:b w:val="false"/>
          <w:color w:val="000000"/>
          <w:sz w:val="20"/>
        </w:rPr>
        <w:t>thousand</w:t>
      </w:r>
      <w:r>
        <w:rPr>
          <w:rFonts w:ascii="Times New Roman" w:hAnsi="Times New Roman"/>
          <w:color w:val="000000"/>
          <w:sz w:val="20"/>
        </w:rPr>
        <w:t xml:space="preserve"> </w:t>
      </w:r>
      <w:r>
        <w:rPr>
          <w:rFonts w:ascii="Times New Roman" w:hAnsi="Times New Roman"/>
          <w:b w:val="false"/>
          <w:color w:val="000000"/>
          <w:sz w:val="20"/>
        </w:rPr>
        <w:t>and $95</w:t>
      </w:r>
      <w:r>
        <w:rPr>
          <w:rFonts w:ascii="Times New Roman" w:hAnsi="Times New Roman"/>
          <w:color w:val="000000"/>
          <w:sz w:val="20"/>
        </w:rPr>
        <w:t xml:space="preserve"> </w:t>
      </w:r>
      <w:r>
        <w:rPr>
          <w:rFonts w:ascii="Times New Roman" w:hAnsi="Times New Roman"/>
          <w:b w:val="false"/>
          <w:color w:val="000000"/>
          <w:sz w:val="20"/>
        </w:rPr>
        <w:t>thousand.</w:t>
      </w:r>
      <w:r>
        <w:rPr>
          <w:rFonts w:ascii="Times New Roman" w:hAnsi="Times New Roman"/>
          <w:color w:val="000000"/>
          <w:sz w:val="20"/>
        </w:rPr>
        <w:t xml:space="preserve"> </w:t>
      </w:r>
      <w:r>
        <w:rPr>
          <w:rFonts w:ascii="Times New Roman" w:hAnsi="Times New Roman"/>
          <w:b w:val="false"/>
          <w:color w:val="000000"/>
          <w:sz w:val="20"/>
        </w:rPr>
        <w:t>As of September 30, 2023, the unamortized expense balance was $0.1</w:t>
      </w:r>
      <w:r>
        <w:rPr>
          <w:rFonts w:ascii="Times New Roman" w:hAnsi="Times New Roman"/>
          <w:color w:val="000000"/>
          <w:sz w:val="20"/>
        </w:rPr>
        <w:t xml:space="preserve"> </w:t>
      </w:r>
      <w:r>
        <w:rPr>
          <w:rFonts w:ascii="Times New Roman" w:hAnsi="Times New Roman"/>
          <w:b w:val="false"/>
          <w:color w:val="000000"/>
          <w:sz w:val="20"/>
        </w:rPr>
        <w:t>million, to be amortized over a weighted average period of 3.8</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Restricted stock activity during the nine months ended September 30, 2023 is as follows:</w:t>
      </w:r>
      <w:r>
        <w:rPr>
          <w:rFonts w:ascii="Times New Roman" w:hAnsi="Times New Roman"/>
          <w:color w:val="000000"/>
          <w:sz w:val="20"/>
        </w:rPr>
        <w:t xml:space="preserve"> </w:t>
      </w:r>
    </w:p>
    <w:p>
      <w:pPr>
        <w:pStyle w:val="TextBody"/>
        <w:bidi w:val="0"/>
        <w:spacing w:before="240" w:after="283"/>
        <w:jc w:val="left"/>
        <w:rPr/>
      </w:pPr>
      <w:r>
        <w:rPr/>
        <w:t> </w:t>
      </w:r>
    </w:p>
    <w:tbl>
      <w:tblPr>
        <w:tblW w:w="7759" w:type="dxa"/>
        <w:jc w:val="left"/>
        <w:tblInd w:w="0" w:type="dxa"/>
        <w:tblLayout w:type="fixed"/>
        <w:tblCellMar>
          <w:top w:w="28" w:type="dxa"/>
          <w:left w:w="28" w:type="dxa"/>
          <w:bottom w:w="28" w:type="dxa"/>
          <w:right w:w="28" w:type="dxa"/>
        </w:tblCellMar>
      </w:tblPr>
      <w:tblGrid>
        <w:gridCol w:w="3841"/>
        <w:gridCol w:w="146"/>
        <w:gridCol w:w="146"/>
        <w:gridCol w:w="781"/>
        <w:gridCol w:w="146"/>
        <w:gridCol w:w="146"/>
        <w:gridCol w:w="293"/>
        <w:gridCol w:w="652"/>
        <w:gridCol w:w="146"/>
        <w:gridCol w:w="146"/>
        <w:gridCol w:w="374"/>
        <w:gridCol w:w="751"/>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Issued and unvested as of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awards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91" w:type="dxa"/>
            <w:tcBorders/>
            <w:shd w:fill="FFFFFF" w:val="cle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awards vested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Issued and unvested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b w:val="false"/>
          <w:color w:val="000000"/>
          <w:sz w:val="20"/>
        </w:rPr>
        <w:t>During the nine months ended September 30, 2023 and 2022, the Company did not issue shares of common stock, upon exercise of unvested stock options or purchases for unvested restricted stock awards. As of September 30, 2023 and December 31, 2022, there were 1,975</w:t>
      </w:r>
      <w:r>
        <w:rPr>
          <w:rFonts w:ascii="Times New Roman" w:hAnsi="Times New Roman"/>
          <w:color w:val="000000"/>
          <w:sz w:val="20"/>
        </w:rPr>
        <w:t xml:space="preserve"> </w:t>
      </w:r>
      <w:r>
        <w:rPr>
          <w:rFonts w:ascii="Times New Roman" w:hAnsi="Times New Roman"/>
          <w:b w:val="false"/>
          <w:color w:val="000000"/>
          <w:sz w:val="20"/>
        </w:rPr>
        <w:t>and 28,711</w:t>
      </w:r>
      <w:r>
        <w:rPr>
          <w:rFonts w:ascii="Times New Roman" w:hAnsi="Times New Roman"/>
          <w:color w:val="000000"/>
          <w:sz w:val="20"/>
        </w:rPr>
        <w:t xml:space="preserve"> </w:t>
      </w:r>
      <w:r>
        <w:rPr>
          <w:rFonts w:ascii="Times New Roman" w:hAnsi="Times New Roman"/>
          <w:b w:val="false"/>
          <w:color w:val="000000"/>
          <w:sz w:val="20"/>
        </w:rPr>
        <w:t>shares of Common Stock held by employees subject to repurchase at an aggregate price of approximately $0.0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$0.1</w:t>
      </w:r>
      <w:r>
        <w:rPr>
          <w:rFonts w:ascii="Times New Roman" w:hAnsi="Times New Roman"/>
          <w:color w:val="000000"/>
          <w:sz w:val="20"/>
        </w:rPr>
        <w:t xml:space="preserve"> </w:t>
      </w:r>
      <w:r>
        <w:rPr>
          <w:rFonts w:ascii="Times New Roman" w:hAnsi="Times New Roman"/>
          <w:b w:val="false"/>
          <w:color w:val="000000"/>
          <w:sz w:val="20"/>
        </w:rPr>
        <w:t>million, respectively. A corresponding liability was recorded and included in accrued expenses on the condensed consolidated balance sheet as of September 30, 2023 and December 31, 2022, respectively.</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40" w:after="283"/>
        <w:jc w:val="left"/>
        <w:rPr>
          <w:rFonts w:ascii="Times New Roman" w:hAnsi="Times New Roman"/>
          <w:sz w:val="20"/>
        </w:rPr>
      </w:pPr>
      <w:r>
        <w:rPr>
          <w:rFonts w:ascii="Times New Roman" w:hAnsi="Times New Roman"/>
          <w:b w:val="false"/>
          <w:color w:val="000000"/>
          <w:sz w:val="20"/>
        </w:rPr>
        <w:t>During the three and nine months ended September 30, 2023, the Company recorded total stock-based compensation expense related to the employee stock purchase plan of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$0.7</w:t>
      </w:r>
      <w:r>
        <w:rPr>
          <w:rFonts w:ascii="Times New Roman" w:hAnsi="Times New Roman"/>
          <w:color w:val="000000"/>
          <w:sz w:val="20"/>
        </w:rPr>
        <w:t xml:space="preserve"> </w:t>
      </w:r>
      <w:r>
        <w:rPr>
          <w:rFonts w:ascii="Times New Roman" w:hAnsi="Times New Roman"/>
          <w:b w:val="false"/>
          <w:color w:val="000000"/>
          <w:sz w:val="20"/>
        </w:rPr>
        <w:t>million, respectively. During the three and nine months ended September 30, 2022, the Company recorded total stock-based compensation expense related to the employee stock purchase plan of $0.2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$1.0</w:t>
      </w:r>
      <w:r>
        <w:rPr>
          <w:rFonts w:ascii="Times New Roman" w:hAnsi="Times New Roman"/>
          <w:color w:val="000000"/>
          <w:sz w:val="20"/>
        </w:rPr>
        <w:t xml:space="preserve"> </w:t>
      </w:r>
      <w:r>
        <w:rPr>
          <w:rFonts w:ascii="Times New Roman" w:hAnsi="Times New Roman"/>
          <w:b w:val="false"/>
          <w:color w:val="000000"/>
          <w:sz w:val="20"/>
        </w:rPr>
        <w:t>million. During the three and nine months ended September 30, 2023 and 2022</w:t>
      </w:r>
      <w:r>
        <w:rPr>
          <w:rFonts w:ascii="Times New Roman" w:hAnsi="Times New Roman"/>
          <w:color w:val="000000"/>
          <w:sz w:val="20"/>
        </w:rPr>
        <w:t xml:space="preserve"> </w:t>
      </w:r>
      <w:r>
        <w:rPr>
          <w:rFonts w:ascii="Times New Roman" w:hAnsi="Times New Roman"/>
          <w:b w:val="false"/>
          <w:color w:val="000000"/>
          <w:sz w:val="20"/>
        </w:rPr>
        <w:t>, 0</w:t>
      </w:r>
      <w:r>
        <w:rPr>
          <w:rFonts w:ascii="Times New Roman" w:hAnsi="Times New Roman"/>
          <w:color w:val="000000"/>
          <w:sz w:val="20"/>
        </w:rPr>
        <w:t xml:space="preserve"> </w:t>
      </w:r>
      <w:r>
        <w:rPr>
          <w:rFonts w:ascii="Times New Roman" w:hAnsi="Times New Roman"/>
          <w:b w:val="false"/>
          <w:color w:val="000000"/>
          <w:sz w:val="20"/>
        </w:rPr>
        <w:t>and 562,493, and 0</w:t>
      </w:r>
      <w:r>
        <w:rPr>
          <w:rFonts w:ascii="Times New Roman" w:hAnsi="Times New Roman"/>
          <w:color w:val="000000"/>
          <w:sz w:val="20"/>
        </w:rPr>
        <w:t xml:space="preserve"> </w:t>
      </w:r>
      <w:r>
        <w:rPr>
          <w:rFonts w:ascii="Times New Roman" w:hAnsi="Times New Roman"/>
          <w:b w:val="false"/>
          <w:color w:val="000000"/>
          <w:sz w:val="20"/>
        </w:rPr>
        <w:t>and 112,468, purchases of awards under this plan have been made, respectively.</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Stock-based compensation expense was allocated as follows for the three and nine months ended September 30, 2023 and 2022 (in thousands):</w:t>
      </w:r>
      <w:r>
        <w:rPr>
          <w:rFonts w:ascii="Times New Roman" w:hAnsi="Times New Roman"/>
          <w:color w:val="000000"/>
          <w:sz w:val="20"/>
        </w:rPr>
        <w:t xml:space="preserve"> </w:t>
      </w:r>
    </w:p>
    <w:p>
      <w:pPr>
        <w:pStyle w:val="TextBody"/>
        <w:bidi w:val="0"/>
        <w:jc w:val="left"/>
        <w:rPr/>
      </w:pPr>
      <w:r>
        <w:rPr/>
        <w:t> </w:t>
      </w:r>
    </w:p>
    <w:tbl>
      <w:tblPr>
        <w:tblW w:w="7262"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676"/>
        <w:gridCol w:w="146"/>
        <w:gridCol w:w="146"/>
        <w:gridCol w:w="211"/>
        <w:gridCol w:w="676"/>
        <w:gridCol w:w="5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shd w:fill="FFFFFF" w:val="cle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6,155</w:t>
            </w:r>
          </w:p>
        </w:tc>
        <w:tc>
          <w:tcPr>
            <w:tcW w:w="5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1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11,277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Fair value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Level 1</w:t>
      </w:r>
      <w:r>
        <w:rPr>
          <w:rFonts w:ascii="Times New Roman" w:hAnsi="Times New Roman"/>
          <w:color w:val="000000"/>
          <w:sz w:val="20"/>
        </w:rPr>
        <w:t xml:space="preserve"> — </w:t>
      </w:r>
      <w:r>
        <w:rPr>
          <w:rFonts w:ascii="Times New Roman" w:hAnsi="Times New Roman"/>
          <w:b w:val="false"/>
          <w:color w:val="000000"/>
          <w:sz w:val="20"/>
        </w:rPr>
        <w:t>Quoted prices in active markets for identical assets or liabilities.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Level 2</w:t>
      </w:r>
      <w:r>
        <w:rPr>
          <w:rFonts w:ascii="Times New Roman" w:hAnsi="Times New Roman"/>
          <w:color w:val="000000"/>
          <w:sz w:val="20"/>
        </w:rPr>
        <w:t xml:space="preserve"> — </w:t>
      </w:r>
      <w:r>
        <w:rPr>
          <w:rFonts w:ascii="Times New Roman" w:hAnsi="Times New Roman"/>
          <w:b w:val="false"/>
          <w:color w:val="000000"/>
          <w:sz w:val="20"/>
        </w:rPr>
        <w:t>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Level 3</w:t>
      </w:r>
      <w:r>
        <w:rPr>
          <w:rFonts w:ascii="Times New Roman" w:hAnsi="Times New Roman"/>
          <w:color w:val="000000"/>
          <w:sz w:val="20"/>
        </w:rPr>
        <w:t xml:space="preserve"> — </w:t>
      </w:r>
      <w:r>
        <w:rPr>
          <w:rFonts w:ascii="Times New Roman" w:hAnsi="Times New Roman"/>
          <w:b w:val="false"/>
          <w:color w:val="000000"/>
          <w:sz w:val="20"/>
        </w:rPr>
        <w:t>Unobservable inputs that are supported by little or no market activity that are significant to determining the fair value of the assets or liabilities, including pricing models, discounted cash flow methodologies and similar techniques.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tables present the fair value of the Company’s financial instruments that are measured or disclosed at fair value on a recurring basis (in thousands):</w:t>
      </w:r>
      <w:r>
        <w:rPr>
          <w:rFonts w:ascii="Times New Roman" w:hAnsi="Times New Roman"/>
          <w:color w:val="000000"/>
          <w:sz w:val="20"/>
        </w:rPr>
        <w:t xml:space="preserve"> </w:t>
      </w:r>
    </w:p>
    <w:p>
      <w:pPr>
        <w:pStyle w:val="TextBody"/>
        <w:bidi w:val="0"/>
        <w:jc w:val="left"/>
        <w:rPr/>
      </w:pPr>
      <w:r>
        <w:rPr/>
        <w:t> </w:t>
      </w:r>
    </w:p>
    <w:tbl>
      <w:tblPr>
        <w:tblW w:w="5114" w:type="dxa"/>
        <w:jc w:val="left"/>
        <w:tblInd w:w="0" w:type="dxa"/>
        <w:tblLayout w:type="fixed"/>
        <w:tblCellMar>
          <w:top w:w="28" w:type="dxa"/>
          <w:left w:w="28" w:type="dxa"/>
          <w:bottom w:w="28" w:type="dxa"/>
          <w:right w:w="28" w:type="dxa"/>
        </w:tblCellMar>
      </w:tblPr>
      <w:tblGrid>
        <w:gridCol w:w="1841"/>
        <w:gridCol w:w="146"/>
        <w:gridCol w:w="211"/>
        <w:gridCol w:w="781"/>
        <w:gridCol w:w="146"/>
        <w:gridCol w:w="146"/>
        <w:gridCol w:w="352"/>
        <w:gridCol w:w="278"/>
        <w:gridCol w:w="146"/>
        <w:gridCol w:w="146"/>
        <w:gridCol w:w="352"/>
        <w:gridCol w:w="278"/>
        <w:gridCol w:w="291"/>
      </w:tblGrid>
      <w:tr>
        <w:trPr/>
        <w:tc>
          <w:tcPr>
            <w:tcW w:w="1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Measurements </w:t>
              <w:br/>
              <w:t>as of September 30,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84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84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U.S. Treasury bonds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1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Measurements </w:t>
              <w:br/>
              <w:t>as of 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84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84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U.S. Treasury bonds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License and collaboration agreements </w:t>
      </w:r>
    </w:p>
    <w:p>
      <w:pPr>
        <w:pStyle w:val="TextBody"/>
        <w:bidi w:val="0"/>
        <w:spacing w:before="120" w:after="283"/>
        <w:jc w:val="left"/>
        <w:rPr>
          <w:rFonts w:ascii="Times New Roman" w:hAnsi="Times New Roman"/>
          <w:sz w:val="20"/>
        </w:rPr>
      </w:pPr>
      <w:r>
        <w:rPr>
          <w:rFonts w:ascii="Times New Roman" w:hAnsi="Times New Roman"/>
          <w:b/>
          <w:i/>
          <w:color w:val="000000"/>
          <w:sz w:val="20"/>
        </w:rPr>
        <w:t>Agreement with Emory University (Emory)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w:t>
      </w:r>
      <w:r>
        <w:rPr>
          <w:rFonts w:ascii="Times New Roman" w:hAnsi="Times New Roman"/>
          <w:color w:val="000000"/>
          <w:sz w:val="20"/>
        </w:rPr>
        <w:t xml:space="preserve"> </w:t>
      </w:r>
      <w:r>
        <w:rPr>
          <w:rFonts w:ascii="Times New Roman" w:hAnsi="Times New Roman"/>
          <w:b w:val="false"/>
          <w:color w:val="000000"/>
          <w:sz w:val="20"/>
        </w:rPr>
        <w:t>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the Company exercised its option to extend it for a second year. In June 2022, the research plan terminated.</w:t>
      </w:r>
      <w:r>
        <w:rPr>
          <w:rFonts w:ascii="Times New Roman" w:hAnsi="Times New Roman"/>
          <w:color w:val="000000"/>
          <w:sz w:val="20"/>
        </w:rPr>
        <w:t xml:space="preserve"> </w:t>
      </w:r>
      <w:r>
        <w:rPr>
          <w:rFonts w:ascii="Times New Roman" w:hAnsi="Times New Roman"/>
          <w:b w:val="false"/>
          <w:color w:val="000000"/>
          <w:sz w:val="20"/>
        </w:rPr>
        <w:t>In connection with the research plan, the Company will provide Emory funding up to $0.3</w:t>
      </w:r>
      <w:r>
        <w:rPr>
          <w:rFonts w:ascii="Times New Roman" w:hAnsi="Times New Roman"/>
          <w:color w:val="000000"/>
          <w:sz w:val="20"/>
        </w:rPr>
        <w:t xml:space="preserve"> </w:t>
      </w:r>
      <w:r>
        <w:rPr>
          <w:rFonts w:ascii="Times New Roman" w:hAnsi="Times New Roman"/>
          <w:b w:val="false"/>
          <w:color w:val="000000"/>
          <w:sz w:val="20"/>
        </w:rPr>
        <w:t>million per year.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has agreed to pay Emory up to an aggregate of $125.0</w:t>
      </w:r>
      <w:r>
        <w:rPr>
          <w:rFonts w:ascii="Times New Roman" w:hAnsi="Times New Roman"/>
          <w:color w:val="000000"/>
          <w:sz w:val="20"/>
        </w:rPr>
        <w:t xml:space="preserve"> </w:t>
      </w:r>
      <w:r>
        <w:rPr>
          <w:rFonts w:ascii="Times New Roman" w:hAnsi="Times New Roman"/>
          <w:b w:val="false"/>
          <w:color w:val="000000"/>
          <w:sz w:val="20"/>
        </w:rPr>
        <w:t>million upon the achievement of specified development, regulatory, and commercial milestones, and all ongoing patent costs. During the three and nine months ended September 30, 2023 and 2022, the Company had no</w:t>
      </w:r>
      <w:r>
        <w:rPr>
          <w:rFonts w:ascii="Times New Roman" w:hAnsi="Times New Roman"/>
          <w:color w:val="000000"/>
          <w:sz w:val="20"/>
        </w:rPr>
        <w:t xml:space="preserve"> </w:t>
      </w:r>
      <w:r>
        <w:rPr>
          <w:rFonts w:ascii="Times New Roman" w:hAnsi="Times New Roman"/>
          <w:b w:val="false"/>
          <w:color w:val="000000"/>
          <w:sz w:val="20"/>
        </w:rPr>
        <w:t>expenses related to milestone payments.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During the three and nine months ended September 30, 2023 and 2022, the Company made no</w:t>
      </w:r>
      <w:r>
        <w:rPr>
          <w:rFonts w:ascii="Times New Roman" w:hAnsi="Times New Roman"/>
          <w:color w:val="000000"/>
          <w:sz w:val="20"/>
        </w:rPr>
        <w:t xml:space="preserve"> </w:t>
      </w:r>
      <w:r>
        <w:rPr>
          <w:rFonts w:ascii="Times New Roman" w:hAnsi="Times New Roman"/>
          <w:b w:val="false"/>
          <w:color w:val="000000"/>
          <w:sz w:val="20"/>
        </w:rPr>
        <w:t>payments associated with royalties and recognized no</w:t>
      </w:r>
      <w:r>
        <w:rPr>
          <w:rFonts w:ascii="Times New Roman" w:hAnsi="Times New Roman"/>
          <w:color w:val="000000"/>
          <w:sz w:val="20"/>
        </w:rPr>
        <w:t xml:space="preserve"> </w:t>
      </w:r>
      <w:r>
        <w:rPr>
          <w:rFonts w:ascii="Times New Roman" w:hAnsi="Times New Roman"/>
          <w:b w:val="false"/>
          <w:color w:val="000000"/>
          <w:sz w:val="20"/>
        </w:rPr>
        <w:t>expense or accruals.</w:t>
      </w:r>
    </w:p>
    <w:p>
      <w:pPr>
        <w:pStyle w:val="TextBody"/>
        <w:bidi w:val="0"/>
        <w:spacing w:before="360" w:after="283"/>
        <w:jc w:val="left"/>
        <w:rPr>
          <w:rFonts w:ascii="Times New Roman" w:hAnsi="Times New Roman"/>
          <w:sz w:val="20"/>
        </w:rPr>
      </w:pPr>
      <w:r>
        <w:rPr>
          <w:rFonts w:ascii="Times New Roman" w:hAnsi="Times New Roman"/>
          <w:b/>
          <w:i/>
          <w:color w:val="000000"/>
          <w:sz w:val="20"/>
        </w:rPr>
        <w:t>Agreement with Luxna Biotech Co., Ltd. (Luxna)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NASH,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which expired in December 2021. As consideration for this agreement, the Company paid an upfront license fee of $0.6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$0.2</w:t>
      </w:r>
      <w:r>
        <w:rPr>
          <w:rFonts w:ascii="Times New Roman" w:hAnsi="Times New Roman"/>
          <w:color w:val="000000"/>
          <w:sz w:val="20"/>
        </w:rPr>
        <w:t xml:space="preserve"> </w:t>
      </w:r>
      <w:r>
        <w:rPr>
          <w:rFonts w:ascii="Times New Roman" w:hAnsi="Times New Roman"/>
          <w:b w:val="false"/>
          <w:color w:val="000000"/>
          <w:sz w:val="20"/>
        </w:rPr>
        <w:t>million in April 2020.</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is obligated to make payments to Luxna, in aggregate, totaling up to but no more than $55.5</w:t>
      </w:r>
      <w:r>
        <w:rPr>
          <w:rFonts w:ascii="Times New Roman" w:hAnsi="Times New Roman"/>
          <w:color w:val="000000"/>
          <w:sz w:val="20"/>
        </w:rPr>
        <w:t xml:space="preserve"> </w:t>
      </w:r>
      <w:r>
        <w:rPr>
          <w:rFonts w:ascii="Times New Roman" w:hAnsi="Times New Roman"/>
          <w:b w:val="false"/>
          <w:color w:val="000000"/>
          <w:sz w:val="20"/>
        </w:rPr>
        <w:t>million upon the achievement of specified development, regulatory, and commercial milestones. During the three and nine months ended September 30, 2023 and 2022, the Company recognized no</w:t>
      </w:r>
      <w:r>
        <w:rPr>
          <w:rFonts w:ascii="Times New Roman" w:hAnsi="Times New Roman"/>
          <w:color w:val="000000"/>
          <w:sz w:val="20"/>
        </w:rPr>
        <w:t xml:space="preserve"> </w:t>
      </w:r>
      <w:r>
        <w:rPr>
          <w:rFonts w:ascii="Times New Roman" w:hAnsi="Times New Roman"/>
          <w:b w:val="false"/>
          <w:color w:val="000000"/>
          <w:sz w:val="20"/>
        </w:rPr>
        <w:t>expenses related to milestone payments. The Company is also required to pay Luxna a low-single digit royalty percentage on net sale of applicable products, if any. During the three and nine months ended September 30, 2023 and 2022, the Company made no</w:t>
      </w:r>
      <w:r>
        <w:rPr>
          <w:rFonts w:ascii="Times New Roman" w:hAnsi="Times New Roman"/>
          <w:color w:val="000000"/>
          <w:sz w:val="20"/>
        </w:rPr>
        <w:t xml:space="preserve"> </w:t>
      </w:r>
      <w:r>
        <w:rPr>
          <w:rFonts w:ascii="Times New Roman" w:hAnsi="Times New Roman"/>
          <w:b w:val="false"/>
          <w:color w:val="000000"/>
          <w:sz w:val="20"/>
        </w:rPr>
        <w:t>payments associated with royalties.</w:t>
      </w:r>
    </w:p>
    <w:p>
      <w:pPr>
        <w:pStyle w:val="TextBody"/>
        <w:bidi w:val="0"/>
        <w:spacing w:before="360" w:after="283"/>
        <w:jc w:val="left"/>
        <w:rPr>
          <w:rFonts w:ascii="Times New Roman" w:hAnsi="Times New Roman"/>
          <w:sz w:val="20"/>
        </w:rPr>
      </w:pPr>
      <w:r>
        <w:rPr>
          <w:rFonts w:ascii="Times New Roman" w:hAnsi="Times New Roman"/>
          <w:b/>
          <w:i/>
          <w:color w:val="000000"/>
          <w:sz w:val="20"/>
        </w:rPr>
        <w:t>Agreement with Katholieke Universiteit Leuven (KU Leuven)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w:t>
      </w:r>
      <w:r>
        <w:rPr>
          <w:rFonts w:ascii="Times New Roman" w:hAnsi="Times New Roman"/>
          <w:color w:val="000000"/>
          <w:sz w:val="20"/>
        </w:rPr>
        <w:t xml:space="preserve"> </w:t>
      </w:r>
      <w:r>
        <w:rPr>
          <w:rFonts w:ascii="Times New Roman" w:hAnsi="Times New Roman"/>
          <w:b w:val="false"/>
          <w:color w:val="000000"/>
          <w:sz w:val="20"/>
        </w:rPr>
        <w:t>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has expired. An amendment to the agreement was agreed in July 2023 to include a new collaboration plan.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w:t>
      </w:r>
      <w:r>
        <w:rPr>
          <w:rFonts w:ascii="Times New Roman" w:hAnsi="Times New Roman"/>
          <w:color w:val="000000"/>
          <w:sz w:val="20"/>
        </w:rPr>
        <w:t xml:space="preserve"> </w:t>
      </w:r>
      <w:r>
        <w:rPr>
          <w:rFonts w:ascii="Times New Roman" w:hAnsi="Times New Roman"/>
          <w:b w:val="false"/>
          <w:color w:val="000000"/>
          <w:sz w:val="20"/>
        </w:rPr>
        <w:t>million upon the achievement of certain commercial sales milestones. For each licensed product developed through KU Leuven and the Company’s collaborative effort, the Company is obligated to make payments to KU Leuven, in aggregate, totaling up to $32.0</w:t>
      </w:r>
      <w:r>
        <w:rPr>
          <w:rFonts w:ascii="Times New Roman" w:hAnsi="Times New Roman"/>
          <w:color w:val="000000"/>
          <w:sz w:val="20"/>
        </w:rPr>
        <w:t xml:space="preserve"> </w:t>
      </w:r>
      <w:r>
        <w:rPr>
          <w:rFonts w:ascii="Times New Roman" w:hAnsi="Times New Roman"/>
          <w:b w:val="false"/>
          <w:color w:val="000000"/>
          <w:sz w:val="20"/>
        </w:rPr>
        <w:t>million upon the achievement of certain development and regulatory milestones. The Company is also required to pay KU Leuven a low-to-mid-single digit royalty percentage, subject to certain adjustments, on net sales of applicable products, if any. The Company is also required to pay a revenue share to KU Leuven should the program be partnered with an external party.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w:t>
      </w:r>
      <w:r>
        <w:rPr>
          <w:rFonts w:ascii="Times New Roman" w:hAnsi="Times New Roman"/>
          <w:color w:val="000000"/>
          <w:sz w:val="20"/>
        </w:rPr>
        <w:t xml:space="preserve"> </w:t>
      </w:r>
      <w:r>
        <w:rPr>
          <w:rFonts w:ascii="Times New Roman" w:hAnsi="Times New Roman"/>
          <w:b w:val="false"/>
          <w:color w:val="000000"/>
          <w:sz w:val="20"/>
        </w:rPr>
        <w:t>years after the first commercial sale of a licensed product.</w:t>
      </w:r>
      <w:r>
        <w:rPr>
          <w:rFonts w:ascii="Times New Roman" w:hAnsi="Times New Roman"/>
          <w:color w:val="000000"/>
          <w:sz w:val="20"/>
        </w:rPr>
        <w:t xml:space="preserve"> </w:t>
      </w:r>
      <w:r>
        <w:rPr>
          <w:rFonts w:ascii="Times New Roman" w:hAnsi="Times New Roman"/>
          <w:b w:val="false"/>
          <w:color w:val="000000"/>
          <w:sz w:val="20"/>
        </w:rPr>
        <w:t>During the three and nine months ended September 30, 2023, the Company recognized and paid $2.0</w:t>
      </w:r>
      <w:r>
        <w:rPr>
          <w:rFonts w:ascii="Times New Roman" w:hAnsi="Times New Roman"/>
          <w:color w:val="000000"/>
          <w:sz w:val="20"/>
        </w:rPr>
        <w:t xml:space="preserve"> </w:t>
      </w:r>
      <w:r>
        <w:rPr>
          <w:rFonts w:ascii="Times New Roman" w:hAnsi="Times New Roman"/>
          <w:b w:val="false"/>
          <w:color w:val="000000"/>
          <w:sz w:val="20"/>
        </w:rPr>
        <w:t>million related to milestone payments due to the first dosing of the first patient in a Phase 1 clinical trial.</w:t>
      </w:r>
      <w:r>
        <w:rPr>
          <w:rFonts w:ascii="Times New Roman" w:hAnsi="Times New Roman"/>
          <w:color w:val="000000"/>
          <w:sz w:val="20"/>
        </w:rPr>
        <w:t xml:space="preserv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Agreements with Merck</w:t>
      </w:r>
    </w:p>
    <w:p>
      <w:pPr>
        <w:pStyle w:val="TextBody"/>
        <w:bidi w:val="0"/>
        <w:spacing w:before="120" w:after="283"/>
        <w:jc w:val="left"/>
        <w:rPr>
          <w:rFonts w:ascii="Times New Roman" w:hAnsi="Times New Roman"/>
          <w:sz w:val="20"/>
        </w:rPr>
      </w:pPr>
      <w:bookmarkStart w:id="9" w:name="highlight_result_7"/>
      <w:bookmarkEnd w:id="9"/>
      <w:r>
        <w:rPr>
          <w:rFonts w:ascii="Times New Roman" w:hAnsi="Times New Roman"/>
          <w:b w:val="false"/>
          <w:color w:val="000000"/>
          <w:sz w:val="20"/>
        </w:rPr>
        <w:t>In December 2020, the Company and Merck &amp; Co. entered into an exclusive License and Research Collaboration Agreement</w:t>
      </w:r>
      <w:r>
        <w:rPr>
          <w:rFonts w:ascii="Times New Roman" w:hAnsi="Times New Roman"/>
          <w:color w:val="000000"/>
          <w:sz w:val="20"/>
        </w:rPr>
        <w:t xml:space="preserve"> </w:t>
      </w:r>
      <w:r>
        <w:rPr>
          <w:rFonts w:ascii="Times New Roman" w:hAnsi="Times New Roman"/>
          <w:b w:val="false"/>
          <w:color w:val="000000"/>
          <w:sz w:val="20"/>
        </w:rPr>
        <w:t>under which Merck and the Company agreed to apply the Company’s oligonucleotide platform technology to discover, research, optimize and develop oligonucleotides directed against a NASH target and up to one additional liver-targeted cardiometabolic and/or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fibrosis target. Under the terms of the agreement, the Company received an upfront payment</w:t>
      </w:r>
      <w:r>
        <w:rPr>
          <w:rFonts w:ascii="Times New Roman" w:hAnsi="Times New Roman"/>
          <w:color w:val="000000"/>
          <w:sz w:val="20"/>
        </w:rPr>
        <w:t xml:space="preserve"> </w:t>
      </w:r>
      <w:r>
        <w:rPr>
          <w:rFonts w:ascii="Times New Roman" w:hAnsi="Times New Roman"/>
          <w:b w:val="false"/>
          <w:color w:val="000000"/>
          <w:sz w:val="20"/>
        </w:rPr>
        <w:t>of $12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from Merck. With respect to the collaboration target, the Company will be eligible for up to $458.0</w:t>
      </w:r>
      <w:r>
        <w:rPr>
          <w:rFonts w:ascii="Times New Roman" w:hAnsi="Times New Roman"/>
          <w:color w:val="000000"/>
          <w:sz w:val="20"/>
        </w:rPr>
        <w:t xml:space="preserve"> </w:t>
      </w:r>
      <w:r>
        <w:rPr>
          <w:rFonts w:ascii="Times New Roman" w:hAnsi="Times New Roman"/>
          <w:b w:val="false"/>
          <w:color w:val="000000"/>
          <w:sz w:val="20"/>
        </w:rPr>
        <w:t>million in development and commercialization milestones as well as tiered royalties on net sales.</w:t>
      </w:r>
      <w:r>
        <w:rPr>
          <w:rFonts w:ascii="Times New Roman" w:hAnsi="Times New Roman"/>
          <w:color w:val="000000"/>
          <w:sz w:val="20"/>
        </w:rPr>
        <w:t xml:space="preserve"> </w:t>
      </w:r>
      <w:r>
        <w:rPr>
          <w:rFonts w:ascii="Times New Roman" w:hAnsi="Times New Roman"/>
          <w:b w:val="false"/>
          <w:color w:val="000000"/>
          <w:sz w:val="20"/>
        </w:rPr>
        <w:t>These potential payments consist of (i) 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 The Company is primarily responsible for designing, preparing and evaluating the oligonucleotide molecules and delivering optimized lead molecules, and Merck is responsible for subsequent research, clinical development and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January 2022, the Company and Merck entered into an amendment to the exclusive License and Research Collaboration Agreement (the First Amendment, together with the Original Agreement, the Expanded Arrangement). As a result of the First Amendment, the collaboration with Merck was expanded to include the Company's grant of rights to Merck of an early-stage program with respect to a second undisclosed NASH target, on which the Company had previously been working independently. In addition, under this Expanded Arrangement, Merck has the ability to add an additional third target of interest in the cardiometabolic/fibrosis space to the collaboration. This right to add an additional third target expired in January 2023. Under the Expanded Arrangement, the Company received an upfront payment of $15</w:t>
      </w:r>
      <w:r>
        <w:rPr>
          <w:rFonts w:ascii="Times New Roman" w:hAnsi="Times New Roman"/>
          <w:color w:val="000000"/>
          <w:sz w:val="20"/>
        </w:rPr>
        <w:t xml:space="preserve"> </w:t>
      </w:r>
      <w:r>
        <w:rPr>
          <w:rFonts w:ascii="Times New Roman" w:hAnsi="Times New Roman"/>
          <w:b w:val="false"/>
          <w:color w:val="000000"/>
          <w:sz w:val="20"/>
        </w:rPr>
        <w:t>million from Merck for the Company's grant of rights to the program directed at a second undisclosed NASH target.</w:t>
      </w:r>
      <w:r>
        <w:rPr>
          <w:rFonts w:ascii="Times New Roman" w:hAnsi="Times New Roman"/>
          <w:color w:val="000000"/>
          <w:sz w:val="20"/>
        </w:rPr>
        <w:t xml:space="preserve"> </w:t>
      </w:r>
      <w:r>
        <w:rPr>
          <w:rFonts w:ascii="Times New Roman" w:hAnsi="Times New Roman"/>
          <w:b w:val="false"/>
          <w:color w:val="000000"/>
          <w:sz w:val="20"/>
        </w:rPr>
        <w:t>With respect to the second target in the collaboration, the Company is eligible to receive up to approximately $460.0</w:t>
      </w:r>
      <w:r>
        <w:rPr>
          <w:rFonts w:ascii="Times New Roman" w:hAnsi="Times New Roman"/>
          <w:color w:val="000000"/>
          <w:sz w:val="20"/>
        </w:rPr>
        <w:t xml:space="preserve"> </w:t>
      </w:r>
      <w:r>
        <w:rPr>
          <w:rFonts w:ascii="Times New Roman" w:hAnsi="Times New Roman"/>
          <w:b w:val="false"/>
          <w:color w:val="000000"/>
          <w:sz w:val="20"/>
        </w:rPr>
        <w:t>million in development and commercialization milestones as well as tiered royalties on net sales. These potential payments consist of (i) 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February 2023, Merck provided to the Company written notice of termination for one of the targets in the collaboration.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determined that the Original Agreement and First Amendment fall within the scope of ASC 808, Collaborative Arrangements (ASC 808), due to Merck and the Company being joint active participants, as well as both parties having significant risks and rewards. The Company analogized to ASC 606, Revenue from Contracts with Customers (ASC 606), for the accounting of payments including upfront payments and other milestones. Management of the Company determined that there was one performance obligation for each of the agreements given the deliverables are not distinct. The Company evaluated the performance obligation within each agreement and determined the performance obligations are satisfied over time as Merck jointly owns any collaboration intellectual property that is developed during the research term. Given the nature of the arrangements, the Company believes that the satisfaction of its performance obligations is best measured by the progress of its efforts. As such, the Company has used an input method based on costs incurred to recognize revenue associated with the upfront payments. This assessment is performed separately for each of the Original Agreement and the First Amendment,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three and nine months ended September 30, 2023, the Company recognized $2.2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$7.3</w:t>
      </w:r>
      <w:r>
        <w:rPr>
          <w:rFonts w:ascii="Times New Roman" w:hAnsi="Times New Roman"/>
          <w:color w:val="000000"/>
          <w:sz w:val="20"/>
        </w:rPr>
        <w:t xml:space="preserve"> </w:t>
      </w:r>
      <w:r>
        <w:rPr>
          <w:rFonts w:ascii="Times New Roman" w:hAnsi="Times New Roman"/>
          <w:b w:val="false"/>
          <w:color w:val="000000"/>
          <w:sz w:val="20"/>
        </w:rPr>
        <w:t>million, respectively, in revenue from collaborative arrangements related to upfront payments. During the three and nine months ended September 30, 2022, the Company recognized $4.1</w:t>
      </w:r>
      <w:r>
        <w:rPr>
          <w:rFonts w:ascii="Times New Roman" w:hAnsi="Times New Roman"/>
          <w:color w:val="000000"/>
          <w:sz w:val="20"/>
        </w:rPr>
        <w:t xml:space="preserve"> </w:t>
      </w:r>
      <w:r>
        <w:rPr>
          <w:rFonts w:ascii="Times New Roman" w:hAnsi="Times New Roman"/>
          <w:b w:val="false"/>
          <w:color w:val="000000"/>
          <w:sz w:val="20"/>
        </w:rPr>
        <w:t>million and $10.4</w:t>
      </w:r>
      <w:r>
        <w:rPr>
          <w:rFonts w:ascii="Times New Roman" w:hAnsi="Times New Roman"/>
          <w:color w:val="000000"/>
          <w:sz w:val="20"/>
        </w:rPr>
        <w:t xml:space="preserve"> </w:t>
      </w:r>
      <w:r>
        <w:rPr>
          <w:rFonts w:ascii="Times New Roman" w:hAnsi="Times New Roman"/>
          <w:b w:val="false"/>
          <w:color w:val="000000"/>
          <w:sz w:val="20"/>
        </w:rPr>
        <w:t>million, respectively, in revenue from collaborative arrangements related to upfront payments. During the three and nine months ended September 30, 2023</w:t>
      </w:r>
      <w:r>
        <w:rPr>
          <w:rFonts w:ascii="Times New Roman" w:hAnsi="Times New Roman"/>
          <w:color w:val="000000"/>
          <w:sz w:val="20"/>
        </w:rPr>
        <w:t xml:space="preserve"> </w:t>
      </w:r>
      <w:r>
        <w:rPr>
          <w:rFonts w:ascii="Times New Roman" w:hAnsi="Times New Roman"/>
          <w:b w:val="false"/>
          <w:color w:val="000000"/>
          <w:sz w:val="20"/>
        </w:rPr>
        <w:t>and 2022, the Company recognized no</w:t>
      </w:r>
      <w:r>
        <w:rPr>
          <w:rFonts w:ascii="Times New Roman" w:hAnsi="Times New Roman"/>
          <w:color w:val="000000"/>
          <w:sz w:val="20"/>
        </w:rPr>
        <w:t xml:space="preserve"> </w:t>
      </w:r>
      <w:r>
        <w:rPr>
          <w:rFonts w:ascii="Times New Roman" w:hAnsi="Times New Roman"/>
          <w:b w:val="false"/>
          <w:color w:val="000000"/>
          <w:sz w:val="20"/>
        </w:rPr>
        <w:t>revenue from collaborative arrangements related to milestone payments. The unrecognized portion of the upfront payments received during the three and nine months ended September 30, 2023 and 2022 is recorded on the consolidated balance sheets as “Deferred revenue from collaborations”.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deferred revenue balances arose as a result of the Company recognizing the following revenue from collaborative arrangements during the periods below (in thousands):</w:t>
      </w:r>
    </w:p>
    <w:tbl>
      <w:tblPr>
        <w:tblW w:w="7169" w:type="dxa"/>
        <w:jc w:val="left"/>
        <w:tblInd w:w="0" w:type="dxa"/>
        <w:tblLayout w:type="fixed"/>
        <w:tblCellMar>
          <w:top w:w="28" w:type="dxa"/>
          <w:left w:w="28" w:type="dxa"/>
          <w:bottom w:w="28" w:type="dxa"/>
          <w:right w:w="28" w:type="dxa"/>
        </w:tblCellMar>
      </w:tblPr>
      <w:tblGrid>
        <w:gridCol w:w="4711"/>
        <w:gridCol w:w="146"/>
        <w:gridCol w:w="211"/>
        <w:gridCol w:w="631"/>
        <w:gridCol w:w="166"/>
        <w:gridCol w:w="146"/>
        <w:gridCol w:w="211"/>
        <w:gridCol w:w="736"/>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 from collaborations as of January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7,641</w:t>
            </w:r>
          </w:p>
        </w:tc>
        <w:tc>
          <w:tcPr>
            <w:tcW w:w="211" w:type="dxa"/>
            <w:tcBorders/>
            <w:shd w:fill="FFFFFF" w:val="cle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Consideration received in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15,010</w:t>
            </w:r>
          </w:p>
        </w:tc>
        <w:tc>
          <w:tcPr>
            <w:tcW w:w="211" w:type="dxa"/>
            <w:tcBorders/>
            <w:shd w:fill="CFF0FC"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 from collaborations recognized in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 from collaborations as of September 30</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Revenue from contracts with customers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Agreement with ADCT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determined that the ADC Therapeutics (ADCT) agreement falls within the scope of ASC 606, Revenue from Contracts with Customers (ASC 606). The agreement did not fall under the ASC 808 guidance due to ADCT and the Company not being joint active participants, nor both parties having significant risks and rewards. Management of the Company determined that there was one performance obligation for the agreements given the deliverables are not distinct. The Company evaluated the performance obligation and determined the performance obligations are satisfied over time. Given the nature of the arrangement, the Company believes that the satisfaction of its performance obligations is best measured by the progress of its efforts.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Agreement with Amoytop</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2023, the Company and Amoytop Biotech Co., Ltd (Amoytop) entered into an exclusive Development Agreement and Research Collaboration Agreement with a focus on nucleic acid technology for HBV treatment, with the Company granting to Amoytop an exclusive option to enter into an exclusive license to develop and commercialize such compounds. Under the terms of the agreement, the Company received an upfront payment</w:t>
      </w:r>
      <w:r>
        <w:rPr>
          <w:rFonts w:ascii="Times New Roman" w:hAnsi="Times New Roman"/>
          <w:color w:val="000000"/>
          <w:sz w:val="20"/>
        </w:rPr>
        <w:t xml:space="preserve"> </w:t>
      </w:r>
      <w:r>
        <w:rPr>
          <w:rFonts w:ascii="Times New Roman" w:hAnsi="Times New Roman"/>
          <w:b w:val="false"/>
          <w:color w:val="000000"/>
          <w:sz w:val="20"/>
        </w:rPr>
        <w:t>of $7.0</w:t>
      </w:r>
      <w:r>
        <w:rPr>
          <w:rFonts w:ascii="Times New Roman" w:hAnsi="Times New Roman"/>
          <w:color w:val="000000"/>
          <w:sz w:val="20"/>
        </w:rPr>
        <w:t xml:space="preserve"> </w:t>
      </w:r>
      <w:r>
        <w:rPr>
          <w:rFonts w:ascii="Times New Roman" w:hAnsi="Times New Roman"/>
          <w:b w:val="false"/>
          <w:color w:val="000000"/>
          <w:sz w:val="20"/>
        </w:rPr>
        <w:t>million, less withholding taxes of $1.1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from Amoytop. With respect to the agreement, the Company will be eligible for up to $109.0</w:t>
      </w:r>
      <w:r>
        <w:rPr>
          <w:rFonts w:ascii="Times New Roman" w:hAnsi="Times New Roman"/>
          <w:color w:val="000000"/>
          <w:sz w:val="20"/>
        </w:rPr>
        <w:t xml:space="preserve"> </w:t>
      </w:r>
      <w:r>
        <w:rPr>
          <w:rFonts w:ascii="Times New Roman" w:hAnsi="Times New Roman"/>
          <w:b w:val="false"/>
          <w:color w:val="000000"/>
          <w:sz w:val="20"/>
        </w:rPr>
        <w:t>million in development and commercialization milestones as well as tiered royalties on net sales.</w:t>
      </w:r>
      <w:r>
        <w:rPr>
          <w:rFonts w:ascii="Times New Roman" w:hAnsi="Times New Roman"/>
          <w:color w:val="000000"/>
          <w:sz w:val="20"/>
        </w:rPr>
        <w:t xml:space="preserve"> </w:t>
      </w:r>
      <w:r>
        <w:rPr>
          <w:rFonts w:ascii="Times New Roman" w:hAnsi="Times New Roman"/>
          <w:b w:val="false"/>
          <w:color w:val="000000"/>
          <w:sz w:val="20"/>
        </w:rPr>
        <w:t>These potential payments consist of (i) potential development milestones (such as for the commencement of a Good Laboratory Practice toxicology study for a collaboration compound, approval of IND by regulatory authority, initiation of Phase 2 and 3 clinical trials, and regulatory approval of a licensed product), and (ii) sales-based milestones.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determined that the Amoytop agreement falls within the scope of ASC 606, Revenue from Contracts with Customers (ASC 606). The agreement did not fall under the ASC 808 guidance due to Amoytop and the Company not being joint active participants, and both parties not having significant risks and rewards. Management of the Company determined that there were three performance obligations for the agreement given the deliverables are distinct. The Company evaluated the standalone selling price for each obligation based on available data for similar arrangements. The Company evaluated the performance obligations and determined the provision of R&amp;D services for the collaboration compound performance obligation will be satisfied over time, the research license including data and know-how has been satisfied, and the provision of materials will be satisfied upon delivery. Given the nature of the arrangement, the Company believes that the satisfaction of its performance obligations is best measured by the progress of its efforts as it relates to the performance of the R&amp;D services.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three and nine months ended September 30, 2023, the Company recognized</w:t>
      </w:r>
      <w:r>
        <w:rPr>
          <w:rFonts w:ascii="Times New Roman" w:hAnsi="Times New Roman"/>
          <w:color w:val="000000"/>
          <w:sz w:val="20"/>
        </w:rPr>
        <w:t xml:space="preserve"> </w:t>
      </w:r>
      <w:r>
        <w:rPr>
          <w:rFonts w:ascii="Times New Roman" w:hAnsi="Times New Roman"/>
          <w:b w:val="false"/>
          <w:color w:val="000000"/>
          <w:sz w:val="20"/>
        </w:rPr>
        <w:t>$1.1</w:t>
      </w:r>
      <w:r>
        <w:rPr>
          <w:rFonts w:ascii="Times New Roman" w:hAnsi="Times New Roman"/>
          <w:color w:val="000000"/>
          <w:sz w:val="20"/>
        </w:rPr>
        <w:t xml:space="preserve"> </w:t>
      </w:r>
      <w:r>
        <w:rPr>
          <w:rFonts w:ascii="Times New Roman" w:hAnsi="Times New Roman"/>
          <w:b w:val="false"/>
          <w:color w:val="000000"/>
          <w:sz w:val="20"/>
        </w:rPr>
        <w:t>million and $5.5</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r>
        <w:rPr>
          <w:rFonts w:ascii="Times New Roman" w:hAnsi="Times New Roman"/>
          <w:b w:val="false"/>
          <w:color w:val="000000"/>
          <w:sz w:val="20"/>
        </w:rPr>
        <w:t>in revenue from customers related to upfront payments. There was no</w:t>
      </w:r>
      <w:r>
        <w:rPr>
          <w:rFonts w:ascii="Times New Roman" w:hAnsi="Times New Roman"/>
          <w:color w:val="000000"/>
          <w:sz w:val="20"/>
        </w:rPr>
        <w:t xml:space="preserve"> </w:t>
      </w:r>
      <w:r>
        <w:rPr>
          <w:rFonts w:ascii="Times New Roman" w:hAnsi="Times New Roman"/>
          <w:b w:val="false"/>
          <w:color w:val="000000"/>
          <w:sz w:val="20"/>
        </w:rPr>
        <w:t>revenue recognized from customers in the three and nine months ended September 30, 2022. During the three and nine months ended September 30, 2023</w:t>
      </w:r>
      <w:r>
        <w:rPr>
          <w:rFonts w:ascii="Times New Roman" w:hAnsi="Times New Roman"/>
          <w:color w:val="000000"/>
          <w:sz w:val="20"/>
        </w:rPr>
        <w:t xml:space="preserve"> </w:t>
      </w:r>
      <w:r>
        <w:rPr>
          <w:rFonts w:ascii="Times New Roman" w:hAnsi="Times New Roman"/>
          <w:b w:val="false"/>
          <w:color w:val="000000"/>
          <w:sz w:val="20"/>
        </w:rPr>
        <w:t>and 2022, the Company recognized no</w:t>
      </w:r>
      <w:r>
        <w:rPr>
          <w:rFonts w:ascii="Times New Roman" w:hAnsi="Times New Roman"/>
          <w:color w:val="000000"/>
          <w:sz w:val="20"/>
        </w:rPr>
        <w:t xml:space="preserve"> </w:t>
      </w:r>
      <w:r>
        <w:rPr>
          <w:rFonts w:ascii="Times New Roman" w:hAnsi="Times New Roman"/>
          <w:b w:val="false"/>
          <w:color w:val="000000"/>
          <w:sz w:val="20"/>
        </w:rPr>
        <w:t>revenue from customers related to milestone payments. The unrecognized portion of the upfront payments received during the three and nine months ended September 30, 2023 and 2022 is recorded on the consolidated balance sheets as “Deferred revenue from customers”.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Changes in deferred revenue balances arose as a result of the Company recognizing the following revenue from customers during the periods below (in thousands):</w:t>
      </w:r>
      <w:r>
        <w:rPr>
          <w:rFonts w:ascii="Times New Roman" w:hAnsi="Times New Roman"/>
          <w:color w:val="000000"/>
          <w:sz w:val="20"/>
        </w:rPr>
        <w:t xml:space="preserve"> </w:t>
      </w:r>
    </w:p>
    <w:p>
      <w:pPr>
        <w:pStyle w:val="TextBody"/>
        <w:bidi w:val="0"/>
        <w:spacing w:before="120" w:after="283"/>
        <w:jc w:val="left"/>
        <w:rPr/>
      </w:pPr>
      <w:r>
        <w:rPr/>
        <w:t> </w:t>
      </w:r>
    </w:p>
    <w:tbl>
      <w:tblPr>
        <w:tblW w:w="6399" w:type="dxa"/>
        <w:jc w:val="left"/>
        <w:tblInd w:w="0" w:type="dxa"/>
        <w:tblLayout w:type="fixed"/>
        <w:tblCellMar>
          <w:top w:w="28" w:type="dxa"/>
          <w:left w:w="28" w:type="dxa"/>
          <w:bottom w:w="28" w:type="dxa"/>
          <w:right w:w="28" w:type="dxa"/>
        </w:tblCellMar>
      </w:tblPr>
      <w:tblGrid>
        <w:gridCol w:w="4351"/>
        <w:gridCol w:w="146"/>
        <w:gridCol w:w="211"/>
        <w:gridCol w:w="631"/>
        <w:gridCol w:w="166"/>
        <w:gridCol w:w="146"/>
        <w:gridCol w:w="211"/>
        <w:gridCol w:w="346"/>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 from customers as of January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Consideration received in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 from customers recognized in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 from customers as of September 30</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Contingent liabilities requiring accrual were appropriately accrued as of September 30, 2023 and December 31, 2022. The Company enters into contracts in the normal course of business that includes arrangements with clinical research organizations, vendors for preclinical research and vendors for manufacturing. These agreements generally allow for cancellation with notice. As of September 30, 2023, the Company had no material non-cancellable purchase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March 26, 2022, the Company received notice of a complaint (the Complaint) filed by Janssen Biopharma, LLC (Janssen), which generally concerned an alleged breach by certain of our employees of their obligations to Janssen as prior employees of Janssen by purporting to assign to Aligos various inventions allegedly owned by Janssen. The Complaint was filed on March 9, 2022 in the Superior Court of the State of California, County of San Mateo, against the Company, Lawrence M. Blatt, Chairman, Chief Executive Officer and Director of the Company, and Leonid Beigelman, President and Director of the Company. The Complaint alleges breach of contract by Lawrence M. Blatt and Leonid Beigelman and tortious interference with contract by the Company and seeks declaratory judgment of ownership of certain intellectual property by the Company, among other claims. The Complaint states that Janssen is seeking injunctive relief, assignment of certain intellectual property from us to Janssen and monetary damages.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4, 2022, the Company filed counterclaims against Janssen alleging Janssen has engaged in unfair competition and promissory fraud, and on August 22, 2022, the Company filed its response to the Complaint.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16, 2023, the Company entered into a settlement agreement with Janssen that provides for the resolution of the action brought by Janssen alleging breach of contract by Lawrence M. Blatt, and Leonid Beigelman, and tortious interference with contract by the Company and seeking declaratory judgment of ownership of certain intellectual property by the Company, among other claims. Pursuant to the settlement agreement, Janssen agreed to dismiss the action and released the Company, Dr. Blatt and Dr. Beigelman from the claims alleged. In addition, pursuant to the Settlement Agreement, the Company agreed to dismiss the counterclaims against Janssen alleging unfair competition and promissory fraud and released Janssen from the alleged counterclaims.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recorded income tax expense of $0.0</w:t>
      </w:r>
      <w:r>
        <w:rPr>
          <w:rFonts w:ascii="Times New Roman" w:hAnsi="Times New Roman"/>
          <w:color w:val="000000"/>
          <w:sz w:val="20"/>
        </w:rPr>
        <w:t xml:space="preserve"> </w:t>
      </w:r>
      <w:r>
        <w:rPr>
          <w:rFonts w:ascii="Times New Roman" w:hAnsi="Times New Roman"/>
          <w:b w:val="false"/>
          <w:color w:val="000000"/>
          <w:sz w:val="20"/>
        </w:rPr>
        <w:t>million and $0.8</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primarily related to the agreement with Amoytop as discussed in footnote 9.</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a history of losses and projects losses for the full year 2023. The Company continues to maintain a full valuation allowance on its net deferred tax assets.</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summarizes the computation of basic and diluted net loss per share of the Company (in thousands, except share and per share data):</w:t>
      </w:r>
      <w:r>
        <w:rPr>
          <w:rFonts w:ascii="Times New Roman" w:hAnsi="Times New Roman"/>
          <w:color w:val="000000"/>
          <w:sz w:val="20"/>
        </w:rPr>
        <w:t xml:space="preserve"> </w:t>
      </w:r>
    </w:p>
    <w:p>
      <w:pPr>
        <w:pStyle w:val="TextBody"/>
        <w:bidi w:val="0"/>
        <w:jc w:val="left"/>
        <w:rPr/>
      </w:pPr>
      <w:r>
        <w:rPr/>
        <w:t> </w:t>
      </w:r>
    </w:p>
    <w:tbl>
      <w:tblPr>
        <w:tblW w:w="9454" w:type="dxa"/>
        <w:jc w:val="left"/>
        <w:tblInd w:w="0" w:type="dxa"/>
        <w:tblLayout w:type="fixed"/>
        <w:tblCellMar>
          <w:top w:w="28" w:type="dxa"/>
          <w:left w:w="28" w:type="dxa"/>
          <w:bottom w:w="28" w:type="dxa"/>
          <w:right w:w="28" w:type="dxa"/>
        </w:tblCellMar>
      </w:tblPr>
      <w:tblGrid>
        <w:gridCol w:w="3421"/>
        <w:gridCol w:w="146"/>
        <w:gridCol w:w="196"/>
        <w:gridCol w:w="916"/>
        <w:gridCol w:w="166"/>
        <w:gridCol w:w="146"/>
        <w:gridCol w:w="196"/>
        <w:gridCol w:w="916"/>
        <w:gridCol w:w="166"/>
        <w:gridCol w:w="146"/>
        <w:gridCol w:w="146"/>
        <w:gridCol w:w="146"/>
        <w:gridCol w:w="196"/>
        <w:gridCol w:w="916"/>
        <w:gridCol w:w="166"/>
        <w:gridCol w:w="146"/>
        <w:gridCol w:w="196"/>
        <w:gridCol w:w="916"/>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(18,041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(18,621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(59,787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(74,160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42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 xml:space="preserve">Weighted average common stock outstanding, </w:t>
              <w:br/>
              <w:t>    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43,496,975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42,761,928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43,209,656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42,647,732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 per share -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xml:space="preserve">The Company’s potentially dilutive securities, which include options to purchase common stock and unvested restricted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 Company excluded the following potential shares of Common Stock, presented based on amounts outstanding at each period end, from the computation of diluted net loss per share for the periods indicated because including them would have had an anti-dilutive effect: </w:t>
      </w:r>
    </w:p>
    <w:p>
      <w:pPr>
        <w:pStyle w:val="TextBody"/>
        <w:bidi w:val="0"/>
        <w:jc w:val="left"/>
        <w:rPr/>
      </w:pPr>
      <w:r>
        <w:rPr/>
        <w:t> </w:t>
      </w:r>
    </w:p>
    <w:tbl>
      <w:tblPr>
        <w:tblW w:w="8719" w:type="dxa"/>
        <w:jc w:val="left"/>
        <w:tblInd w:w="0" w:type="dxa"/>
        <w:tblLayout w:type="fixed"/>
        <w:tblCellMar>
          <w:top w:w="28" w:type="dxa"/>
          <w:left w:w="28" w:type="dxa"/>
          <w:bottom w:w="28" w:type="dxa"/>
          <w:right w:w="28" w:type="dxa"/>
        </w:tblCellMar>
      </w:tblPr>
      <w:tblGrid>
        <w:gridCol w:w="2626"/>
        <w:gridCol w:w="146"/>
        <w:gridCol w:w="146"/>
        <w:gridCol w:w="916"/>
        <w:gridCol w:w="146"/>
        <w:gridCol w:w="146"/>
        <w:gridCol w:w="146"/>
        <w:gridCol w:w="916"/>
        <w:gridCol w:w="146"/>
        <w:gridCol w:w="146"/>
        <w:gridCol w:w="146"/>
        <w:gridCol w:w="146"/>
        <w:gridCol w:w="146"/>
        <w:gridCol w:w="916"/>
        <w:gridCol w:w="146"/>
        <w:gridCol w:w="146"/>
        <w:gridCol w:w="146"/>
        <w:gridCol w:w="916"/>
        <w:gridCol w:w="53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262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31" w:type="dxa"/>
            <w:tcBorders/>
            <w:shd w:fill="FFFFFF" w:val="cle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11,131,942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10,082,266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11,131,942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10,082,266</w:t>
            </w:r>
          </w:p>
        </w:tc>
        <w:tc>
          <w:tcPr>
            <w:tcW w:w="53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Unvested restricted stock</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11,266,062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10,082,266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11,266,062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10,082,266</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preparing the interim financial statements for the three and nine months ended September 30, 2023, the Company evaluated subsequent events for recognition and measurement purposes during which time the following events has occurred that require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PIPE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25, 2023, the Company closed its private investment in public equity (PIPE) offering that resulted in gross proceeds of $92,149,996.41. In the PIPE, the Company issued 31,429,266</w:t>
      </w:r>
      <w:r>
        <w:rPr>
          <w:rFonts w:ascii="Times New Roman" w:hAnsi="Times New Roman"/>
          <w:color w:val="000000"/>
          <w:sz w:val="20"/>
        </w:rPr>
        <w:t xml:space="preserve"> </w:t>
      </w:r>
      <w:r>
        <w:rPr>
          <w:rFonts w:ascii="Times New Roman" w:hAnsi="Times New Roman"/>
          <w:b w:val="false"/>
          <w:color w:val="000000"/>
          <w:sz w:val="20"/>
        </w:rPr>
        <w:t>shares of its common stock, pre-funded warrants (Pre-Funded Warrants) to purchase up to 81,054,686</w:t>
      </w:r>
      <w:r>
        <w:rPr>
          <w:rFonts w:ascii="Times New Roman" w:hAnsi="Times New Roman"/>
          <w:color w:val="000000"/>
          <w:sz w:val="20"/>
        </w:rPr>
        <w:t xml:space="preserve"> </w:t>
      </w:r>
      <w:r>
        <w:rPr>
          <w:rFonts w:ascii="Times New Roman" w:hAnsi="Times New Roman"/>
          <w:b w:val="false"/>
          <w:color w:val="000000"/>
          <w:sz w:val="20"/>
        </w:rPr>
        <w:t>shares of its common stock and accompanying common warrants (Common Warrants) to purchase up to 56,241,973</w:t>
      </w:r>
      <w:r>
        <w:rPr>
          <w:rFonts w:ascii="Times New Roman" w:hAnsi="Times New Roman"/>
          <w:color w:val="000000"/>
          <w:sz w:val="20"/>
        </w:rPr>
        <w:t xml:space="preserve"> </w:t>
      </w:r>
      <w:r>
        <w:rPr>
          <w:rFonts w:ascii="Times New Roman" w:hAnsi="Times New Roman"/>
          <w:b w:val="false"/>
          <w:color w:val="000000"/>
          <w:sz w:val="20"/>
        </w:rPr>
        <w:t>shares of its common stock. The combined price per share of common stock and accompanying Common Warrant is $0.8193</w:t>
      </w:r>
      <w:r>
        <w:rPr>
          <w:rFonts w:ascii="Times New Roman" w:hAnsi="Times New Roman"/>
          <w:color w:val="000000"/>
          <w:sz w:val="20"/>
        </w:rPr>
        <w:t xml:space="preserve"> </w:t>
      </w:r>
      <w:r>
        <w:rPr>
          <w:rFonts w:ascii="Times New Roman" w:hAnsi="Times New Roman"/>
          <w:b w:val="false"/>
          <w:color w:val="000000"/>
          <w:sz w:val="20"/>
        </w:rPr>
        <w:t>and the combined price per Pre-Funded Warrant and Common Warrant is $0.8192.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1D2228"/>
          <w:sz w:val="20"/>
        </w:rPr>
        <w:t>Each Pre-Funded Warrant has an exercise price of $0.0001</w:t>
      </w:r>
      <w:r>
        <w:rPr>
          <w:rFonts w:ascii="Times New Roman" w:hAnsi="Times New Roman"/>
          <w:color w:val="1D2228"/>
          <w:sz w:val="20"/>
        </w:rPr>
        <w:t xml:space="preserve"> </w:t>
      </w:r>
      <w:r>
        <w:rPr>
          <w:rFonts w:ascii="Times New Roman" w:hAnsi="Times New Roman"/>
          <w:b w:val="false"/>
          <w:color w:val="1D2228"/>
          <w:sz w:val="20"/>
        </w:rPr>
        <w:t>per share of common stock, is immediately exercisable and does not expire. Each Common Warrant has an exercise price of $0.7568, is immediately exercisable and will expire in October 2030.</w:t>
      </w:r>
      <w:r>
        <w:rPr>
          <w:rFonts w:ascii="Times New Roman" w:hAnsi="Times New Roman"/>
          <w:color w:val="1D2228"/>
          <w:sz w:val="20"/>
        </w:rPr>
        <w:t xml:space="preserve"> </w:t>
      </w:r>
    </w:p>
    <w:p>
      <w:pPr>
        <w:pStyle w:val="TextBody"/>
        <w:bidi w:val="0"/>
        <w:spacing w:before="12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m2"/>
      <w:bookmarkEnd w:id="10"/>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 clinical-stage biopharmaceutical company focused on developing novel therapeutics to address unmet medical needs in liver diseases and viral infections, including in the areas of non-alcoholic steatohepatitis (NASH), coronavirus (e.g., SARS-CoV-2 and related infections) and chronic hepatitis B (CHB). We utilize our proprietary small molecule and oligonucleotide platforms to develop pharmacologically optimized drug candidates for use in combination regimens designed to achieve improved treatment outcomes.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primary area of focus is NASH, a complex, chronic liver disease where combination regimens may prove beneficial. Our most advanced drug candidate for NASH is ALG</w:t>
        <w:noBreakHyphen/>
        <w:t>055009, a small molecule thyroid hormone receptor (THR</w:t>
        <w:noBreakHyphen/>
        <w:t>ß) agonist. This drug candidate recently completed evaluation in a Phase 1 study in healthy volunteers (HVs) (oral single ascending doses (SAD)) and subjects with hyperlipidemia (14 oral daily doses). Preliminary data after single doses up to 4 mg and multiple doses up to 1 mg showed that ALG</w:t>
        <w:noBreakHyphen/>
        <w:t>055009 was well tolerated, had dose proportional pharmacokinetics (PK) with low variability, and demonstrated expected thyromimetic effects (i.e., generally dose proportional increases in sex hormone binding globulin and decreases in various atherogenic lipids and thyroid hormones). In this same study, we have also conducted a relative bioavailability study in HVs where we have shown the Phase 2 gel cap formulation delivers similar exposures (~86%) compared to the Phase 1 liquid formulation, low variability and no evidence of a meaningful food effect. We are presently taking the necessary steps to advance ALG</w:t>
        <w:noBreakHyphen/>
        <w:t>055009 into a Phase 2 proof of concept study, the design of which is currently being discussed with the FDA (Type D meeting) and also with investigators, including the study’s Principal Investigator, Dr. Stephen Harrison. The study’s preliminary design is as a 12-week randomized, placebo-controlled trial evaluating 3-4 doses of ALG-055009 vs. placebo in approximately 100 subjects with NASH. In addition to collecting safety and PK data, the study will also assess multiple efficacy biomarkers, which include MRI-PDFF and other non-invasive tests previously shown to be impacted by treatment with THR</w:t>
        <w:noBreakHyphen/>
        <w:t>ß agonists. We anticipate submitting to the recently opened IND the final Phase 2 protocol in Q4 of 2023, followed by dosing in subjects beginning in Q1 2024, and anticipate sharing topline safety and efficacy (12 week MRI-PDFF) data in Q4 2024. We believe ALG</w:t>
        <w:noBreakHyphen/>
        <w:t>055009 has the potential to become a best</w:t>
        <w:noBreakHyphen/>
        <w:t>in</w:t>
        <w:noBreakHyphen/>
        <w:t>class THR</w:t>
        <w:noBreakHyphen/>
        <w:t>ß agonist and could play an integral role in future NASH combination regimens based on its favorable PK profile, which could result in uniform exposures and lead to consistent efficacy and safety in a NASH population.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to our small molecule THR</w:t>
        <w:noBreakHyphen/>
        <w:t>ß program, we are also progressing oligonucleotide projects for NASH, including in collaboration with Merck. These programs are currently progressing through preclinical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second area of focus is to develop drug candidates with pan-coronavirus antiviral activity, including against Severe Acute Respiratory Syndrome coronavirus 2 (SARS-CoV-2), the virus responsible for COVID-19. In this area of focus, we are using a small molecule approach, where we are exploring coronavirus 3CL protease inhibitors (PIs) in collaboration with Katholieke Universiteit Leuven (KU Leuven), the Center for Innovation and Stimulation of Drug Discovery (CISTIM) and the Centre for Drug Design and Discovery (CD3). Our lead candidate, ALG</w:t>
        <w:noBreakHyphen/>
        <w:t>097558, is at least 6-fold more potent in cell-based assays against a panel of SARS-CoV-2 variants (including Omicron) than nirmatrelvir and other PIs in clinical development, demonstrates broad pan-coronavirus activity, and, based on emerging clinical data, is not projected to require ritonavir boosting. Evaluation of ALG</w:t>
        <w:noBreakHyphen/>
        <w:t>097558 in the hamster SARS-CoV-2 infection model has shown that, when dosed prior to infection or up to 24 hours post-infection, the compound caused a significant reduction in the levels of infectious virus in the lungs. ALG</w:t>
        <w:noBreakHyphen/>
        <w:t>097558 also appeared to better maintain its antiviral activity against certain resistant mutants compared to other PIs in development based on publicly available data. The safety and PK properties of ALG-097558 are currently being assessed in an ongoing Phase 1 study in HVs. To date single doses up to 800 mg have been well tolerated with PK similar to projections. We anticipate initiating multiple dose cohorts beginning in Q4 2023 and expect to share topline data from this study in H1 2024.</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Preclinical activities for the ALG-097558 program were partially funded through a grant from the National Institutes of Health (NIH) and the National Institute of Allergy and Infectious Diseases (NIAID) Antiviral Drug Discovery (AViDD) Centers for Pathogens of Pandemic Concern program through the Metropolitan AntiViral Drug Accelerator (MAVDA) consortium. The ALG-097558 program is now also being funded with federal funds from the NIAID, NIH, Department of Health and Human Services, under Contract No. 75N93023C00052, which will partially support the further clinical development of ALG-097558. We expect to receive approximately $11 million in funds across these two NIH awards and contracts.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third area of focus seeks to enhance the rate of functional cure for CHB, which often results in life-threatening conditions such as cirrhosis, end-stage liver disease and, the most common form of liver cancer, hepatocellular carcinoma (HCC). The most widely used treatment for CHB, nucleos(t)ide analogs (NAs), suppress viral replication, but only achieve low rates of functional cure and require life-long administration. To address this, we are developing a portfolio of differentiated drug candidates for CHB,</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including a small molecule Capsid Assembly Modulator that results in the production of empty viral capsids (CAM-E) and small molecule inhibitors of the programmed death 1 (ligand) PD</w:t>
        <w:noBreakHyphen/>
        <w:t>1/PD-L1 interaction.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initial Phase 1a study in HVs for our CAM-E, ALG</w:t>
        <w:noBreakHyphen/>
        <w:t>000184, has been completed as has a Phase 1b dose ranging study evaluating the safety, PK and antiviral activity of 10-300 mg doses of ALG</w:t>
        <w:noBreakHyphen/>
        <w:t>000184 for 28 days among untreated HBV e-antigen (HBeAg) positive/negative CHB subjects. For these studies, ALG</w:t>
        <w:noBreakHyphen/>
        <w:t>000184 was found to be well tolerated with a favorable PK profile and demonstrated potentially best-in-class HBV DNA and RNA reductions as well as HBsAg reductions in a subset of HBeAg positive subjects receiving 300 mg ALG</w:t>
        <w:noBreakHyphen/>
        <w:t>000184 (Hou et. al, AASLD 2022). Based on the favorable profile after dosing ≤300 mg ALG</w:t>
        <w:noBreakHyphen/>
        <w:t>000184 x 28 days, additional Phase 1b cohorts are currently ongoing and evaluating the risk-benefit profile of 100-300 mg doses of ALG</w:t>
        <w:noBreakHyphen/>
        <w:t xml:space="preserve">000184 </w:t>
      </w:r>
      <w:r>
        <w:rPr>
          <w:rFonts w:ascii="Times New Roman" w:hAnsi="Times New Roman"/>
          <w:b w:val="false"/>
          <w:color w:val="000000"/>
          <w:sz w:val="20"/>
          <w:u w:val="single"/>
        </w:rPr>
        <w:t>+</w:t>
      </w:r>
      <w:r>
        <w:rPr>
          <w:rFonts w:ascii="Times New Roman" w:hAnsi="Times New Roman"/>
          <w:color w:val="000000"/>
          <w:sz w:val="20"/>
        </w:rPr>
        <w:t xml:space="preserve"> </w:t>
      </w:r>
      <w:r>
        <w:rPr>
          <w:rFonts w:ascii="Times New Roman" w:hAnsi="Times New Roman"/>
          <w:b w:val="false"/>
          <w:color w:val="000000"/>
          <w:sz w:val="20"/>
        </w:rPr>
        <w:t>entecavir (ETV) therapy for up to 96 weeks in HBeAg positive or negative CHB subjects. Preliminary data have been presented for several of these cohorts (McClure et al, Global Hepatitis Summit, April 2023, Hou et al., EASL 2023) and indicate that ALG</w:t>
        <w:noBreakHyphen/>
        <w:t>000184 dosed for up to 36 weeks is well tolerated with a favorable PK profile and potentially best-in-class antiviral activity. Specifically, antiviral activity data in subjects dosed with 300 mg ALG-000184 + ETV for up to 36 weeks are available in a cohort (Part 4 Cohort 2) of HBeAg positive subjects with normal/elevated baseline ALT. In this cohort, we observed mean DNA reductions of over 6 log</w:t>
      </w:r>
      <w:r>
        <w:rPr>
          <w:rFonts w:ascii="Times New Roman" w:hAnsi="Times New Roman"/>
          <w:b w:val="false"/>
          <w:color w:val="000000"/>
          <w:sz w:val="13"/>
        </w:rPr>
        <w:t>10</w:t>
      </w:r>
      <w:r>
        <w:rPr>
          <w:rFonts w:ascii="Times New Roman" w:hAnsi="Times New Roman"/>
          <w:color w:val="000000"/>
          <w:sz w:val="20"/>
        </w:rPr>
        <w:t xml:space="preserve"> </w:t>
      </w:r>
      <w:r>
        <w:rPr>
          <w:rFonts w:ascii="Times New Roman" w:hAnsi="Times New Roman"/>
          <w:b w:val="false"/>
          <w:color w:val="000000"/>
          <w:sz w:val="20"/>
        </w:rPr>
        <w:t>IU/mL. Notably, subjects in this cohorts who initially received ETV x 12 weeks had more modest reductions in HBV DNA vs. subjects receiving ALG</w:t>
        <w:noBreakHyphen/>
        <w:t>000184 + ETV over the same time period. However, these subjects then experienced further reductions in HBV DNA levels once they started receiving the combination and their HBV DNA levels also reached levels exceeding 6 log</w:t>
      </w:r>
      <w:r>
        <w:rPr>
          <w:rFonts w:ascii="Times New Roman" w:hAnsi="Times New Roman"/>
          <w:b w:val="false"/>
          <w:color w:val="000000"/>
          <w:sz w:val="13"/>
        </w:rPr>
        <w:t>10</w:t>
      </w:r>
      <w:r>
        <w:rPr>
          <w:rFonts w:ascii="Times New Roman" w:hAnsi="Times New Roman"/>
          <w:color w:val="000000"/>
          <w:sz w:val="20"/>
        </w:rPr>
        <w:t xml:space="preserve"> </w:t>
      </w:r>
      <w:r>
        <w:rPr>
          <w:rFonts w:ascii="Times New Roman" w:hAnsi="Times New Roman"/>
          <w:b w:val="false"/>
          <w:color w:val="000000"/>
          <w:sz w:val="20"/>
        </w:rPr>
        <w:t>IU/mL, indicating an additive effect of ALG-000184 with ETV. Among the subjects in Part 4 Cohort 2 who were dosed with 300 mg ALG</w:t>
        <w:noBreakHyphen/>
        <w:t>000184 + ETV, HBsAg levels declined in a majority of subjects by at least 0.4 and 1.0 log</w:t>
      </w:r>
      <w:r>
        <w:rPr>
          <w:rFonts w:ascii="Times New Roman" w:hAnsi="Times New Roman"/>
          <w:b w:val="false"/>
          <w:color w:val="000000"/>
          <w:sz w:val="13"/>
        </w:rPr>
        <w:t>10</w:t>
      </w:r>
      <w:r>
        <w:rPr>
          <w:rFonts w:ascii="Times New Roman" w:hAnsi="Times New Roman"/>
          <w:color w:val="000000"/>
          <w:sz w:val="20"/>
        </w:rPr>
        <w:t xml:space="preserve"> </w:t>
      </w:r>
      <w:r>
        <w:rPr>
          <w:rFonts w:ascii="Times New Roman" w:hAnsi="Times New Roman"/>
          <w:b w:val="false"/>
          <w:color w:val="000000"/>
          <w:sz w:val="20"/>
        </w:rPr>
        <w:t>IU/mL after dosing for 12 and 24 weeks, respectively; the maximum HBsAg decline observed at that time was 2.0 log</w:t>
      </w:r>
      <w:r>
        <w:rPr>
          <w:rFonts w:ascii="Times New Roman" w:hAnsi="Times New Roman"/>
          <w:b w:val="false"/>
          <w:color w:val="000000"/>
          <w:sz w:val="13"/>
        </w:rPr>
        <w:t>10</w:t>
      </w:r>
      <w:r>
        <w:rPr>
          <w:rFonts w:ascii="Times New Roman" w:hAnsi="Times New Roman"/>
          <w:color w:val="000000"/>
          <w:sz w:val="20"/>
        </w:rPr>
        <w:t xml:space="preserve"> </w:t>
      </w:r>
      <w:r>
        <w:rPr>
          <w:rFonts w:ascii="Times New Roman" w:hAnsi="Times New Roman"/>
          <w:b w:val="false"/>
          <w:color w:val="000000"/>
          <w:sz w:val="20"/>
        </w:rPr>
        <w:t>IU/mL at week 36. By comparison, no meaningful change in HBsAg levels was observed in subjects dosed with ETV alone. Dosing of HBeAg positive/negative subjects with ALG</w:t>
        <w:noBreakHyphen/>
        <w:t>000184 + ETV in ongoing cohorts will continue throughout 2023 and interim safety, PK, and antiviral activity data will be presented at scientific conferences throughout the year, including as a late breaking poster (“Long-term dosing with the capsid assembly modulator ALG-000184 results in multi-log reductions of DNA, RNA, HBsAg, HBeAg, and HBcrAg in untreated HBeAg positive chronic hepatitis B subjects,” to be presented by Dr. MF Yuen, Chair Professor of Gastroenterology and Hepatology, University of Hong Kong), which is to be presented on November 13, 2023 at The Liver Meeting® of the American Association for the Study of Liver Diseases (AASLD).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also exploring ways to boost immune responses via small molecule inhibitors of the Programmed Cell Death Ligand 1 (PD-L1) transmembrane protein and its interaction with PD-1. We have rationally designed these T cell activating drug candidates to partition in the liver and thereby potentially mitigate systemic toxicity in an effort to develop better tolerated PD-1/PD-L1 inhibitors for CHB patients. Lead molecules developed to date show similar in vivo efficacy in tumor models to approved PD-1/PD-L1 antibodies. Our small molecule lead compounds also demonstrate greater PD-L1 target occupancy at a lower dose in a humanized PD-L1 subcutaneous tumor model compared to competitor small molecule PD-L1 inhibitors.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our siRNA drug candidate targeting HBsAg production, ALG</w:t>
        <w:noBreakHyphen/>
        <w:t>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available data indicate evidence of HBsAg lowering at all 3 dose levels evaluated. We plan to seek additional external funding to further advance this drug candidate in clinical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that combination regimens utilizing our portfolio of CHB drug candidates, with or without other mechanisms of action, may lead to higher rates of functional cure.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incurred net losses and negative cash flows from operations in each year since our formation in February 2018. Our net losses were $18.0 million and $59.8 million for the three and nine months ended September 30, 2023, respectively, and our net losses were $18.6 million and $74.2 million for the three and nine months ended September 30, 2022. We have had no revenue from product sales. As of September 30, 2023, we had an accumulated deficit of $458.9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 force and outsource a substantial portion of our clinical trial work to third parties.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operating expenses since inception have consisted solely of research and development costs and general and administrative costs.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salaries, benefits and other employee-related costs, including stock-based compensation expense, for personnel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of outside consultants, including their fees, and related travel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associated with in-process research and development, including license fees and milestones paid to third-party collaborators for technologies with no alternative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related to production of clinical materials, including fees paid to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expenses incurred under agreements with collaborators that perform nonclinical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facility costs, depreciation, and other expenses, which include direct and allocated expenses for rent and maintenance of facilities, insurance, and other supplies.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track direct external research and development expenses on a program-specific basis (steatohepatitis, coronaviruses, chronic hepatitis B and early-stage programs). The following table summarizes these research and development costs, in thousands:</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431"/>
        <w:gridCol w:w="146"/>
        <w:gridCol w:w="264"/>
        <w:gridCol w:w="845"/>
        <w:gridCol w:w="182"/>
        <w:gridCol w:w="264"/>
        <w:gridCol w:w="845"/>
        <w:gridCol w:w="146"/>
        <w:gridCol w:w="146"/>
        <w:gridCol w:w="257"/>
        <w:gridCol w:w="825"/>
        <w:gridCol w:w="177"/>
        <w:gridCol w:w="257"/>
        <w:gridCol w:w="825"/>
        <w:gridCol w:w="595"/>
      </w:tblGrid>
      <w:tr>
        <w:trPr/>
        <w:tc>
          <w:tcPr>
            <w:tcW w:w="4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4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43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Direct research and development expenses by development program:</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center"/>
              <w:rPr/>
            </w:pPr>
            <w:r>
              <w:rPr/>
              <w:t> </w:t>
            </w:r>
          </w:p>
        </w:tc>
        <w:tc>
          <w:tcPr>
            <w:tcW w:w="182" w:type="dxa"/>
            <w:tcBorders/>
            <w:shd w:fill="CFF0FC" w:val="clear"/>
            <w:vAlign w:val="center"/>
          </w:tcPr>
          <w:p>
            <w:pPr>
              <w:pStyle w:val="TableContents"/>
              <w:bidi w:val="0"/>
              <w:spacing w:before="0" w:after="283"/>
              <w:jc w:val="center"/>
              <w:rPr/>
            </w:pPr>
            <w:r>
              <w:rPr/>
              <w:t> </w:t>
            </w:r>
          </w:p>
        </w:tc>
        <w:tc>
          <w:tcPr>
            <w:tcW w:w="1109"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center"/>
              <w:rPr/>
            </w:pPr>
            <w:r>
              <w:rPr/>
              <w:t> </w:t>
            </w:r>
          </w:p>
        </w:tc>
        <w:tc>
          <w:tcPr>
            <w:tcW w:w="177" w:type="dxa"/>
            <w:tcBorders/>
            <w:shd w:fill="CFF0FC" w:val="clear"/>
            <w:vAlign w:val="center"/>
          </w:tcPr>
          <w:p>
            <w:pPr>
              <w:pStyle w:val="TableContents"/>
              <w:bidi w:val="0"/>
              <w:spacing w:before="0" w:after="283"/>
              <w:jc w:val="center"/>
              <w:rPr/>
            </w:pPr>
            <w:r>
              <w:rPr/>
              <w:t> </w:t>
            </w:r>
          </w:p>
        </w:tc>
        <w:tc>
          <w:tcPr>
            <w:tcW w:w="1082" w:type="dxa"/>
            <w:gridSpan w:val="2"/>
            <w:tcBorders/>
            <w:shd w:fill="CFF0FC" w:val="clear"/>
            <w:vAlign w:val="center"/>
          </w:tcPr>
          <w:p>
            <w:pPr>
              <w:pStyle w:val="TableContents"/>
              <w:bidi w:val="0"/>
              <w:spacing w:before="0" w:after="283"/>
              <w:jc w:val="center"/>
              <w:rPr/>
            </w:pPr>
            <w:r>
              <w:rPr/>
              <w:t> </w:t>
            </w:r>
          </w:p>
        </w:tc>
        <w:tc>
          <w:tcPr>
            <w:tcW w:w="595" w:type="dxa"/>
            <w:tcBorders/>
            <w:shd w:fill="CFF0FC" w:val="clear"/>
            <w:vAlign w:val="center"/>
          </w:tcPr>
          <w:p>
            <w:pPr>
              <w:pStyle w:val="TableContents"/>
              <w:bidi w:val="0"/>
              <w:spacing w:before="0" w:after="283"/>
              <w:ind w:left="0" w:right="0" w:firstLine="300"/>
              <w:jc w:val="center"/>
              <w:rPr/>
            </w:pPr>
            <w:r>
              <w:rPr/>
              <w:t> </w:t>
            </w:r>
          </w:p>
        </w:tc>
      </w:tr>
      <w:tr>
        <w:trPr/>
        <w:tc>
          <w:tcPr>
            <w:tcW w:w="4431"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Non-alcoholic Steatohepatitis program</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1,642</w:t>
            </w:r>
          </w:p>
        </w:tc>
        <w:tc>
          <w:tcPr>
            <w:tcW w:w="182"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4,266</w:t>
            </w:r>
          </w:p>
        </w:tc>
        <w:tc>
          <w:tcPr>
            <w:tcW w:w="177"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3,448</w:t>
            </w:r>
          </w:p>
        </w:tc>
        <w:tc>
          <w:tcPr>
            <w:tcW w:w="595" w:type="dxa"/>
            <w:tcBorders/>
            <w:shd w:fill="FFFFFF" w:val="clear"/>
            <w:vAlign w:val="center"/>
          </w:tcPr>
          <w:p>
            <w:pPr>
              <w:pStyle w:val="TableContents"/>
              <w:bidi w:val="0"/>
              <w:spacing w:before="0" w:after="283"/>
              <w:ind w:left="0" w:right="0" w:firstLine="300"/>
              <w:jc w:val="left"/>
              <w:rPr/>
            </w:pPr>
            <w:r>
              <w:rPr/>
              <w:t> </w:t>
            </w:r>
          </w:p>
        </w:tc>
      </w:tr>
      <w:tr>
        <w:trPr/>
        <w:tc>
          <w:tcPr>
            <w:tcW w:w="4431"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Coronaviruses program</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3,092</w:t>
            </w:r>
          </w:p>
        </w:tc>
        <w:tc>
          <w:tcPr>
            <w:tcW w:w="182"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7,361</w:t>
            </w:r>
          </w:p>
        </w:tc>
        <w:tc>
          <w:tcPr>
            <w:tcW w:w="177"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3,790</w:t>
            </w:r>
          </w:p>
        </w:tc>
        <w:tc>
          <w:tcPr>
            <w:tcW w:w="595" w:type="dxa"/>
            <w:tcBorders/>
            <w:shd w:fill="CFF0FC" w:val="clear"/>
            <w:vAlign w:val="center"/>
          </w:tcPr>
          <w:p>
            <w:pPr>
              <w:pStyle w:val="TableContents"/>
              <w:bidi w:val="0"/>
              <w:spacing w:before="0" w:after="283"/>
              <w:ind w:left="0" w:right="0" w:firstLine="300"/>
              <w:jc w:val="left"/>
              <w:rPr/>
            </w:pPr>
            <w:r>
              <w:rPr/>
              <w:t> </w:t>
            </w:r>
          </w:p>
        </w:tc>
      </w:tr>
      <w:tr>
        <w:trPr/>
        <w:tc>
          <w:tcPr>
            <w:tcW w:w="4431"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Chronic Hepatitis B program</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973</w:t>
            </w:r>
          </w:p>
        </w:tc>
        <w:tc>
          <w:tcPr>
            <w:tcW w:w="182"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5,572</w:t>
            </w:r>
          </w:p>
        </w:tc>
        <w:tc>
          <w:tcPr>
            <w:tcW w:w="177"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15,977</w:t>
            </w:r>
          </w:p>
        </w:tc>
        <w:tc>
          <w:tcPr>
            <w:tcW w:w="595" w:type="dxa"/>
            <w:tcBorders/>
            <w:shd w:fill="FFFFFF" w:val="clear"/>
            <w:vAlign w:val="center"/>
          </w:tcPr>
          <w:p>
            <w:pPr>
              <w:pStyle w:val="TableContents"/>
              <w:bidi w:val="0"/>
              <w:spacing w:before="0" w:after="283"/>
              <w:ind w:left="0" w:right="0" w:firstLine="300"/>
              <w:jc w:val="left"/>
              <w:rPr/>
            </w:pPr>
            <w:r>
              <w:rPr/>
              <w:t> </w:t>
            </w:r>
          </w:p>
        </w:tc>
      </w:tr>
      <w:tr>
        <w:trPr/>
        <w:tc>
          <w:tcPr>
            <w:tcW w:w="4431"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Other early-stage programs</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8,597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3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direct research and development expenses</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7,447</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22,178</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31,812</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indirect research and development expenses</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8,420</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28,605</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34,165</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research and development expense</w:t>
            </w:r>
          </w:p>
        </w:tc>
        <w:tc>
          <w:tcPr>
            <w:tcW w:w="146" w:type="dxa"/>
            <w:tcBorders/>
            <w:shd w:fill="FFFFFF" w:val="cle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15,867</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50,783</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65,977</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and other income, net comprises interest income, net and other income, net. Interest income, net primarily consists of interest earned on our cash, cash equivalents, and investments. Other income, net consists primarily of the change in fair value of our investments and foreign currency gains/losses.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three and nine months ended September 30, 2023 and 2022</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our operating expenses for the three and nine months ended September 30, 2023 and 2022 (in thousands):</w:t>
      </w:r>
    </w:p>
    <w:p>
      <w:pPr>
        <w:pStyle w:val="TextBody"/>
        <w:bidi w:val="0"/>
        <w:jc w:val="left"/>
        <w:rPr/>
      </w:pPr>
      <w:r>
        <w:rPr/>
        <w:t> </w:t>
      </w:r>
    </w:p>
    <w:tbl>
      <w:tblPr>
        <w:tblW w:w="10343"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676"/>
        <w:gridCol w:w="146"/>
        <w:gridCol w:w="146"/>
        <w:gridCol w:w="211"/>
        <w:gridCol w:w="631"/>
        <w:gridCol w:w="166"/>
        <w:gridCol w:w="146"/>
        <w:gridCol w:w="146"/>
        <w:gridCol w:w="376"/>
        <w:gridCol w:w="271"/>
        <w:gridCol w:w="146"/>
        <w:gridCol w:w="211"/>
        <w:gridCol w:w="676"/>
        <w:gridCol w:w="146"/>
        <w:gridCol w:w="146"/>
        <w:gridCol w:w="211"/>
        <w:gridCol w:w="676"/>
        <w:gridCol w:w="146"/>
        <w:gridCol w:w="146"/>
        <w:gridCol w:w="211"/>
        <w:gridCol w:w="736"/>
        <w:gridCol w:w="166"/>
        <w:gridCol w:w="146"/>
        <w:gridCol w:w="146"/>
        <w:gridCol w:w="376"/>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1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1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12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50,783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(15,194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2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74,978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85,268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Research and development expenses decreased by $1.9 million during the three months ended September 30, 2023, compared to the same period in 2022. The decrease in the three-month period was primarily due to a $2.0 million decrease in employee-related costs including a $0.4 million decrease in stock-based compensation, as well as a $1.9 million decrease in facility and other expenses. This was partially offset by an increase of $2.0 million in third-party expenses due to the milestone payment to Katholieke Universiteit Leuven (KU Leuven) under its collaboration agreement related to the coronaviruses and the dosing of the first patient in a Phase 1 clinical trial.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Research and development expenses decreased by $15.2 million during the nine months ended September 30, 2023, compared to the same period in 2022. The decrease in the nine-month period was due primarily to a decrease of $12.3 million in third-party expenses mainly related to our discontinued STOPs and ASO programs in 2022, partially offset by increases in our ongoing activities and related expenditures associated with our CAM clinical trial activities and NASH program, as well as the milestone payment to Katholieke Universiteit Leuven (KU Leuven) under its collaboration agreement related to the coronaviruses and the dosing of the first patient in a Phase 1 clinical trial. There was also a decrease of $3.5 million in depreciation and employee-related costs, of which $0.6 million related to stock-based compensation, due to reduced headcount. Partially offsetting this, there was an increase of $0.6 million in other costs including facility expenses due to the right of use asset impairment.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increased by $1.2 million during the three months ended September 30, 2023, compared to the same period in 2022. This was primarily due to a $1.1 million increase in facility and other expenses, and a $0.1 million increase in legal and related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increased by $4.9 million during the nine months ended September 30, 2023, compared to the same period in 2022. This was primarily due to an increase of $6.6 million in legal and related costs. This was partially offset by a decrease of $1.3 million related to facility and other costs and a decrease of $0.4 million in employee-related costs.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Interest and other income, net</w:t>
      </w:r>
      <w:r>
        <w:rPr>
          <w:rFonts w:ascii="Times New Roman" w:hAnsi="Times New Roman"/>
          <w:color w:val="000000"/>
          <w:sz w:val="20"/>
        </w:rPr>
        <w:t xml:space="preserve"> </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The following table summarizes our interest and other income, net for the three and nine months ended September 30, 2023 and 2022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53"/>
        <w:gridCol w:w="146"/>
        <w:gridCol w:w="211"/>
        <w:gridCol w:w="571"/>
        <w:gridCol w:w="146"/>
        <w:gridCol w:w="146"/>
        <w:gridCol w:w="211"/>
        <w:gridCol w:w="481"/>
        <w:gridCol w:w="166"/>
        <w:gridCol w:w="146"/>
        <w:gridCol w:w="211"/>
        <w:gridCol w:w="421"/>
        <w:gridCol w:w="146"/>
        <w:gridCol w:w="146"/>
        <w:gridCol w:w="146"/>
        <w:gridCol w:w="481"/>
        <w:gridCol w:w="271"/>
        <w:gridCol w:w="146"/>
        <w:gridCol w:w="211"/>
        <w:gridCol w:w="571"/>
        <w:gridCol w:w="146"/>
        <w:gridCol w:w="146"/>
        <w:gridCol w:w="211"/>
        <w:gridCol w:w="421"/>
        <w:gridCol w:w="146"/>
        <w:gridCol w:w="146"/>
        <w:gridCol w:w="211"/>
        <w:gridCol w:w="571"/>
        <w:gridCol w:w="146"/>
        <w:gridCol w:w="146"/>
        <w:gridCol w:w="146"/>
        <w:gridCol w:w="526"/>
        <w:gridCol w:w="716"/>
      </w:tblGrid>
      <w:tr>
        <w:trPr/>
        <w:tc>
          <w:tcPr>
            <w:tcW w:w="1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55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7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15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15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w:t>
            </w:r>
          </w:p>
        </w:tc>
        <w:tc>
          <w:tcPr>
            <w:tcW w:w="7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5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1553"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interest and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Interest income, net increased by $0.5 million for the three months ended September 30, 2023 compared to the three months ended September 30, 2022, primarily due to a general increase in market interest rates.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income, net increased by $1.9 million for the nine months ended September 30, 2023 compared to the nine months ended September 30, 2022, primarily due to a general increase in market interest rates.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income, net increased for the three months ended September 30, 2023 compared to the three months ended September 30, 2022, due primarily to foreign currency exchange gains.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income, net increased for the nine months ended September 30, 2023 compared to the nine months ended September 30, 2022, due primarily to foreign currency exchange gains.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Liquidity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incurred net losses since inception. We have not generated any revenue from product sales or any other sources and have incurred significant operating losses. We have not yet commercialized any products and we do not expect to generate revenue from sales of any drug candidates for at least several years, if ever.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operations have been financed primarily by net proceeds from the sale and issuance of our convertible preferred stock, net proceeds from our IPO, proceeds from public offerings, and proceeds from private placements of our common stock, warrants and pre-funded warrants, and the issuance of convertible debt.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we had cash, cash equivalents and investments of $70.4 million. Additionally, we raised gross proceeds of approximately $92 million from our private placement in October 2023.</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primary use of cash is to fund operating expenses, which consist primarily of research and development costs related to our drug candidates and our discovery programs, and to a lesser extent, general and administrative expenditures. We expect our expenses to increase substantially in connection with our ongoing clinical development activities related to our NASH drug candidate ALG</w:t>
        <w:noBreakHyphen/>
        <w:t>055009, which we have initiated clinical trials, as well as our research and development of our other drug candidates within our coronavirus and CHB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we incur costs associated with operating as a public company. We expect that our expenses will increase substantially to the extent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conduct our current and future clinical trials, and additional nonclinical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initiate and continue research and nonclinical and clinical development of other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seek to identify additional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pursue marketing approvals for any of our drug candidates that successfully complete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 a sales, marketing and distribution infrastructure to commercialize any products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require the manufacture of larger quantities of our drug candidates for clinical development and potentially commercialization;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acquire or in-license other drug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hire and retain additional clinical, quality control and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achieve milestones triggering payments by us under our current and potential future licensing and/or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build out or expand existing facilities to support our ongoing development activity;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add operational, financial and management information systems and personnel, including personnel to support our drug development, any future commercialization efforts and any additional requirement of being a public company.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believe that our existing cash, cash equivalents and investments will enable us to fund our planned operating expenses and capital expenditure requirements through at least the twelve months from the date of issuing our financial statements. We have based this estimate on assumptions that may prove to be wrong, and we could exhaust our available capital resources sooner than we expect. Furthermore, we may elect to raise additional capital on an opportunistic basis to fund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progress, results and costs of researching and developing our drug candidates and programs, and of conducting nonclinical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of, and the costs involved in, obtaining marketing approvals for drug candidates we develop if clinical trials are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manufacturing our current and future drug candidates for clinical trials in preparation for marketing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establish and maintain strategic licenses or other arrangements and the financial terms of such agreements including milestone payments to our licensors;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receipt and amount of sales of, or profit share or royalties on, our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emergence of competing therapies for hepatological indications and viral diseases and other adverse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acquisitions or in-licensing of other programs or technologies.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incurring debt, making capital expenditures or declaring dividends, which could adversely constrain our ability to conduct our business, and may require the issuance of warrants, which could potentially dilute your ownership interest.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summarizes our sources and uses of cash for each of the periods presented (in thousands):</w:t>
      </w:r>
      <w:r>
        <w:rPr>
          <w:rFonts w:ascii="Times New Roman" w:hAnsi="Times New Roman"/>
          <w:color w:val="000000"/>
          <w:sz w:val="20"/>
        </w:rPr>
        <w:t xml:space="preserve"> </w:t>
      </w:r>
    </w:p>
    <w:p>
      <w:pPr>
        <w:pStyle w:val="TextBody"/>
        <w:bidi w:val="0"/>
        <w:jc w:val="left"/>
        <w:rPr/>
      </w:pPr>
      <w:r>
        <w:rPr/>
        <w:t> </w:t>
      </w:r>
    </w:p>
    <w:tbl>
      <w:tblPr>
        <w:tblW w:w="7454" w:type="dxa"/>
        <w:jc w:val="left"/>
        <w:tblInd w:w="0" w:type="dxa"/>
        <w:tblLayout w:type="fixed"/>
        <w:tblCellMar>
          <w:top w:w="28" w:type="dxa"/>
          <w:left w:w="28" w:type="dxa"/>
          <w:bottom w:w="28" w:type="dxa"/>
          <w:right w:w="28" w:type="dxa"/>
        </w:tblCellMar>
      </w:tblPr>
      <w:tblGrid>
        <w:gridCol w:w="4786"/>
        <w:gridCol w:w="146"/>
        <w:gridCol w:w="211"/>
        <w:gridCol w:w="736"/>
        <w:gridCol w:w="166"/>
        <w:gridCol w:w="146"/>
        <w:gridCol w:w="211"/>
        <w:gridCol w:w="841"/>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shd w:fill="FFFFFF" w:val="cle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(56,339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(62,606</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(37,897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operating activities utilized $56.3 million of cash, primarily resulting from our net loss of $59.8 million and net changes in operating assets and liabilities of $9.2 million, partially offset by non-cash charges of $12.7 million. Net cash used in operating activities resulted in changes in our operating assets and liabilities of $9.2 million, consisting of a decrease of $1.8 million in accounts payable, a decrease of $3.7 million in accrued liabilities, a decrease of $1.8 million in operating lease liabilities, and a decrease of $6.7 million in deferred revenue from collaborations, partially offset by a decrease in other assets of $3.5 million and an increase of $1.2 million in deferred revenue from customers. The decrease in deferred revenue from collaborations was due to the recognition of revenue from collaborations due to progress towards the completion of the projects. The decrease in accrued liabilities was largely due to reduced manufacturing spend. The decrease in accounts payable is due to the timing of payments to vendors.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2022, operating activities utilized $62.6 million of cash, primarily resulting from our net loss of $74.2 million, and net changes in operating assets and liabilities of $2.4 million, partially offset by non-cash charges of $14.0 million. Net cash used in operating activities resulted in changes in our operating assets and liabilities of $2.4 million, consisting of a decrease of $0.1 million in accounts payable, a decrease of $11.5 million in accrued liabilities, a decrease of $1.3 million in operating lease liabilities, and an increase of $0.3 million in right of use assets, partially offset by an increase of $4.6 million in deferred revenue from collaborations, and a decrease in other assets of $6.2 million. The increase in deferred revenue from collaborations was a result of our First Amendment to the License and Research Collaboration Agreement (refer to Note 8 License and collaboration agreements, for details), partially offset by the recognition of revenue from collaborations due to progress towards the completion of the projects. The decrease in accrued liabilities was largely due to charges related to the discontinuation of our ASO and STOPs drug candidates, and payment of the annual bonus in 2022 that was accrued for in 2021.</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investing activities provided $45.0 million of cash, primarily due to $45.0 million of investment maturities.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During the nine months ended September 30, 2022, investing activities utilized $37.9 million of cash, primarily for $79.7 million of investment purchases, and $0.9 million of property and equipment purchases, partially offset by $42.7 million of investment maturities.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net cash provided by financing activities was $392 thousand, consisting primarily of proceeds from the ESPP purchase and from the exercise of stock options, partially offset by payments of our finance leases.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nine months ended September 30, 2022, net cash provided by financing activities was $43 thousand, consisting primarily of proceeds from the purchase of shares in our Employee Stock Purchase Plan, partially offset by payments of our finance leases.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no material changes to our contractual obligations and commitments as of September 30, 2023 as disclosed in the contractual obligations and commitment section in our Annual Report on Form 10-K filed with the SEC on March 9, 2023.</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did not have during the periods presented, and we do not currently have, any off-balance sheet arrangements, as defined in the rules and regulations of the SEC.</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a discussion of our critical accounting estimates, see “Management’s discussion and analysis of financial condition and results of operations” and the notes to our audited financial statements in our annual report on Form 10-K, filed with the SEC on March 9, 2023 for the year ended December 31, 2022, and the notes to the financial statements appearing elsewhere in this Quarterly Report on Form 10-Q. There have been no material changes to these critical accounting policies and estimates through September 30, 2023 from those discussed in our Form 10-K.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a description of the expected impact of recently adopted accounting pronouncements, see Note 2. Summary of Significant Accounting Policies in the “Notes to Unaudited Condensed Consolidated Financial Statements” contained in Part I, Item 1 of this report.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exposed to market risk related to changes in interest rates applicable to our investment portfolio of cash equivalents and short-term investments. As of September 30, 2023, our cash equivalents consisted primarily of money market funds, and our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investments consisted of certificates of deposit available-for-sale securities. Our primary exposure to market risk is interest income sensitivity, which is affected by changes in the general level of U.S. interest rates. Should U.S. interest rates decline, interest income would be reduced in future periods for short-term investments which mature and the proceeds of which are reinvested in similar instruments at lower interest rates. Additionally, the fair value of our short-term investments is subject to change as a result of potential changes in market interest rates, including changes resulting from the impact of the COVID-19 pandemic. The potential change in fair value from interest-rate-sensitive instruments has been assessed on a hypothetical 100 basis point adverse movement across all maturities. As of September 30, 2023, we estimate that a hypothetical 100 basis point adverse movement would not result in a material impact on our financial position or results of operations or cash flows. As of September 30, 2023, we had no debt outstanding, besides short-term payables arising in the normal course of business, and are therefore not exposed to interest rate risk with respect to debt.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employees and operations, including contracts with third-party vendors, in Europe through our subsidiary Aligos Belgium BVBA. We have similar, but more limited, operations in Australia and China. Though the functional currency in these locations is the U.S. dollar, we remeasure transactions initially recorded in local currencies in these locations, the Euro, Australian dollar and Chinese yuan,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position or results of operations or cash flows.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established disclosure controls and procedures (as defined in Rules 13a-15(e) and 15d-15(e) under the Exchange Act) designed to ensure that information required to be disclosed in the reports that we file or submit under the Securities Exchange Act of 1934, as amended, or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September 30, 2023, our disclosure controls and procedures were effective.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has been no change in our internal control over financial reporting (as defined in Rules 13a-15(f) and 15d-15(f) under the Exchange Act) that occurred during the fiscal quarter ended September 30, 2023 that has materially affected, or is reasonably likely to materially affect, our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a result of the COVID-19 pandemic, in March 2020, substantially all of our employees began working remotely. Since the availability of COVID-19 vaccines in 2021, almost all of our employees have been fully vaccinated and as a result, we have allowed such employees to return to work subject to certain COVID-19 related protocols and policies we have in place which may be modified from time to time in response to the evolution of the pandemic and any future pandemics/epidemic outbreaks. We have not identified any material changes in our internal control over financial reporting as a result of these changes to the working environment, in part because our internal control over financial reporting was designed to operate in a remote working environment. We are continually monitoring and assessing the COVID-19 situation to determine any potential impacts on the design and operating effectiveness of our internal controls over financial reporting.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or_information"/>
      <w:bookmarkEnd w:id="13"/>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we may become involved in litigation or other legal proceedings. While the outcome of any such proceedings cannot be predicted with certainty, we are not currently involved in any legal proceedings that we believe are, individually or in the aggregate, material to our business, results of operations or financial condition, except as described below. However, regardless of the outcome, litigation can have an adverse impact on our business, financial condition, results of operations and prospects because of associated costs and diversion of management time.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March 26, 2022, the Company received notice of a complaint (the Complaint) filed by Janssen Biopharma, LLC (Janssen), which generally concerned an alleged breach by certain of our employees of their obligations to Janssen as prior employees of Janssen by purporting to assign to Aligos various inventions allegedly owned by Janssen. The Complaint was filed on March 9, 2022 in the Superior Court of the State of California, County of San Mateo, against the Company, Lawrence M. Blatt, Chairman, Chief Executive Officer and Director of the Company, and Leonid Beigelman, President and Director of the Company. The Complaint alleges breach of contract by Lawrence M. Blatt and Leonid Beigelman and tortious interference with contract by the Company and seeks declaratory judgment of ownership of certain intellectual property by the Company, among other claims. The Complaint states that Janssen is seeking injunctive relief, assignment of certain intellectual property from us to Janssen and monetary damages.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4, 2022, the Company filed counterclaims against Janssen alleging Janssen has engaged in unfair competition and promissory fraud, and on August 22, 2022, the Company filed its response to the Complaint.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16, 2023, the Company entered into a settlement agreement with Janssen that provides for the resolution of the action brought by Janssen alleging breach of contract by Lawrence M. Blatt, and Leonid Beigelman, and tortious interference with contract by the Company and seeking declaratory judgment of ownership of certain intellectual property by the Company, among other claims. Pursuant to the settlement agreement, Janssen agreed to dismiss the action and released the Company, Dr. Blatt and Dr. Beigelman from the claims alleged. In addition, pursuant to the Settlement Agreement, the Company agreed to dismiss the counterclaims against Janssen alleging unfair competition and promissory fraud and released Janssen from the alleged counterclaims.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Investing in our common stock involves a high degree of risk. You should carefully consider the risks described below, as well as the other information in this Quarterly Report on Form 10-Q, including our consolidated financial statements and the related notes and the section titled “Management’s Discussion and Analysis of Financial Condition and Results of Operations,” before deciding whether to invest in our common stock. Many of the following risks and uncertainties are, and will be, exacerbated by any worsening of the global business and economic environment that resulted from the coronavirus pandemic (COVID-19).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limited operating history, financial position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Since inception, we have incurred significant net losses. Our net losses were $18.0 million and $59.8 million for the three and nine months ended September 30, 2023, respectively, and $96.0 million for the year ended December 31, 2022. As of September 30, 2023, we had a total stockholders’ equity of $54.8 million. We have funded our operations to date primarily with proceeds from the sale of common stock, preferred stock and convertible notes.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never generated revenue from product sales and may never be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completing clinical and nonclinical development of drug candidates and programs and identifying and developing new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seeking and obtaining marketing approvals for any drug candidates that we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launching and commercializing drug candidates for which we obtain marketing approval by establishing a sales force, marketing, medical affairs and distribution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achieving adequate coverage and reimbursement by third-party payors for drug candidates that we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obtaining market acceptance of drug candidates that we develop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maintaining, protecting, enforcing and expanding our portfolio of intellectual property rights, including patents,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defending against third-party interference, infringement or other intellectual property-related claims,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attracting, hiring and retaining qualified personnel.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As of September 30, 2023, we had unrestricted cash, cash equivalents and investments of $70.4 million. In October 2023, we closed a private placement, which resulted in gross proceeds of approximately $92 million, before deducting placement agent fees and expenses.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future capital requirements depend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progress, results and costs of researching and developing our drug candidates and programs, and of conducting nonclinical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of, and the costs involved in, obtaining marketing approvals for drug candidates we develop if clinical trials are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manufacturing our current and future drug candidates for clinical trials in preparation for marketing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establish and maintain strategic licenses or other arrangements and the financial terms of such agreements including milestone payments to our licensors;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receipt and amount of sales of, or profit share or royalties on, our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emergence of competing therapies for hepatological indications and viral diseases and other adverse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acquisitions or in-licensing of other programs or technologies.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To date, we have primarily financed our operations through the sale of common stock, preferred stock and convertible notes. For example, in November 2021, we filed a Registration Statement on Form S-3 covering the offering of up to $400.0 million of common stock, preferred stock, debt securities, warrants and units, which was declared effective by the SEC in November 2021 (November 2021 Shelf Registration Statement). In November 2021, we also entered into a sales agreement (November 2021 Sales Agreement), with Jefferies LLC, as sales agent to sell shares of our common stock, from time to time, with aggregate gross sales proceeds of up to $75.0 million pursuant to the November 2021 Shelf Registration Statement as an “at-the-market” offering under the Securities Act (ATM Offering Program). In October 2023, we completed a private placement of common stock, warrants and pre-funded warrants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the global business and economic environment that resulted from the COVID-19 pandemic and the macro-economic environment generally.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ability to raise additional funds will depend on financial, economic and other factors, many of which are beyond our control. For example, the current inflationary economic environment, the COVID-19 pandemic, and rising interest rates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 limit, reduce or terminate nonclinical studies, clinical trials or other research and development activities or eliminate one or more of our development programs altogether;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currently have a shelf registration statement effective and existing ATM Offering Program, however, our ability to raise capital under this registration statement and through the ATM Offering Program may be limited by, among other things, SEC rules and regulations impacting the eligibility of smaller companies to use Form S-3 for primary offerings of securities. Based on our public</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float, as of the date of the filing of this Annual Report on Form 10-K, we are only permitted to utilize a shelf registration statement, including the registration statements under which our ATM Offering Programs are operated, subject to Instruction I.B.6 to Form S-3, which is referred to as the “baby shelf” rule. For so long as our public float is less than $75.0 million, we may not sell more than the equivalent of one-third of our public float during any 12 consecutive months pursuant to the baby shelf rules. Although alternative public and private transaction structures may be available, these may require additional time and cost, may impose operational restrictions on us, and may not be available on attractive terms.</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operating results may fluctuate significantly, which will make our future results difficult to predict and could cause our results to fall below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and cost of, and level of investment in, research, development and commercialization activities,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and status of enrollment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of regulatory approvals, if any,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of expanding our operational, financial and management systems and personnel, including personnel to support our clinical development, quality control, manufacturing and commercialization efforts and our operations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manufacturing, as well as building out our supply chain, which may vary depending on the quantity produced, and the terms of any agreements we enter into with third-party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and amount of any milestone, royalty or other payments due under any current or future collaboration or license agreement, including our existing license agreements with Emory University (Emory) and KU Leuven;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coverage and reimbursement policies with respect to any future approved products, and potential future drugs that compete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and cost to establish a sales, marketing, medical affairs and distribution infrastructure to commercialize any products for which we may obtain marketing approval and intend to commercialize on our own or jointly with current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expenditures that we may incur to acquire, develop or commercialize additional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expenditures that we may incur in 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level of demand for any future approved products, which may vary significantly over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future accounting pronouncements or changes in accounting principles or our accounting policies;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and success or failure of nonclinical studies and clinical trials for our drug candidates or competing drug candidates, or any other change in the competitive landscape of our industry, including consolidation among our competitors or collaboration partners.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the continued listing requirements of Nasdaq, our common stock may be delisted and the price of our common stock and our ability to access the capital markets could be negatively impacted.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must satisfy Nasdaq’s continued listing requirements, including, among other things, a minimum closing bid price of $1.00 per share and timely filing of all periodic financial reports, or risk delisting, which would have a material adverse effect on our business. In the event we are delisted from Nasdaq, the only established trading market for our common stock would be eliminated, and we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would be forced to list our shares on the OTC Markets or another quotation medium, depending on our ability to meet the specific listing requirements of those quotation systems. As a result, an investor would likely find it more difficult to trade or obtain accurate price quotations for our shares. Delisting would likely also reduce the visibility, liquidity, and value of our common stock, reduce institutional investor interest in our company, and may increase the volatility of our common stock. Delisting could also cause a loss of confidence of potential industry partners, lenders, and employees, which could further harm our business and our future prospects.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September 5, 2023, we received a letter from Nasdaq indicating that, for the last 30 consecutive business days, the bid price for our common stock had closed below the minimum $1.00 per share required for continued inclusion on the Nasdaq Global Select Market under the Nasdaq Listing Rules. The notice had no immediate effect on the listing or trading of our common stock.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Under Nasdaq Listing Rule 5810(c)(3)(A), if during the 180 calendar day period following the date of the notice, the closing bid price of our Common Shares is at or above $1.00 for a minimum of 10 consecutive business days, we would regain compliance with the minimum bid price requirement and our Common Shares would continue to be eligible for listing on the Nasdaq Global Select Market, absent noncompliance with any other requirement for continued listing.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intend to monitor the closing bid price of our common stock and consider our available options if the closing bid price of our common stock remains below $1.00 per share. There can be no assurance that we will be able to regain compliance with the minimum bid price requirement during the 180-day compliance period with respect to the minimum bid price requirement, maintain compliance with the other listing requirements, or maintain the listing of our common stock on Nasdaq.</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Delisting from the Nasdaq Global Select Market or any Nasdaq market could make trading our common stock more difficult for investors, potentially leading to declines in our share price and liquidity. In addition, without a Nasdaq market listing, stockholders may have a difficult time getting a quote for the sale or purchase of our common stock, the sale or purchase of our common stock would likely be made more difficult and the trading volume and liquidity of our common stock could decline. Delisting from Nasdaq could also result in negative publicity and could also make it more difficult for us to raise additional capital. The absence of such a listing may adversely affect the acceptance of our common stock as currency or the value accorded by other parties. If our common stock is delisted by Nasdaq, our common stock may be eligible to trade on an over-the-counter quotation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 counter quotation system.</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materially adversely affected by the effects of health pandemics or epidemics and in particular in regions where we or third parties on which we rely have significant manufacturing facilities, concentrations of clinical trial sites or other business operations, including the San Francisco Bay Area where our headquarters are located.</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business could be materially adversely affected by the effects of health pandemics or epidemics. For instance, the outbreak of COVID-19, which the World Health Organization had declared a global pandemic,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had implemented work-from-home policies for most of our employees until March 2022 when we allowed our employees to return to work at our U.S. facility. Government-imposed quarantines and any future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health pandemics or epidemics and other limitations on our ability to conduct our business in the ordinary course. These and similar, and perhaps more severe, disruptions in our operations could negatively impact our business, operating results and financial condition in the future.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Quarantines, shutdowns and shelter-in-place and similar government orders related to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Restrictions resulting from health pandemics or epidemics may at any time disrupt our supply chain and delay or limit our ability to obtain sufficient materials for our drug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our current clinical trial and planned clinical trials may be affected by any future public health pandemics or epidemics. Site initiation and patient enrollment may be delayed due to prioritization of hospital resources toward the disease,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the disease, may be delayed or disrupted, which may adversely impact our clinical trial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health pandemics or epidemics could materially adversely affect the value of our common stock.</w:t>
      </w:r>
    </w:p>
    <w:p>
      <w:pPr>
        <w:pStyle w:val="TextBody"/>
        <w:bidi w:val="0"/>
        <w:spacing w:before="360" w:after="283"/>
        <w:jc w:val="left"/>
        <w:rPr>
          <w:rFonts w:ascii="Times New Roman" w:hAnsi="Times New Roman"/>
          <w:sz w:val="20"/>
        </w:rPr>
      </w:pPr>
      <w:bookmarkStart w:id="16" w:name="risks_related_to_product_development_reg"/>
      <w:bookmarkEnd w:id="16"/>
      <w:r>
        <w:rPr>
          <w:rFonts w:ascii="Times New Roman" w:hAnsi="Times New Roman"/>
          <w:b/>
          <w:color w:val="000000"/>
          <w:sz w:val="20"/>
        </w:rPr>
        <w:t>Risks related to product development and regulatory process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clinical development efforts across our drug candidates are in an early stage. We have initiated clinical trials for our most advanced drug candidates in many countries (e.g., New Zealand, Hong Kong, the United Kingdom).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CHB portfolio previously included our STOPS</w:t>
      </w:r>
      <w:r>
        <w:rPr>
          <w:rFonts w:ascii="Times New Roman" w:hAnsi="Times New Roman"/>
          <w:b w:val="false"/>
          <w:color w:val="000000"/>
          <w:sz w:val="13"/>
        </w:rPr>
        <w:t>TM</w:t>
      </w:r>
      <w:r>
        <w:rPr>
          <w:rFonts w:ascii="Times New Roman" w:hAnsi="Times New Roman"/>
          <w:color w:val="000000"/>
          <w:sz w:val="20"/>
        </w:rPr>
        <w:t xml:space="preserve"> </w:t>
      </w:r>
      <w:r>
        <w:rPr>
          <w:rFonts w:ascii="Times New Roman" w:hAnsi="Times New Roman"/>
          <w:b w:val="false"/>
          <w:color w:val="000000"/>
          <w:sz w:val="20"/>
        </w:rPr>
        <w:t>drug candidate, ALG-010133, one of our proprietary s-antigen transport-inhibiting oligonucleotide polymers that was in a Phase 1b dose range finding trial (NCT04485663) evaluating subjects with CHB as well as our proprietary antisense oligonucleotide, ALG-020572, that was in a Phase 1a/1b umbrella study (NCT05001022) and for which dosing in CHB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ALG-020572 due to an unanticipated serious adverse event involving significant increase in alanine aminotransferase (ALT) in one CHB subject and several additional subjects experiencing ALT flares. Finally, for our siRNA drug candidate targeting HBsAg production, ALG</w:t>
        <w:noBreakHyphen/>
        <w:t>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partnership which may not come to fruition.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evaluating drug candidates in clinical trials in many countries (e.g., New Zealand, Hong Kong, the United Kingdom).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success of our current and future drug candidates will depend on many factors, which may include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sufficiency of our financial and other resources to complete the necessary nonclinical studies and clinical trials, and our ability to raise any additional required capital on acceptable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develop and successfully utilize our drug discovery platforms;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timely and successful completion of our nonclinical studies and clinical trials, which may be significantly slower or cost more than we currently anticipate and will depend substantially upon the performance of third-party contractors;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acceptance of investigational new drug applications (INDs), clinical trial applications (CTAs) and/or similar applications in other jurisdictions for our planned and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whether we are required by the FDA or a comparable foreign regulatory agency to conduct additional clinical trials or other studies beyond those planned to support approval of our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successful enrollment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successful data from our clinical program that supports an acceptable risk-benefit profile of our drug candidates in the intended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receipt and maintenance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establishing agreements with third-party manufacturers for clinical supply for our clinical trials and commercial manufacturing, if our drug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and the ability of any third parties with whom we contract, to remain in good standing with regulatory agencies and develop, validate and maintain commercially viable manufacturing processes that are compliant with current good manufacturing practices (cGMPs);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entry into collaborations to further the development of our drug candidates in select indications or geographies;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obtaining, maintaining and expanding our portfolio of intellectual property rights, including patents,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enforcing and defending our intellectual property rights and having and successfully executing an intellectual property life cycle management strategy that supports long-term product development and commercialization goals;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obtaining and maintaining regulatory exclusivity for our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successfully launching commercial sales of our drug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acceptance of the drug candidate’s benefits and uses, if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prevalence, duration and severity of potential side effects or other safety issues experienced with our drug candidates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effectively competing with other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obtaining and maintaining healthcare coverage and adequate reimbursement from third-party payors.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New Zealand, Hong Kong, the United Kingdom). The rest of our programs are in nonclinical research or earlier stages of development, including our other chronic hepatitis B (CHB)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inability or failure by us or third parties to comply with regulatory requirements, including the requirements of good laboratory practice (GLP);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inability to generate sufficient nonclinical or other in vivo or in vitro data to support the initiation of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reaching a consensus with regulatory agencies on study design and obtaining regulatory authorization to commence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sufficient quantities of our drug candidates for use in nonclinical studies and clinical trials from third-party suppliers on a timely basis;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due to other global-scale potentially catastrophic events, including other public health pandemics or epidemics, terrorism, war, and climate changes.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obtained regulatory approval for any drug candidate and it is possible that none of our current or future drug candidates will ever obtain regulatory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current and future drug candidates could fail to receive regulatory approval for many reasons,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the EMA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unable to demonstrate to the satisfaction of the FDA, the EMA or comparable foreign regulatory authorities that a drug candidate is safe or effective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results of clinical trials may not meet the level of statistical significance required by the FDA, the EMA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unable to demonstrate that a drug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the EMA or comparable foreign regulatory authorities may disagree with our interpretation of data from clinical trials or nonclinical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data collected from clinical trials of our drug candidates may not be sufficient to support the submission of an NDA to the FDA or other submission or to obtain regulatory approval in the United States, the European Union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the EMA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approval policies or regulations of the FDA, the EMA or comparable foreign regulatory authorities may significantly change in a manner rendering our clinical data insufficient for approval.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noBreakHyphen/>
        <w:t>010133. This decision was based on emerging data from the Phase 1 Study ALG-010133-101, that indicated that at the projected efficacious dose (400 mg, estimated to achieve liver exposures &gt;3 x EC</w:t>
      </w:r>
      <w:r>
        <w:rPr>
          <w:rFonts w:ascii="Times New Roman" w:hAnsi="Times New Roman"/>
          <w:b w:val="false"/>
          <w:color w:val="000000"/>
          <w:sz w:val="13"/>
        </w:rPr>
        <w:t>90</w:t>
      </w:r>
      <w:r>
        <w:rPr>
          <w:rFonts w:ascii="Times New Roman" w:hAnsi="Times New Roman"/>
          <w:color w:val="000000"/>
          <w:sz w:val="20"/>
        </w:rPr>
        <w:t xml:space="preserve"> </w:t>
      </w:r>
      <w:r>
        <w:rPr>
          <w:rFonts w:ascii="Times New Roman" w:hAnsi="Times New Roman"/>
          <w:b w:val="false"/>
          <w:color w:val="000000"/>
          <w:sz w:val="20"/>
        </w:rPr>
        <w:t>for HBsAg inhibition) there was no meaningful HBsAg reduction. Furthermore, higher doses levels (maximum feasible dose is 600 mg) that were planned to be evaluated in a subsequent cohort were very unlikely to reach the 1 log</w:t>
      </w:r>
      <w:r>
        <w:rPr>
          <w:rFonts w:ascii="Times New Roman" w:hAnsi="Times New Roman"/>
          <w:b w:val="false"/>
          <w:color w:val="000000"/>
          <w:sz w:val="13"/>
        </w:rPr>
        <w:t>10</w:t>
      </w:r>
      <w:r>
        <w:rPr>
          <w:rFonts w:ascii="Times New Roman" w:hAnsi="Times New Roman"/>
          <w:color w:val="000000"/>
          <w:sz w:val="20"/>
        </w:rPr>
        <w:t xml:space="preserve"> </w:t>
      </w:r>
      <w:r>
        <w:rPr>
          <w:rFonts w:ascii="Times New Roman" w:hAnsi="Times New Roman"/>
          <w:b w:val="false"/>
          <w:color w:val="000000"/>
          <w:sz w:val="20"/>
        </w:rPr>
        <w:t>IU/mL HBsAg reduction level that we had previously defined as necessary to advance the program. As another example, in March 2022, we discontinued further development of our ASO drug candidate for CHB, ALG</w:t>
        <w:noBreakHyphen/>
        <w:t>020572, due to an unanticipated serious adverse event involving significant increase in ALT in one CHB subject and several other subjects experiencing ALT flares in the same study. Finally, for our siRNA drug candidate targeting HBsAg production,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ALG</w:t>
        <w:noBreakHyphen/>
        <w:t>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partnership which may not come to fruition.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regulators, Institutional Review Boards (IRBs) or ethics committees may not authorize us or our investigators to commence a clinical trial or conduct a clinical trial at a prospective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experience delays in reaching, or fail to reach, agreement on acceptable terms with prospective trial sites and prospective contract research organizations (CROs);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number of patients required for clinical trials may be larger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it may be difficult to enroll a sufficient number of suitable patients, or enrollment in these clinical trials may be slower than we anticipate or participants may drop out of these clinical trials or fail to return for post-treatment follow-up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supply or quality of materials for drug candidates we develop or other materials necessary to conduct clinical trials may be insufficient or inadequate;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experience disruptions by man-made or natural disasters or public health pandemics or epidemics or other business interruptions.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Further, we are currently conducting clinical trials in many countries (e.g., New Zealand, Hong Kong, the United Kingdom).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Specifically, should we experience another pandemic or epidemic outbreak on a similar if not greater scale as the COVID-19 outbreak, the clinical trial sites for our current drug trials, including for ALG</w:t>
        <w:noBreakHyphen/>
        <w:t>055009, ALG-000184, ALG-097558 and ALG-125755, and future planned trials may be affected due to prioritization of hospital resources toward the outbreak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delayed. Some of our third-party manufacturers we use for the supply of materials for drug candidates or other materials necessary to manufacture product to conduct clinical trials may be located in countries affected by the outbreak, and, should they experience disruptions such as temporary closures or suspension of services, we would likely experience delays in advancing these trials.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pursuit of potential treatments for NASH is at an early stage and we may be unable to produce a therapy that successfully treats NASH. Even if successful, we may be unable to obtain regulatory approval for and successfully commercialize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invested, and will continue to invest, a significant portion of our time and financial resources in the pursuit of a treatment for NASH, including ALG-055009, our THR-</w:t>
      </w:r>
      <w:r>
        <w:rPr>
          <w:rFonts w:ascii="Symbol;serif" w:hAnsi="Symbol;serif"/>
          <w:b w:val="false"/>
          <w:color w:val="000000"/>
          <w:sz w:val="20"/>
        </w:rPr>
        <w:t>b</w:t>
      </w:r>
      <w:r>
        <w:rPr>
          <w:rFonts w:ascii="Times New Roman" w:hAnsi="Times New Roman"/>
          <w:color w:val="000000"/>
          <w:sz w:val="20"/>
        </w:rPr>
        <w:t xml:space="preserve"> </w:t>
      </w:r>
      <w:r>
        <w:rPr>
          <w:rFonts w:ascii="Times New Roman" w:hAnsi="Times New Roman"/>
          <w:b w:val="false"/>
          <w:color w:val="000000"/>
          <w:sz w:val="20"/>
        </w:rPr>
        <w:t>agonist which is currently in a Phase 1 trial. If we cannot successfully develop, obtain regulatory approval for and commercialize our drug candidates for the treatment of NASH, our business may be harmed. The mechanism of action of our NASH drug candidates is complex, and we do not know the degree to which it will translate into a therapeutic benefit, if any, in NASH or any other indication, and we do not know the degree to which the complex mechanism of action may contribute to long-term safety issues or adverse events when our drug candidates are taken for prolonged periods, as is inherent in the treatment of NASH.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the standards implemented by clinical or regulatory agencies may change at any time and we cannot be certain what efficacy endpoints the FDA or foreign clinical or regulatory agencies may require at the time we plan to conduct clinical trials with respect to NASH or any other applicable indication.</w:t>
      </w:r>
      <w:r>
        <w:rPr>
          <w:rFonts w:ascii="Times New Roman" w:hAnsi="Times New Roman"/>
          <w:color w:val="000000"/>
          <w:sz w:val="20"/>
        </w:rPr>
        <w:t xml:space="preserve"> </w:t>
      </w:r>
      <w:r>
        <w:rPr>
          <w:rFonts w:ascii="Times New Roman" w:hAnsi="Times New Roman"/>
          <w:b w:val="false"/>
          <w:color w:val="000000"/>
          <w:sz w:val="20"/>
        </w:rPr>
        <w:t>Also, if we are able to obtain accelerated approval of our drug candidates based on a liver biopsy endpoint, we may be required to conduct a post-approval clinical outcomes trial to confirm the clinical benefit of the drug candidate; if any such post-approval trial is not successful, we would not be able to continue marketing the product.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are successful and any of our drug candidates are approved for the treatment of NASH, our drug candidates will likely compete with products that may be approved for the treatment of NASH prior to our drug candidates and/or that have greater efficacy than our drug candidates, either alone or in combination. Behavioral modifications, such as diet and exercise, can also decrease or eliminate the demand for our potential NASH treatments.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pursuit of potential therapies for COVID-19 is at an early stage.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response to the outbreak of COVID-19, the disease caused by the virus SARS-CoV-2, we are pursuing various potential therapies to address the disease, including our drug candidate ALG-097558, an oral protease inhibitor which we have selected as our drug candidate to move forward into development. Our identification and development of these potential therapies is at an early stage, and we may be unable to produce in a timely manner a therapy that successfully treats the virus or that has broad clinical applicability, if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example, in June 2020, we entered into a Research, Licensing and Commercialization Agreement with Katholieke Universiteit Leuven (KU Leuven) under which we were collaborating with KU Leuven’s Rega Institute for Medical Research, as well as its Centre for Drug Design and Discovery, to research, develop, manufacture and commercialize potential protease inhibitors for the treatment of coronaviruses, including SARS-CoV-2. In July 2023, we amended our license agreement with KU Leuven (as amended, KU Leuven Agreement) to further our collaboration.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also committing significant financial resources and personnel to the development of potential therapies for COVID-19, which may cause delays in or otherwise negatively impact our other development programs, despite uncertainties surrounding the longevity and extent of COVID-19 as a global health concern. COVID-19 may be substantially eradicated prior to our development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Moderna mRNA-1273 and Novavax NVX-CoV2373 COVID-19 vaccines have been approved and/or 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December 22, 2021, Pfizer, Inc. received an emergency use authorization from the FDA for Paxlovid, an orally administered SARS-CoV-2 protease inhibitor co-administered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Atea Pharmaceuticals, Inc., Jakafi by Incyte Corporation, and Kevzara by Sanofi S.A./Regeneron Pharmaceuticals, Inc. There are significant efforts by other companies globally to develop both therapeutic and prophylactic drug candidates.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pStyle w:val="TextBody"/>
        <w:bidi w:val="0"/>
        <w:spacing w:before="360" w:after="283"/>
        <w:jc w:val="left"/>
        <w:rPr>
          <w:rFonts w:ascii="Times New Roman" w:hAnsi="Times New Roman"/>
          <w:sz w:val="20"/>
        </w:rPr>
      </w:pPr>
      <w:r>
        <w:rPr>
          <w:rFonts w:ascii="Times New Roman" w:hAnsi="Times New Roman"/>
          <w:b/>
          <w:i/>
          <w:color w:val="000000"/>
          <w:sz w:val="20"/>
        </w:rPr>
        <w:t>The regulatory pathways for our drug candidates targeting SARS-CoV-2, the virus that causes COVID-19, are continually evolving, and may result in unexpected or unforeseen challenges.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drug candidates targeting SARS-CoV-2, the virus that causes COVID-19, are in the early discovery stages. The speed at which companies and institutions are acting to create and test many therapeutics and vaccines for COVID-19 is unusually rapid and evolving or changing plans or priorities within the FDA, including changes based on new knowledge of COVID-19 and how the disease affects the human body, may significantly affect the regulatory timelines for our COVID-19 drug candidates. Results from our continued development and planned clinical trials may raise new questions and require us to redesign proposed nonclinical studies and clinical trials, including revising proposed endpoints or adding new clinical trial sites or cohorts of subjects, with minimal lead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FDA has the authority to grant an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For instance, the FDA had granted an EUA for each of the COVID-19 vaccines developed by Pfizer/BioNTech, Moderna, and Janssen Pharmaceutical Companies of Johnson &amp; Johnson.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Depending on the outcomes of our planned nonclinical and initial clinical testing for our proposed COVID-19 therapies, we may seek an EUA for one or more of our drug candidates for use in the ongoing public health emergency, which would permit us to commercialize a drug candidate prior to FDA approval of an NDA. However, commercialization under an EUA is permitted only during the underlying public health emergency (as declared by the Secretary of the Department of Health and Human Services), meaning that once the emergency declaration is terminated, we would be required to obtain NDA approval to continue marketing the product. Furthermore, the FDA may revoke an EUA based on a determination that the product no longer satisfies the criteria for issuance of an EUA - for example, if there is no longer evidence of effectiveness of the product or there are other adequate, approved alternatives. Accordingly, we cannot predict how long, if at all, an EUA for any of our drug candidates may remain in place. Any termination or revocation of an EUA (if any) for one of our drug candidates could adversely impact our business in a variety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ways, including if one of our COVID-19 drug candidates is not yet approved by the FDA and if we and our manufacturing partners have invested in the supply chain to provide one of our COVID-19 drug candidates under an EUA.</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results of nonclinical studies and early-stage clinical trials may not be predictive of future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Interim, “topline” and preliminary data from our clinical trials may differ materially from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we may disclose interim data from our clinical trials, including candidates ALG</w:t>
        <w:noBreakHyphen/>
        <w:t>055009, ALG-000184, ALG-097558 and ALG-125755.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patient eligibility criteria defined in the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size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proximity of patients to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clinicians’ and patients’ perceptions as to the potential advantages of the drug candidate being studied in relation to other available therapies, including any new products that may be approved for the indications we are investigating;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obtain and maintain patient consents for participation in our clinical trials and, where appropriate, biopsies for future patient enrichment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risk that patients enrolled in clinical trials will not remain in the trial through the completion of evaluation;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disruption by man-made or natural disasters, or public health pandemics or epidemics or other business interruptions.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Delays in patient enrollment may result in increased costs or may affect the timing or outcome of clinical trials, which could prevent completion of these trials and adversely affect our ability to advance the development of our drug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methods of drug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risks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Furthermore, we plan to evaluate our drug candidates in combination with approved and/or experimental therapies. These combinations may have additional or more severe side effects than caused by our drug candidates as monotherapies or may cause side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effects at lower doses. The uncertainty resulting from the use of our drug candidates in combination with other therapies may make it difficult to accurately predict side effects in potential future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any of our drug candidates receives marketing approval and we or others later identify undesirable side effects caused by such products, a number of potentially significant negative consequences could occur,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authorities may withdraw their approval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required to recall a product or change the way such product is administered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additional restrictions may be imposed on the marketing of the particular product or the manufacturing processes for the product or any component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authorities may require the addition of labeling statements, such as a “black box” warning or a contraindication;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required to implement a Risk Evaluation and Mitigation Strategy (REMS) or create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could be sued and held liable for harm caused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product may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reputation may suffer.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a current or future drug candidate receives marketing approval, it may fail to achieve the degree of market acceptance by physicians, patients, third-party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The degree of market acceptance of any drug candidate, if approved for commercial sale, will depend on a number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efficacy and potential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ability to offer our products, if approved,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convenience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ability to obtain sufficient third-party coverage and adequate reimbursement, including with respect to the use of the approved product as a combination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adoption of a companion diagnostic and/or complementary diagnostic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prevalence and severity of any side effects. </w:t>
      </w:r>
    </w:p>
    <w:p>
      <w:pPr>
        <w:pStyle w:val="TextBody"/>
        <w:bidi w:val="0"/>
        <w:spacing w:before="360" w:after="283"/>
        <w:jc w:val="left"/>
        <w:rPr>
          <w:rFonts w:ascii="Times New Roman" w:hAnsi="Times New Roman"/>
          <w:sz w:val="20"/>
        </w:rPr>
      </w:pPr>
      <w:r>
        <w:rPr>
          <w:rFonts w:ascii="Times New Roman" w:hAnsi="Times New Roman"/>
          <w:b/>
          <w:i/>
          <w:color w:val="000000"/>
          <w:sz w:val="20"/>
        </w:rPr>
        <w:t>Adverse events in our therapeutic areas of focus, including hepatological indications and viral diseases, could damage public perception of our current or future drug candidates and negatively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Negative developments and negative public opinion of technologies on which we rely may damage public perception of our drug candidates or adversely affect our ability to conduct our business or obtain regulatory approvals for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restrictions on the marketing or manufacturing of the product,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fines, untitled and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refusal by the FDA or other regulatory authorities to approve pending applications or supplements to approved applications we filed or suspension or revocation of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 seizure or detention, or refusal to permit the import or export of the product;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injunctions or the imposition of civil or criminal penalties.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and maintain approval for our drug candidates from the FDA, we may never obtain approval outside the United States, which would limit our market opportunities.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(the EU)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Further, clinical trials conducted in one country may not be accepted by regulatory authorities in other countries. For example, we are conducting our initial clinical trials for ALG-055009, ALG-000184, ALG-097558 and ALG-125755 in many countries (e.g., New Zealand, Hong Kong, the United Kingdom),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pStyle w:val="TextBody"/>
        <w:bidi w:val="0"/>
        <w:spacing w:before="360" w:after="283"/>
        <w:jc w:val="left"/>
        <w:rPr>
          <w:rFonts w:ascii="Times New Roman" w:hAnsi="Times New Roman"/>
          <w:sz w:val="20"/>
        </w:rPr>
      </w:pPr>
      <w:r>
        <w:rPr>
          <w:rFonts w:ascii="Times New Roman" w:hAnsi="Times New Roman"/>
          <w:b/>
          <w:i/>
          <w:color w:val="000000"/>
          <w:sz w:val="20"/>
        </w:rPr>
        <w:t>Risks associated with our international operations, including seeking and obtaining approval to commercialize our drug candidates in foreign jurisdictions,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engage in international operations with offices in the United States, Belgium and China and intend to seek approval to market our drug candidates outside of the United States. We may also do so for future drug candidates. We expect that we are or will be subject to additional risks related to these international business markets and relationships,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different regulatory requirements for approval of drug candidates in foreign countries, including challenging processes for marketing biopharmaceutical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reduced protection for and enforcement of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heightened or different data privacy and information security laws, regulations and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unexpected changes in tariffs,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economic weakness, including inflation or political instability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production shortages resulting from any events affecting raw material supply or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business interruptions resulting from geopolitical actions, including war and terrorism, or natural disasters including earthquakes, typhoons, floods and fires;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disruptions resulting from the impact of public health pandemics or epidemics (including, for example, the COVID-19 pandemic).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there are complex regulatory, tax, labor and other legal requirements imposed by many of the individual countries in which we may operate, with which we will need to comply.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Relatedly,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Any resurgence of the virus or emergence of new variants may lead to further inspectional delays.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Regulatory authorities outside the United States may adopt similar restrictions or other policy measures in response to events such as the COVID-19 pandemic. 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market opportunities for our drug candidates are smaller than we believe or any approval we obtain is based on a narrower definition of the patient population, our business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COVID-19, HBV or other viral diseases as a result of their genetic makeup. In addition, the route of administration for our potential therapies could be inconvenient and/or not commercially viable, which could also limit the potential market for our therapies. If the market opportunities for our drug candidates are smaller than we estimate, it could have an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example, we believe NASH to be one of the most prevalent chronic liver diseases worldwide, however, our projections of the number of people who have NASH, as well as the subset of people with the disease who have the potential to benefit from treatment with our drug candidates, are based on our beliefs and estimates. The effort to identify patients with NASH is in early stages, and we cannot accurately predict the number of patients for whom treatment might be possible. NASH is often undiagnosed and may be left undiagnosed for a long time, partly because a definitive diagnosis of NASH is currently based on a histological assessment of a liver biopsy, which impairs the ability to easily identify patients. If improved diagnostic techniques for identifying NASH patients who will benefit from treatment are not developed, our market opportunity may be smaller than we currently anticipate. Further, if government authorities and third-party payors choose to limit coverage and reimbursement of our NASH drug candidate, such as limiting the number of patients’ treatment that would be covered and reimbursable, this could result in a smaller market opportunity for our NASH drug candidate than we anticipate.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intend to develop our current drug candidates, and expect to develop other future drug candidates, in combination with other therapies, which exposes us to additional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NASH,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significant competition, and if our competitors develop and market products that are more effective, safer or less expensive than the drug candidates we develop, our commercial opportunities will be negatively impacted.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There are a number of companies developing or marketing treatments for CHB, including Roche Holding AG (Roche), Gilead, Bristol-Myers Squibb Company, Arbutus Biopharma Corporation, Dicerna Pharmaceuticals, Inc. (together with Roche), Ionis Pharmaceuticals, Inc. (together with GSK), Arrowhead Pharmaceuticals, Inc. (together with Janssen Pharmaceuticals Company (Janssen)), Vir Biotechnology, Inc. (together with Alnylam Pharmaceuticals, Inc.), Johnson &amp; Johnson, Assembly Biosciences Inc., Enanta Pharmaceuticals, Altimmune, Inc., GSK, Janssen, Transgene SA, Dynavax Technologies, Inc., Merck and Replicor, Inc. There are also companies developing or marketing treatments or vaccines for COVID-19, including Soliris by Alexion Pharmaceuticals Inc., 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Vaxart, Inc., Enanta Pharmaceuticals, Novartis and Shionogi &amp; Co., Ltd. For example, BioNTech SE (together with Pfizer Inc.), Janssen Pharmaceutical Companies of Johnson &amp; Johnson and Moderna Inc. have developed COVID-19 vaccines that have received authorization for emergency use and/or regulatory approval are being widely administered.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The availability of such COVID-19 vaccines and each of Pfizer’s and Merck’s oral COVID-19 drug may reduce or eliminate the need for our potential COVID therapies to treat the disease and therefore negatively impact the commercial opportunity.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Furthermore, there are companies developing or marketing treatments for NASH, including AbbVie, Inc., AstraZeneca PLC/MedImmune LLC, Bristol-Myers Squibb Company, Eli Lilly and Company, FronThera US Pharmaceuticals LLC, Janssen, Merck, Novartis Pharmaceuticals Corporation (together with Pfizer, Inc.), Novo Nordisk A/S, Pfizer Inc., Roche, Sanofi S.A., Takeda Pharmaceutical Company Limited (together with HemoShear Therapeutics, LLC), 89bio, Inc., Akero Therapeutics, Inc., Cirius Therapeutics, Inc., Enanta Pharmaceuticals, Inc.,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Smaller and other early stage companies may also prove to be significant competitors. In addition, academic research departments and public and private research institutions may be conducting research on compounds that could prove to be competitive.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of our current or future drug candidates obtain regulatory approval, additional competitors could enter the market with generic versions of such products, which may result in a material decline in sales of our competing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are able to commercialize any drug candidates, such products may become subject to unfavorable pricing regulations or third-party coverage and reimbursement policies,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our efforts to identify or discover other drug candidates and may fail to capitalize on programs or drug candidates that may present a greater commercial opportunity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Phase 1 clinical trials of our drug candidates ALG</w:t>
        <w:noBreakHyphen/>
        <w:t>055009, ALG-000184, ALG-097558 and ALG-125755.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NASH.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Orphan Drug Designation for drug candidates we develop,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 Orphan Drug Designation for applicable indications for our current and any future drug candidates, we may never receive such designations. Even if we do receive such designations, there is no guarantee that we will enjoy the benefits of those designations.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required to make significant payments under our license agreements with Emory University, KU Leuven, and Luxna Biotech Co., Ltd.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entered into a License Agreement with Emory in June 2018 (the Emory License Agreement), a Research, Licensing and Commercialization Agreement with KU Leuven in June 2020 and an amendment in July 2023 and a License Agreement with Luxna in December 2018 and an amendment in April 2020 (as amended, the Luxna Agreement). Under the Emory License Agreement, KU Leuven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our Annual Report on Form 10-K for the year ended December 31, 2022, previously filed with the Securities and Exchange Commission. If these payments become due under the terms of the Emory University License Agreement, the KU Leuven Agreement or the Luxna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any approved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decreased demand for any approved product;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substantial monetary payments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adverse effects to our results of operations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inability to commercialize any drug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decline in our share price.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inability to obtain sufficient product liability insurance at an acceptable cost or at all to protect against potential product liability claims could prevent or inhibit the commercialization of products we develop, alone or with collaboration partners.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being covered under Medicare Part 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legislative changes have been proposed and adopted in the United States since the ACA was enacted. On August 2, 2011,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1, 2020 through March 31, 2022, unless additional Congressional action is taken. In addition, on January 2, 2013, the American Taxpayer Relief Act of 2012 was signed into law, which, among other things, further reduced Medicare payments to several types of providers. The American Rescue Plan Act of 2021 was also signed into law, which eliminates the statutory Medicaid drug rebate cap, currently set at 100% of a drug's average manufacturer price, beginning January 1, 2024.</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Moreover, payment methodologies may be subject to changes in healthcare legislation and regulatory initiatives.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Most recently,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and our partners may be subject to federal, state and foreign data privacy and security laws and regulations. Failure by us or our third-party vendors, collaborators, contractors and consultants to comply with any of these laws and regulations could result in notification obligations or enforcement actions against us, which could result in, among other things, fines,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Depending on the facts and circumstances, we could be subject to criminal penalties if we knowingly obtain, use, or disclose individually identifiable health information provided to us by a HIPAA-covered entity in a manner that is not authorized or permitted by HIPAA.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of 2018 (CCPA) went into effect on January 1, 2020. The CCPA, among other things, creates individual privacy rights for California consumers, such as the right to access and delete their personal information, opt-out of certain sales of personal information and receive detailed information about how their personal information is used. The CCPA provides for civil penalties for violations, as well as a private right of action for data breaches that is expected to increase the frequency of data breach litigation. The CCPA may increase our compliance costs and potential liability, and many similar laws have been proposed at the federal level and in other states. Further, the California Privacy Rights Act (CPRA), which significantly amends the CCPA, generally went into effect on January 1, 2023. The CPRA imposes additional data protection obligations on covered businesses, including additional consumer rights processes, limitations on data uses, new audit requirements for higher risk data, and opt outs for certain uses of sensitive data. It has also created a new California data protection agency authorized to issue substantive regulations and could result in increased privacy and information security enforcement, and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currently operate in countries outside of the United States, including Belgium, Australia and China, where laws may in some cases be more stringent than the requirements in the United States. For example, in Europe, the General Data Protection Regulation (GDPR) went into effect in May 2018 and imposes strict requirements for the collection, storage, use, disclosure, transfer and other processing of the personal data of individuals within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and EEA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could result in fines of up to €20 million or 4% of the total worldwide annual turnover of our preceding fiscal year, whichever is higher, and other administrative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 from January 1, 2021, we have to comply with the GDPR and also the United Kingdom GDPR (UK GDPR), which, together, with the amended Data Protection Act 2018, retains the GDPR in UK national law, the latter regime having the ability to separately fine up to the greater of £17.5 million or 4% of global turnover.</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GDPR further prohibits, without an appropriate legal basis, the transfer of personal data to countries outside of the EEA, such as the United States, which are not considered by the European Commission to provide an adequate level of data protection. Recent legal developments in Europe have created complexity and uncertainty regarding transfers of personal data from the EEA to the United States. For example,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and operations may suffer in the event that our information technology systems, or those used by our CROs or other contractors or consultants, fail or suffer security breaches.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Despite the implementation of security measures, our information technology systems and those of our CROs and other contractors and consultants are vulnerable to damage from cyber-attacks, computer hacks, theft, viruses, malicious software, phishing, employee error, denial-of-service attacks, unauthorized access and other security breaches that could jeopardize the performance of our software and computer systems, and could expose us to financial and reputational harm.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and certain of our service providers are from time to time subject to cyberattacks and security incidents. While we have not to our knowledge experienced any significant system failure or security breach to date, if such an event were to occur and cause interruptions in our operations, it could result in a material disruption of our development programs and our business operations. For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development and commercialization of our future drug candidates could be delayed. Further, our insurance coverage may not be sufficient to cover the financial, legal, business or reputational losses that may result from an interruption or breach of our systems.</w:t>
      </w:r>
    </w:p>
    <w:p>
      <w:pPr>
        <w:pStyle w:val="TextBody"/>
        <w:bidi w:val="0"/>
        <w:spacing w:before="360" w:after="283"/>
        <w:jc w:val="left"/>
        <w:rPr>
          <w:rFonts w:ascii="Times New Roman" w:hAnsi="Times New Roman"/>
          <w:sz w:val="20"/>
        </w:rPr>
      </w:pPr>
      <w:bookmarkStart w:id="17" w:name="risks_related_to_reliance_on_third_parti"/>
      <w:bookmarkEnd w:id="17"/>
      <w:r>
        <w:rPr>
          <w:rFonts w:ascii="Times New Roman" w:hAnsi="Times New Roman"/>
          <w:b/>
          <w:color w:val="000000"/>
          <w:sz w:val="20"/>
        </w:rPr>
        <w:t>Risks related to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currently collaborating with third parties to develop certain of our potential drug candidates. For example, we are collaborating with Merck with respect to the discovery, research and development of oligonucleotides against a NASH target.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Collaborations involving our current and future drug candidates may pose the following risks to us: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delay clinical trials, provide insufficient funding for a clinical trial program, stop a clinical trial, abandon a drug candidate, repeat or conduct new clinical trials or require a new formulation of a drug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could independently develop, or develop with third parties, products that compete directly or indirectly with our products (if any) or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collaborator with marketing, manufacturing and distribution rights to one or more products may not commit sufficient resources to or may otherwise not perform satisfactorily in carrying out these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own or co-own intellectual property covering products that result from our collaboration with them, and in such cases, we may not have the exclusive right to develop, license or commercialize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disputes may arise with respect to ownership of any intellectual property developed pursuant to our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disputes may arise between a collaborator or strategic partner and us that cause the delay or termination of the research, development or commercialization of the drug candidate, or that result in costly litigation or arbitration that diverts management attention and resources;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if a current or future collaborator of ours were to be involved in a business combination, the continued pursuit and emphasis on our product development or commercialization program under such collaboration could be delayed, diminished or terminated.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to establish additional collaborations, and, if we are not able to establish them on commercially reasonable terms, we may have to alter our development and commercialization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also be restricted under future collaboration agreements from entering into additional agreements on certain terms with potential collaborators.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there have been a significant number of recent business combinations among large pharmaceutical companies that have resulted in a reduced number of potential future collaborators.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conflicts arise between us and our collaborators or strategic partners, these parties may act in a manner adverse to us and could limit our ability to implement our strategies.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noBreakHyphen/>
        <w:t>055009, ALG</w:t>
        <w:noBreakHyphen/>
        <w:t>000184, ALG-097558 and ALG-125755,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undergo changes in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form relationships with other entities, some of which may be our competitors.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nonclinical or clinical data they obtain are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compromised due to the failure to adhere to our protocols, regulatory requirements or for other reasons,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reliance on the third 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possible 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possible termination or non-renewal of the agreement by the third party at a time that is costly or inconvenient for us.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Some of our third-party manufacturers which we use for the supply of materials for drug candidates or other materials necessary to manufacture product to conduct clinical trials could experience unexpected disruptions from man-made or natural disasters or public health pandemics or epidemics or other business interruptions which, if they occurred, might result in delays in advancing our clinical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8" w:name="risks_related_to_intellectual_property"/>
      <w:bookmarkEnd w:id="18"/>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CHB and NASH programs, we do not own or in-license any issued patents with claims that specifically recite our ALG-125755 or ALG-097558 drug candidates.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w:t>
      </w:r>
      <w:r>
        <w:rPr>
          <w:rFonts w:ascii="Times New Roman" w:hAnsi="Times New Roman"/>
          <w:b w:val="false"/>
          <w:i/>
          <w:color w:val="000000"/>
          <w:sz w:val="20"/>
        </w:rPr>
        <w:t>inter partes</w:t>
      </w:r>
      <w:r>
        <w:rPr>
          <w:rFonts w:ascii="Times New Roman" w:hAnsi="Times New Roman"/>
          <w:color w:val="000000"/>
          <w:sz w:val="20"/>
        </w:rPr>
        <w:t xml:space="preserve"> </w:t>
      </w:r>
      <w:r>
        <w:rPr>
          <w:rFonts w:ascii="Times New Roman" w:hAnsi="Times New Roman"/>
          <w:b w:val="false"/>
          <w:color w:val="000000"/>
          <w:sz w:val="20"/>
        </w:rPr>
        <w:t>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Centre for Drug Design and Discovery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whether and the extent to which technology and processes of one party infringe intellectual property of the other party that are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rights to sublicense patent and other rights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diligence obligations with respect to the use of the licensed technology in relation to development and commercialization of our drug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ownership of inventions and know-how resulting from the joint creation or use of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rights to transfer or assign the license;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effects of termination.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2022, previously filed with the SEC.</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obtain licenses from third parties on commercially reasonable terms or at all,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with respect to all fields except for the treatment and prevention of HBV. For more information regarding our license agreements, see the section titled “Business—License agreements and collaborations” of our Annual Report on Form 10-K for the year ended December 31, 2022, previously filed with the SEC. Any of the foregoing could harm our competitive position,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subject us to infringement claims or adversely affect our ability to develop and market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aware of certain third-party issued patents and pending patent applications, including those of our competitors, that, if issued with their current claim scope, may be construed to cover our drug candidates, including ALG</w:t>
        <w:noBreakHyphen/>
        <w:t>055009 and ALG-125755.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terms may be inadequate to establish our competitive position on our drug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2012, the European Patent Package, or EU Patent Package, regulations were passed with the goal of providing a single pan-European Unitary Patent and a new European Unified Patent Court, or UPC, for litigation involving European patents. The Unitary Patent system and UPC successfully launched on June 1,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Times New Roman" w:hAnsi="Times New Roman"/>
          <w:b w:val="false"/>
          <w:i/>
          <w:color w:val="000000"/>
          <w:sz w:val="20"/>
        </w:rPr>
        <w:t>inter partes</w:t>
      </w:r>
      <w:r>
        <w:rPr>
          <w:rFonts w:ascii="Times New Roman" w:hAnsi="Times New Roman"/>
          <w:color w:val="000000"/>
          <w:sz w:val="20"/>
        </w:rPr>
        <w:t xml:space="preserve"> </w:t>
      </w:r>
      <w:r>
        <w:rPr>
          <w:rFonts w:ascii="Times New Roman" w:hAnsi="Times New Roman"/>
          <w:b w:val="false"/>
          <w:color w:val="000000"/>
          <w:sz w:val="20"/>
        </w:rPr>
        <w:t>review and derivation proceedings. The USPTO has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and could negatively impact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by third parties asserting that we or our employees have infringed, misappropriated or otherwise violated their intellectual property rights, or claiming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degree of future protection, if any,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others may be able to make products that are similar to any drug candidates we may develop or utilize similar technology but that are not covered by the claims of the patents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or our current or future licensors or collaborators might not have been the first to make the inventions covered by the issued patent or pending patent application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it is possible that our pending owned or licensed patent applications or those that we may own or license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issued patents that we hold rights to may be held invalid or unenforceable, including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intellectual property rights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choose not to file a patent in order to maintain certain trade secrets or know-how, and a third party may subsequently file a patent directed to such intellectual property.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Should any of these events occur, they could harm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employee matters, managing our growth and other 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highly dependent on our management, scientific and medical personnel.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currently have no sales organization. If we are unable to establish sales capabilities on our own or through third parties, we may not be able to market and sell any products effectively, if approved, or generate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we had 68 full-time employees, including 52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identifying, recruiting, integrating, maintaining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managing our internal development efforts effectively, including the clinical and FDA review process for our current drug candidates and any other drug candidate we develop, while complying with our contractual obligations to contractors and other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expanding and enhancing our operational, financial and management controls, reporting systems and procedures.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or other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corporate headquarters and other facilities are located in the San Francisco Bay Area, which in the past has experienced both severe earthquakes and wildfires. We are also conducting clinical trials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independent contractors, vendors, principal investigators, CROs, consultants and collaborators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price of our common stock may be volatile and fluctuate substantially, which could result in substantial losses for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success of our and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results of clinical trials and nonclinical studies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developments or disputes concerning patent applications, issued patents or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level of expenses related to our drug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results of our efforts to discover, develop, acquire or in-license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general economic, political, and market conditions and overall fluctuations in the financial markets in the United States and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COVID-19 pandemic or future public health pandemics or epidemics;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investors’ general perception of us and our business.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An active trading market for our common stock may not be sustained.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Prior to our initial public offering in October 2020, there was no public market for shares of our common stock and an active trading market for our shares may not be sustained. In the absence of an active trading market for our common stock, investors may not be able to sell their common stock at a price or at the time that they would like to sell.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An inactive market may also impair our ability to raise capital by selling shares and may impair our ability to acquire other drug candidates, businesses, or technologies using our shares as consideration.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intend to pay dividends on our common stock so any returns will be limited to the value of our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$1.235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executive officers, directors and their affiliates have significant influence over our company, which will limit an investor’s ability to influence corporate matters and could delay or prevent a change in corporate control.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our executive officers, directors and their affiliates beneficially own, in the aggregate, approximately 51.2% of our outstanding common stock (assuming all shares of non-voting common stock are converted into voting common stock in accordance with the terms of our amended and restated certificate of incorporation). In addition, in our October 2023 private placement, certain of the holders of 5% or more of our capital stock acquired pre-funded warrants to purchase shares of our common stock (which are immediately exercisable and have an exercise price of $0.0001 per share) and common warrants to purchase shares of our common stock (which are immediately exercisable and have an exercise price of $0.7568 per share). Until exercised, the shares issuable upon the exercise of the pre-funded warrants and the common warrants are not included in the number of our outstanding shares of common stock. If such holders exercise their warrants, then the shares of our capital stock beneficially owned by our executive officers, directors, holders of 5% or more of our capital stock and their respective affiliates would increase significantly.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delaying, deferring or preventing a change of control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impeding a merger, consolidation, takeover or other business combination involving us;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discouraging a potential acquirer from making a tender offer or otherwise attempting to obtain control of us. </w:t>
      </w:r>
    </w:p>
    <w:p>
      <w:pPr>
        <w:pStyle w:val="TextBody"/>
        <w:bidi w:val="0"/>
        <w:spacing w:before="360" w:after="283"/>
        <w:jc w:val="left"/>
        <w:rPr>
          <w:rFonts w:ascii="Times New Roman" w:hAnsi="Times New Roman"/>
          <w:sz w:val="20"/>
        </w:rPr>
      </w:pPr>
      <w:r>
        <w:rPr>
          <w:rFonts w:ascii="Times New Roman" w:hAnsi="Times New Roman"/>
          <w:b/>
          <w:i/>
          <w:color w:val="000000"/>
          <w:sz w:val="20"/>
        </w:rPr>
        <w:t>The dual class structure of our common stock may limit the ability to influence corporate matters and may limit the visibility with respect to certain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September 30, 2023, we had 3,092,338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Securities Exchange Act), and may not be subject to the short-swing profit provisions of Section 16(b) of the Exchange Act.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our existing stockholders sell, or indicate an intention to sell, substantial amounts of our common stock in the public market, the market price of our common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approximately 12.5 million shares of common stock that are either subject to outstanding options or reserved for future issuance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the holders of approximately 43.5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 Code Section 382 analysis in 2021 and determined there was an ownership change that resulted in Section 382 limitations. The ownership change limited our ability to utilize NOLs against future taxable income but will not result in the expiration of any NOLs.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Pursuant to Section 404 of Sarbanes-Oxley, our management is required to report upon the effectiveness of our internal control over financial reporting for our fiscal year ended December 31, 2022.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no cumulative voting in the election of directors, which limits the ability of minority stockholders to elect director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ability of our board of directors to alter our amended and restated bylaws without obtaining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amended and restated certificate of incorporation and amended and restated bylaws provide that we will indemnify our directors and officers, in each case to the fullest extent permitted by Delaware law.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as permitted by Section 145 of the Delaware General Corporation Law, our amended and restated bylaws and our indemnification agreements that we have entered into with our directors and officers provide that: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in our discretion, indemnify employees and agents in those circumstances where indemnification is permitted by applicable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rights conferred in our amended and restated bylaws are not exclusive, and we are authorized to enter and have entered into indemnification agreements with our directors, officers, employees and agents and to obtain insurance to indemnify such persons;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not retroactively amend our amended and restated bylaw provisions to reduce our indemnification obligations to directors, officers, employees and agents.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 date, we have primarily financed our operations through the sale of common stock, preferred stock and convertible notes.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global economic conditions could adversely affect our business, financial condition, stock price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results of operations could be adversely affected by general conditions in the global economy and in the global financial markets, including due to the current inflationary economic environment and rising interest rates.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 Russia began a full-scale invasion of Ukraine in February 2022 which is the largest conventional military attack in Europe since World II and has triggered unprecedented sanctions against Russia. While the situation remains highly fluid and the outlook of such war in Ukraine is subject to extraordinary uncertainty, the ongoing war and associated sanctions will likely have a severe impact on the global economy. A severe or prolonged economic downturn, such as the 2008 global financial crisis, and one that could be caused by the war in Ukraine, could result in a variety of risks to our business, including, weakened demand for any drug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insurance policies are expensive and protect us only from some business risks, which leaves us exposed to significant uninsured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continuing impact of "Brexit" may have a negative effect on our business.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Following a national referendum and subsequent legislation, the United Kingdom formally withdrew from the European Union, commonly referred to as “Brexit,” and ratified a trade and cooperation agreement governing its future relationship with the European Union. Among other things, the agreement, which became effective in 2021, addresses trade, economic arrangements, law enforcement, judicial cooperation and governance. Because the agreement merely sets forth a framework in many respects that requires complex additional bilateral negotiations between the United Kingdom and the European Union, significant uncertainty remains about how the precise terms of the relationship between the parties will differ from the terms before withdrawal.</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cannot yet predict the full implications of Brexit, including whether it will increase our operational costs or otherwise have a negative effect on our business, financial condition or results of operations, which could reduce the price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violations of which can have serious negative consequences for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Periodic maintenance fees, renewal fees, annuity fees, and various other fees are required to be paid to the USPTO and foreign patent agencies in several stages over the lifetime of a patent. In certain circumstances, we rely on our collaborators or licensors to pay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litigation could cause us to spend substantial resources and distract our personnel from their normal responsibilities.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in the future engage in strategic transactions; such transactions could affect our liquidity, dilute our existing stockholders, increase our expenses and present significant challenges in focus and energy to our management or prove not to be 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we may consider strategic transactions, such as acquisitions of companies, asset purchases and out-licensing or in-licensing of intellectual property, products or technologies.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Public health pandemics or epidemics, political instability, terrorist attacks, other acts of violence or war, or other unexpected events could materially and adversely impact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Current or future litigation or administrative proceedings could have a material adverse effect on our business, our financial condition and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significantly increased costs as a result of operating as a public company, and our management is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a public company, we incur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experience fluctuations in our tax obligations and effective tax rate, which could materially and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shares outstanding and resulting market valuation do not reflect shares of our common stock issuable upon the exercise of pre-funded warrants and common warrants that are exercisable at the discretion of the holders of such warrants. If we sell shares of our common stock in future financings, stockholders may experience immediate dilution and, as a result, our stock price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in October 2023, we closed a private placement which included the sale of pre-funded warrants and common warrants to purchase shares of our common stock. If we issue common stock or securities convertible into common stock, our common stockholders would experience additional dilution, such dilutive impact may be difficult to compute, and our stock price may decline.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bookmarkStart w:id="19" w:name="item_2_unregistered_sales_equity_securit"/>
      <w:bookmarkEnd w:id="19"/>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Unregistered sales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proceeds from our IPO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15, 2020, our registration statement on Form S-1 (File No. 333-249077) relating to our IPO of Common Stock became effective. The IPO closed on October 20, 2020 at which time we issued 10,000,000 shares of common stock at a public offering price of $15.00 per share. We received net proceeds from the IPO of approximately $135.4 million, after deducting the underwriting discounts and commissions of $10.5 million and expenses of $4.1 million. None of the expenses associated with the IPO were paid to directors, officers, persons owning 10% or more of any class of equity securities, or to our affiliates. On November 5, 2020 the underwriters of the IPO partially exercised their overallotment option by purchasing an additional 1,150,000 shares from us at the IPO price, resulting in an additional $16.0 million in net proceeds after deducting the underwriting discounts and commissions. J.P. Morgan Securities LLC, Jefferies LLC, Piper Sandler &amp; Co. acted as joint book-running managers for the offering.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There has been no material change in the planned use of proceeds from the IPO from that described in the prospectus filed with the SEC pursuant to Rule 424(b)(4) under the Securities Act on October 19, 2020.</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Issuer purchasers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0" w:name="item_3_defaults_upon_senior_securities"/>
      <w:bookmarkEnd w:id="20"/>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1" w:name="item_4_mine_safety_disclosures"/>
      <w:bookmarkEnd w:id="21"/>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22" w:name="item_5_or_information"/>
      <w:bookmarkEnd w:id="22"/>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3" w:name="exhibits"/>
      <w:bookmarkEnd w:id="23"/>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0"/>
        <w:gridCol w:w="146"/>
        <w:gridCol w:w="5416"/>
        <w:gridCol w:w="146"/>
        <w:gridCol w:w="351"/>
        <w:gridCol w:w="146"/>
        <w:gridCol w:w="670"/>
        <w:gridCol w:w="146"/>
        <w:gridCol w:w="466"/>
        <w:gridCol w:w="146"/>
        <w:gridCol w:w="793"/>
        <w:gridCol w:w="691"/>
        <w:gridCol w:w="146"/>
        <w:gridCol w:w="192"/>
      </w:tblGrid>
      <w:tr>
        <w:trPr/>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9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750"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41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79"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3" w:type="dxa"/>
            <w:vMerge w:val="restart"/>
            <w:tcBorders>
              <w:bottom w:val="single" w:sz="4" w:space="0" w:color="000000"/>
            </w:tcBorders>
            <w:tcMar>
              <w:top w:w="0" w:type="dxa"/>
              <w:left w:w="0" w:type="dxa"/>
              <w:right w:w="0" w:type="dxa"/>
            </w:tcMar>
            <w:vAlign w:val="center"/>
          </w:tcPr>
          <w:p>
            <w:pPr>
              <w:pStyle w:val="TableContents"/>
              <w:bidi w:val="0"/>
              <w:ind w:left="0" w:right="0" w:firstLine="12"/>
              <w:jc w:val="center"/>
              <w:rPr>
                <w:rFonts w:ascii="Times New Roman" w:hAnsi="Times New Roman"/>
                <w:b/>
                <w:color w:val="000000"/>
                <w:sz w:val="16"/>
              </w:rPr>
            </w:pPr>
            <w:r>
              <w:rPr>
                <w:rFonts w:ascii="Times New Roman" w:hAnsi="Times New Roman"/>
                <w:b/>
                <w:color w:val="000000"/>
                <w:sz w:val="16"/>
              </w:rPr>
              <w:t>Provided</w:t>
            </w:r>
          </w:p>
          <w:p>
            <w:pPr>
              <w:pStyle w:val="TableContents"/>
              <w:bidi w:val="0"/>
              <w:spacing w:before="0" w:after="283"/>
              <w:ind w:left="0" w:right="0" w:firstLine="12"/>
              <w:jc w:val="center"/>
              <w:rPr>
                <w:rFonts w:ascii="Times New Roman" w:hAnsi="Times New Roman"/>
                <w:b/>
                <w:color w:val="000000"/>
                <w:sz w:val="16"/>
              </w:rPr>
            </w:pPr>
            <w:r>
              <w:rPr>
                <w:rFonts w:ascii="Times New Roman" w:hAnsi="Times New Roman"/>
                <w:b/>
                <w:color w:val="000000"/>
                <w:sz w:val="16"/>
              </w:rPr>
              <w:t>Herewith</w:t>
            </w:r>
          </w:p>
        </w:tc>
        <w:tc>
          <w:tcPr>
            <w:tcW w:w="69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750"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1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2"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ind w:left="0" w:right="0" w:firstLine="12"/>
              <w:jc w:val="left"/>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Amended and Restated Certificate of Incorporation.</w:t>
              </w:r>
            </w:hyperlink>
            <w:hyperlink r:id="rId3">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10/20/2020</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Amended and Restated Bylaws.</w:t>
              </w:r>
            </w:hyperlink>
            <w:hyperlink r:id="rId5">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10/20/2020</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4.1</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rFonts w:ascii="Times New Roman" w:hAnsi="Times New Roman"/>
                <w:b w:val="false"/>
                <w:color w:val="000000"/>
                <w:sz w:val="20"/>
              </w:rPr>
              <w:t xml:space="preserve">Reference is made to Exhibits </w:t>
            </w:r>
            <w:hyperlink r:id="rId6">
              <w:r>
                <w:rPr>
                  <w:rStyle w:val="InternetLink"/>
                  <w:rFonts w:ascii="Times New Roman" w:hAnsi="Times New Roman"/>
                  <w:b w:val="false"/>
                  <w:color w:val="0000FF"/>
                  <w:sz w:val="20"/>
                  <w:u w:val="single"/>
                </w:rPr>
                <w:t>3.1</w:t>
              </w:r>
            </w:hyperlink>
            <w:r>
              <w:rPr>
                <w:rFonts w:ascii="Times New Roman" w:hAnsi="Times New Roman"/>
                <w:color w:val="000000"/>
                <w:sz w:val="20"/>
              </w:rPr>
              <w:t> </w:t>
            </w:r>
            <w:r>
              <w:rPr>
                <w:rFonts w:ascii="Times New Roman" w:hAnsi="Times New Roman"/>
                <w:b w:val="false"/>
                <w:color w:val="000000"/>
                <w:sz w:val="20"/>
              </w:rPr>
              <w:t xml:space="preserve">and </w:t>
            </w:r>
            <w:hyperlink r:id="rId7">
              <w:r>
                <w:rPr>
                  <w:rStyle w:val="InternetLink"/>
                  <w:rFonts w:ascii="Times New Roman" w:hAnsi="Times New Roman"/>
                  <w:b w:val="false"/>
                  <w:color w:val="0000FF"/>
                  <w:sz w:val="20"/>
                  <w:u w:val="single"/>
                </w:rPr>
                <w:t>3.2</w:t>
              </w:r>
            </w:hyperlink>
            <w:r>
              <w:rPr>
                <w:rFonts w:ascii="Times New Roman" w:hAnsi="Times New Roman"/>
                <w:b w:val="false"/>
                <w:color w:val="000000"/>
                <w:sz w:val="20"/>
              </w:rPr>
              <w:t>.</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4.2</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hyperlink r:id="rId8">
              <w:r>
                <w:rPr>
                  <w:rStyle w:val="InternetLink"/>
                  <w:rFonts w:ascii="Times New Roman" w:hAnsi="Times New Roman"/>
                  <w:b w:val="false"/>
                  <w:color w:val="0000FF"/>
                  <w:sz w:val="20"/>
                  <w:u w:val="single"/>
                </w:rPr>
                <w:t>Form of Common Stock Certificate.</w:t>
              </w:r>
            </w:hyperlink>
          </w:p>
        </w:tc>
        <w:tc>
          <w:tcPr>
            <w:tcW w:w="146"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S-1/A</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10/9/2020</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4.2</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4.3</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hyperlink r:id="rId9">
              <w:r>
                <w:rPr>
                  <w:rStyle w:val="InternetLink"/>
                  <w:rFonts w:ascii="Times New Roman" w:hAnsi="Times New Roman"/>
                  <w:b w:val="false"/>
                  <w:color w:val="0000FF"/>
                  <w:sz w:val="20"/>
                  <w:u w:val="single"/>
                </w:rPr>
                <w:t>Form of Common Warrant Agreement</w:t>
              </w:r>
            </w:hyperlink>
            <w:r>
              <w:rPr>
                <w:rFonts w:ascii="Times New Roman" w:hAnsi="Times New Roman"/>
                <w:b w:val="false"/>
                <w:color w:val="000000"/>
                <w:sz w:val="20"/>
              </w:rPr>
              <w:t>.</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10/25/2023</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4.2</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4.4</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hyperlink r:id="rId10">
              <w:r>
                <w:rPr>
                  <w:rStyle w:val="InternetLink"/>
                  <w:rFonts w:ascii="Times New Roman" w:hAnsi="Times New Roman"/>
                  <w:b w:val="false"/>
                  <w:color w:val="0000FF"/>
                  <w:sz w:val="20"/>
                  <w:u w:val="single"/>
                </w:rPr>
                <w:t>Form of Pre-Funded Warrant Agreement</w:t>
              </w:r>
            </w:hyperlink>
            <w:r>
              <w:rPr>
                <w:rFonts w:ascii="Times New Roman" w:hAnsi="Times New Roman"/>
                <w:b w:val="false"/>
                <w:color w:val="000000"/>
                <w:sz w:val="20"/>
              </w:rPr>
              <w:t>.</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10/25/2023</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hyperlink r:id="rId11">
              <w:r>
                <w:rPr>
                  <w:rStyle w:val="InternetLink"/>
                  <w:rFonts w:ascii="Times New Roman" w:hAnsi="Times New Roman"/>
                  <w:b w:val="false"/>
                  <w:color w:val="0000FF"/>
                  <w:sz w:val="20"/>
                  <w:u w:val="single"/>
                </w:rPr>
                <w:t>Form of Securities Purchase Agreement</w:t>
              </w:r>
            </w:hyperlink>
            <w:r>
              <w:rPr>
                <w:rFonts w:ascii="Times New Roman" w:hAnsi="Times New Roman"/>
                <w:b w:val="false"/>
                <w:color w:val="000000"/>
                <w:sz w:val="20"/>
              </w:rPr>
              <w:t>.</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10/25/2023</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hyperlink w:anchor="algs-ex31_1.htm">
              <w:r>
                <w:rPr>
                  <w:rStyle w:val="InternetLink"/>
                  <w:rFonts w:ascii="Times New Roman" w:hAnsi="Times New Roman"/>
                  <w:b w:val="false"/>
                  <w:color w:val="0000FF"/>
                  <w:sz w:val="20"/>
                  <w:u w:val="single"/>
                </w:rPr>
                <w:t>Certification of Principal Executive Officer Pursuant to Rules 13a-14(a) and 15d-14(a) under the Securities Exchange Act of 1934, as Adopted Pursuant to Section 302 of the Sarbanes-Oxley Act of 2002.</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hyperlink w:anchor="algs-ex31_2.htm">
              <w:r>
                <w:rPr>
                  <w:rStyle w:val="InternetLink"/>
                  <w:rFonts w:ascii="Times New Roman" w:hAnsi="Times New Roman"/>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hyperlink w:anchor="algs-ex32_1.htm">
              <w:r>
                <w:rPr>
                  <w:rStyle w:val="InternetLink"/>
                  <w:rFonts w:ascii="Times New Roman" w:hAnsi="Times New Roman"/>
                  <w:b w:val="false"/>
                  <w:color w:val="0000FF"/>
                  <w:sz w:val="20"/>
                  <w:u w:val="single"/>
                </w:rPr>
                <w:t>Certification of Principal Executive Officer Pursuant to 18 U.S.C. Section 1350, as Adopted Pursuant to Section 906 of the Sarbanes-Oxley Act of 2002.</w:t>
              </w:r>
            </w:hyperlink>
            <w:hyperlink w:anchor="algs-ex32_1.htm">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32.2*</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hyperlink w:anchor="algs-ex32_2.htm">
              <w:r>
                <w:rPr>
                  <w:rStyle w:val="InternetLink"/>
                  <w:rFonts w:ascii="Times New Roman" w:hAnsi="Times New Roman"/>
                  <w:b w:val="false"/>
                  <w:color w:val="0000FF"/>
                  <w:sz w:val="20"/>
                  <w:u w:val="single"/>
                </w:rPr>
                <w:t>Certification of Principal Financial Officer Pursuant to 18 U.S.C. Section 1350, as Adopted Pursuant to Section 906 of the Sarbanes-Oxley Act of 2002.</w:t>
              </w:r>
            </w:hyperlink>
            <w:hyperlink w:anchor="algs-ex32_2.htm">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541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cover page from the Company’s Quarterly Report on Form 10-Q for the quarter ended September 30, 2023 has been formatted in Inline XBRL.</w:t>
            </w:r>
          </w:p>
        </w:tc>
        <w:tc>
          <w:tcPr>
            <w:tcW w:w="146"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93"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5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7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4" w:name="signatures"/>
      <w:bookmarkEnd w:id="24"/>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requirements of the Securities Exchange Act of 1934, as amended,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jc w:val="left"/>
        <w:rPr/>
      </w:pPr>
      <w:r>
        <w:rPr/>
        <w:t> </w:t>
      </w:r>
    </w:p>
    <w:tbl>
      <w:tblPr>
        <w:tblW w:w="6239" w:type="dxa"/>
        <w:jc w:val="left"/>
        <w:tblInd w:w="0" w:type="dxa"/>
        <w:tblLayout w:type="fixed"/>
        <w:tblCellMar>
          <w:top w:w="28" w:type="dxa"/>
          <w:left w:w="28" w:type="dxa"/>
          <w:bottom w:w="28" w:type="dxa"/>
          <w:right w:w="28" w:type="dxa"/>
        </w:tblCellMar>
      </w:tblPr>
      <w:tblGrid>
        <w:gridCol w:w="2101"/>
        <w:gridCol w:w="326"/>
        <w:gridCol w:w="406"/>
        <w:gridCol w:w="3406"/>
      </w:tblGrid>
      <w:tr>
        <w:trPr/>
        <w:tc>
          <w:tcPr>
            <w:tcW w:w="210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812" w:type="dxa"/>
            <w:gridSpan w:val="2"/>
            <w:tcBorders/>
            <w:vAlign w:val="center"/>
          </w:tcPr>
          <w:p>
            <w:pPr>
              <w:pStyle w:val="TableContents"/>
              <w:pBdr/>
              <w:bidi w:val="0"/>
              <w:spacing w:before="0" w:after="283"/>
              <w:ind w:left="0" w:right="0" w:hanging="240"/>
              <w:jc w:val="left"/>
              <w:rPr>
                <w:rFonts w:ascii="Times New Roman" w:hAnsi="Times New Roman"/>
                <w:b w:val="false"/>
                <w:color w:val="000000"/>
                <w:sz w:val="20"/>
              </w:rPr>
            </w:pPr>
            <w:r>
              <w:rPr>
                <w:rFonts w:ascii="Times New Roman" w:hAnsi="Times New Roman"/>
                <w:b w:val="false"/>
                <w:color w:val="000000"/>
                <w:sz w:val="20"/>
              </w:rPr>
              <w:t>ALIGOS THERAPEUTICS, INC.</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40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Lawrence Blatt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Lawrence Blatt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Chairman and Chief Executive Officer</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40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Lesley Ann Calhoun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Lesley Ann Calhoun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bookmarkStart w:id="25" w:name="algs-ex31_1.htm"/>
      <w:bookmarkStart w:id="26" w:name="ksalgsex31_1"/>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Lawrence Blatt,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 have reviewed this Quarterly Report on Form 10-Q of Aligos Therapeutics, Inc.;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6067" w:type="dxa"/>
        <w:jc w:val="left"/>
        <w:tblInd w:w="0" w:type="dxa"/>
        <w:tblLayout w:type="fixed"/>
        <w:tblCellMar>
          <w:top w:w="28" w:type="dxa"/>
          <w:left w:w="28" w:type="dxa"/>
          <w:bottom w:w="28" w:type="dxa"/>
          <w:right w:w="28" w:type="dxa"/>
        </w:tblCellMar>
      </w:tblPr>
      <w:tblGrid>
        <w:gridCol w:w="2101"/>
        <w:gridCol w:w="109"/>
        <w:gridCol w:w="406"/>
        <w:gridCol w:w="345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45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Lawrence Blatt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Lawrence Blatt</w:t>
            </w:r>
            <w:r>
              <w:rPr>
                <w:rFonts w:ascii="Times New Roman" w:hAnsi="Times New Roman"/>
                <w:color w:val="000000"/>
                <w:sz w:val="20"/>
              </w:rPr>
              <w:t xml:space="preserve">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Chairman and Chief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algs-ex31_2.htm"/>
      <w:bookmarkStart w:id="28" w:name="ksalgsex31_2"/>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Lesley Ann Calhoun,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 have reviewed this Quarterly Report on Form 10-Q of Aligos Therapeutics, Inc.;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762" w:type="dxa"/>
        <w:jc w:val="left"/>
        <w:tblInd w:w="0" w:type="dxa"/>
        <w:tblLayout w:type="fixed"/>
        <w:tblCellMar>
          <w:top w:w="28" w:type="dxa"/>
          <w:left w:w="28" w:type="dxa"/>
          <w:bottom w:w="28" w:type="dxa"/>
          <w:right w:w="28" w:type="dxa"/>
        </w:tblCellMar>
      </w:tblPr>
      <w:tblGrid>
        <w:gridCol w:w="2101"/>
        <w:gridCol w:w="109"/>
        <w:gridCol w:w="406"/>
        <w:gridCol w:w="214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1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Lesley Ann Calhoun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Lesley Ann Calhoun</w:t>
            </w:r>
            <w:r>
              <w:rPr>
                <w:rFonts w:ascii="Times New Roman" w:hAnsi="Times New Roman"/>
                <w:color w:val="000000"/>
                <w:sz w:val="20"/>
              </w:rPr>
              <w:t xml:space="preserve">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algs-ex32_1.htm"/>
      <w:bookmarkStart w:id="30" w:name="ksalgsex32_1"/>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Quarterly Report of Aligos Therapeutics, Inc. (the “Company”) on Form 10-Q for the period ending September 30, 2023 as filed with the Securities and Exchange Commission on the date hereof (the “Report”), I certify, pursuant to 18 U.S.C. § 1350, as adopted pursuant to § 906 of the Sarbanes-Oxley Act of 2002,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information contained in the Report fairly presents, in all material respects, the financial condition and result of operations of the Company. </w:t>
      </w:r>
    </w:p>
    <w:p>
      <w:pPr>
        <w:pStyle w:val="TextBody"/>
        <w:bidi w:val="0"/>
        <w:jc w:val="left"/>
        <w:rPr/>
      </w:pPr>
      <w:r>
        <w:rPr/>
        <w:t> </w:t>
      </w:r>
    </w:p>
    <w:tbl>
      <w:tblPr>
        <w:tblW w:w="6067" w:type="dxa"/>
        <w:jc w:val="left"/>
        <w:tblInd w:w="0" w:type="dxa"/>
        <w:tblLayout w:type="fixed"/>
        <w:tblCellMar>
          <w:top w:w="28" w:type="dxa"/>
          <w:left w:w="28" w:type="dxa"/>
          <w:bottom w:w="28" w:type="dxa"/>
          <w:right w:w="28" w:type="dxa"/>
        </w:tblCellMar>
      </w:tblPr>
      <w:tblGrid>
        <w:gridCol w:w="2101"/>
        <w:gridCol w:w="109"/>
        <w:gridCol w:w="406"/>
        <w:gridCol w:w="345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45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Lawrence Blatt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Lawrence Blatt</w:t>
            </w:r>
            <w:r>
              <w:rPr>
                <w:rFonts w:ascii="Times New Roman" w:hAnsi="Times New Roman"/>
                <w:color w:val="000000"/>
                <w:sz w:val="20"/>
              </w:rPr>
              <w:t xml:space="preserve">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Chairman and Chief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algs-ex32_2.htm"/>
      <w:bookmarkStart w:id="32" w:name="ksalgsex32_2"/>
      <w:bookmarkEnd w:id="31"/>
      <w:bookmarkEnd w:id="3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Quarterly Report of Aligos Therapeutics, Inc. (the “Company”) on Form 10-Q for the period ending September 30, 2023 as filed with the Securities and Exchange Commission on the date hereof (the “Report”), I certify, pursuant to 18 U.S.C. § 1350, as adopted pursuant to § 906 of the Sarbanes-Oxley Act of 2002,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information contained in the Report fairly presents, in all material respects, the financial condition and result of operations of the Company. </w:t>
      </w:r>
    </w:p>
    <w:p>
      <w:pPr>
        <w:pStyle w:val="TextBody"/>
        <w:bidi w:val="0"/>
        <w:jc w:val="left"/>
        <w:rPr/>
      </w:pPr>
      <w:r>
        <w:rPr/>
        <w:t> </w:t>
      </w:r>
    </w:p>
    <w:tbl>
      <w:tblPr>
        <w:tblW w:w="4762" w:type="dxa"/>
        <w:jc w:val="left"/>
        <w:tblInd w:w="0" w:type="dxa"/>
        <w:tblLayout w:type="fixed"/>
        <w:tblCellMar>
          <w:top w:w="28" w:type="dxa"/>
          <w:left w:w="28" w:type="dxa"/>
          <w:bottom w:w="28" w:type="dxa"/>
          <w:right w:w="28" w:type="dxa"/>
        </w:tblCellMar>
      </w:tblPr>
      <w:tblGrid>
        <w:gridCol w:w="2101"/>
        <w:gridCol w:w="109"/>
        <w:gridCol w:w="406"/>
        <w:gridCol w:w="214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1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Lesley Ann Calhoun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Lesley Ann Calhoun</w:t>
            </w:r>
            <w:r>
              <w:rPr>
                <w:rFonts w:ascii="Times New Roman" w:hAnsi="Times New Roman"/>
                <w:color w:val="000000"/>
                <w:sz w:val="20"/>
              </w:rPr>
              <w:t xml:space="preserve">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9448/000119312520272852/d46540dex31.htm" TargetMode="External"/><Relationship Id="rId3" Type="http://schemas.openxmlformats.org/officeDocument/2006/relationships/hyperlink" Target="https://www.sec.gov/Archives/edgar/data/1799448/000119312520272852/d46540dex31.htm" TargetMode="External"/><Relationship Id="rId4" Type="http://schemas.openxmlformats.org/officeDocument/2006/relationships/hyperlink" Target="https://www.sec.gov/Archives/edgar/data/1799448/000119312520272852/d46540dex32.htm" TargetMode="External"/><Relationship Id="rId5" Type="http://schemas.openxmlformats.org/officeDocument/2006/relationships/hyperlink" Target="https://www.sec.gov/Archives/edgar/data/1799448/000119312520272852/d46540dex32.htm" TargetMode="External"/><Relationship Id="rId6" Type="http://schemas.openxmlformats.org/officeDocument/2006/relationships/hyperlink" Target="https://www.sec.gov/Archives/edgar/data/1799448/000119312520272852/d46540dex31.htm" TargetMode="External"/><Relationship Id="rId7" Type="http://schemas.openxmlformats.org/officeDocument/2006/relationships/hyperlink" Target="https://www.sec.gov/Archives/edgar/data/1799448/000119312520272852/d46540dex32.htm" TargetMode="External"/><Relationship Id="rId8" Type="http://schemas.openxmlformats.org/officeDocument/2006/relationships/hyperlink" Target="https://www.sec.gov/Archives/edgar/data/1799448/000119312520267346/d31402dex42.htm" TargetMode="External"/><Relationship Id="rId9" Type="http://schemas.openxmlformats.org/officeDocument/2006/relationships/hyperlink" Target="https://www.sec.gov/Archives/edgar/data/1799448/000119312523263158/d533607dex42.htm" TargetMode="External"/><Relationship Id="rId10" Type="http://schemas.openxmlformats.org/officeDocument/2006/relationships/hyperlink" Target="https://www.sec.gov/Archives/edgar/data/1799448/000119312523263158/d533607dex41.htm" TargetMode="External"/><Relationship Id="rId11" Type="http://schemas.openxmlformats.org/officeDocument/2006/relationships/hyperlink" Target="https://www.sec.gov/Archives/edgar/data/1799448/000119312523263158/d533607dex10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66082</Words>
  <Characters>366746</Characters>
  <CharactersWithSpaces>434039</CharactersWithSpaces>
  <Paragraphs>5977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