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gs-20231231.htm"/>
      <w:bookmarkStart w:id="1" w:name="ksalgs202312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bookmarkStart w:id="2" w:name="form_10k"/>
      <w:bookmarkEnd w:id="2"/>
      <w:r>
        <w:rPr>
          <w:rFonts w:ascii="Times New Roman" w:hAnsi="Times New Roman"/>
          <w:b/>
          <w:color w:val="000000"/>
          <w:sz w:val="32"/>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t>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386" w:type="dxa"/>
            <w:tcBorders/>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fiscal year ended December 31, 2023</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001-39617</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Aligos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Delaware</w:t>
            </w:r>
          </w:p>
        </w:tc>
        <w:tc>
          <w:tcPr>
            <w:tcW w:w="124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82-4724808</w:t>
            </w:r>
          </w:p>
        </w:tc>
      </w:tr>
      <w:tr>
        <w:trPr/>
        <w:tc>
          <w:tcPr>
            <w:tcW w:w="243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vAlign w:val="center"/>
          </w:tcPr>
          <w:p>
            <w:pPr>
              <w:pStyle w:val="TableContents"/>
              <w:bidi w:val="0"/>
              <w:jc w:val="center"/>
              <w:rPr>
                <w:rFonts w:ascii="Times New Roman" w:hAnsi="Times New Roman"/>
                <w:sz w:val="16"/>
              </w:rPr>
            </w:pPr>
            <w:r>
              <w:rPr>
                <w:rFonts w:ascii="Times New Roman" w:hAnsi="Times New Roman"/>
                <w:color w:val="000000"/>
                <w:sz w:val="16"/>
              </w:rPr>
              <w:t>One Corporate Drive, 2</w:t>
            </w:r>
            <w:r>
              <w:rPr>
                <w:rFonts w:ascii="Times New Roman" w:hAnsi="Times New Roman"/>
                <w:color w:val="000000"/>
                <w:sz w:val="11"/>
              </w:rPr>
              <w:t>nd</w:t>
            </w:r>
            <w:r>
              <w:rPr>
                <w:rFonts w:ascii="Times New Roman" w:hAnsi="Times New Roman"/>
                <w:color w:val="000000"/>
                <w:sz w:val="16"/>
              </w:rPr>
              <w:t xml:space="preserve"> Floor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South San Francisco, California</w:t>
            </w:r>
          </w:p>
        </w:tc>
        <w:tc>
          <w:tcPr>
            <w:tcW w:w="124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94080</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 xml:space="preserve">Registrant’s telephone number, including area code: (800) 466-6059 </w:t>
      </w:r>
    </w:p>
    <w:p>
      <w:pPr>
        <w:pStyle w:val="TextBody"/>
        <w:bidi w:val="0"/>
        <w:spacing w:before="6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286"/>
        <w:gridCol w:w="146"/>
        <w:gridCol w:w="1231"/>
        <w:gridCol w:w="146"/>
        <w:gridCol w:w="27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vAlign w:val="center"/>
          </w:tcPr>
          <w:p>
            <w:pPr>
              <w:pStyle w:val="TableContents"/>
              <w:bidi w:val="0"/>
              <w:spacing w:before="0" w:after="283"/>
              <w:jc w:val="center"/>
              <w:rPr/>
            </w:pPr>
            <w:r>
              <w:rPr/>
              <w:t> </w:t>
            </w:r>
          </w:p>
        </w:tc>
        <w:tc>
          <w:tcPr>
            <w:tcW w:w="123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ALGS</w:t>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158"/>
        <w:gridCol w:w="158"/>
        <w:gridCol w:w="146"/>
        <w:gridCol w:w="1013"/>
        <w:gridCol w:w="1013"/>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audit report.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Indicate by checkmark whether any of those error corrections are restatements that required a recovery analysis of incentive-based compensation received by any of the registrant's executive officers during the relevant recover period pursuant to Section 240.10D-1(b). </w:t>
      </w:r>
      <w:r>
        <w:rPr>
          <w:rFonts w:ascii="Times New Roman" w:hAnsi="Times New Roman"/>
          <w:color w:val="000000"/>
          <w:sz w:val="20"/>
        </w:rPr>
        <w:t>☐</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The aggregate market value of common stock held by non-affiliates of the Registrant was approximately $20.2</w:t>
      </w:r>
      <w:r>
        <w:rPr>
          <w:rFonts w:ascii="Times New Roman" w:hAnsi="Times New Roman"/>
          <w:color w:val="000000"/>
          <w:sz w:val="20"/>
        </w:rPr>
        <w:t xml:space="preserve"> </w:t>
      </w:r>
      <w:r>
        <w:rPr>
          <w:rFonts w:ascii="Times New Roman" w:hAnsi="Times New Roman"/>
          <w:color w:val="000000"/>
          <w:sz w:val="16"/>
        </w:rPr>
        <w:t>million as of June 30, 2023, the last business day of the Registrant's most recently completed second fiscal quarter, based on (i) 43,502,582 shares of common stock, $0.0001 par value per share, outstanding, comprised of 40,410,244 shares of voting common stock, $0.0001 par value per share and 3,092,338 shares of non-voting common stock, $0.0001 par value per share, and (ii) the closing sales price for the Registrant’s common stock on the Nasdaq Global Select Market on such date.</w:t>
      </w:r>
    </w:p>
    <w:p>
      <w:pPr>
        <w:pStyle w:val="TextBody"/>
        <w:bidi w:val="0"/>
        <w:spacing w:before="20" w:after="283"/>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16"/>
        </w:rPr>
        <w:t>As of March 8, 2024, the Registrant had 75,668,521</w:t>
      </w:r>
      <w:r>
        <w:rPr>
          <w:rFonts w:ascii="Times New Roman" w:hAnsi="Times New Roman"/>
          <w:color w:val="000000"/>
          <w:sz w:val="20"/>
        </w:rPr>
        <w:t xml:space="preserve"> </w:t>
      </w:r>
      <w:r>
        <w:rPr>
          <w:rFonts w:ascii="Times New Roman" w:hAnsi="Times New Roman"/>
          <w:color w:val="000000"/>
          <w:sz w:val="16"/>
        </w:rPr>
        <w:t>shares of common stock, $0.0001 par value per share, outstanding, comprised of 72,576,183</w:t>
      </w:r>
      <w:r>
        <w:rPr>
          <w:rFonts w:ascii="Times New Roman" w:hAnsi="Times New Roman"/>
          <w:color w:val="000000"/>
          <w:sz w:val="20"/>
        </w:rPr>
        <w:t xml:space="preserve"> </w:t>
      </w:r>
      <w:r>
        <w:rPr>
          <w:rFonts w:ascii="Times New Roman" w:hAnsi="Times New Roman"/>
          <w:color w:val="000000"/>
          <w:sz w:val="16"/>
        </w:rPr>
        <w:t>shares of voting common stock, $0.0001 par value per share and 3,092,338</w:t>
      </w:r>
      <w:r>
        <w:rPr>
          <w:rFonts w:ascii="Times New Roman" w:hAnsi="Times New Roman"/>
          <w:color w:val="000000"/>
          <w:sz w:val="20"/>
        </w:rPr>
        <w:t xml:space="preserve"> </w:t>
      </w:r>
      <w:r>
        <w:rPr>
          <w:rFonts w:ascii="Times New Roman" w:hAnsi="Times New Roman"/>
          <w:color w:val="000000"/>
          <w:sz w:val="16"/>
        </w:rPr>
        <w:t>shares of non-voting common stock, $0.0001 par value per share. This number does not include 81,054,686 shares of common stock issuable upon the exercise of pre-funded warrants outstanding as of March 4, 2024 (which are immediately exercisable at an exercise price of $0.0001 per share of common stock, subject to beneficial ownership limitations) sold in the Registrant’s private placement on October 23, 2023. See Note 8—</w:t>
      </w:r>
      <w:r>
        <w:rPr>
          <w:rFonts w:ascii="Times New Roman" w:hAnsi="Times New Roman"/>
          <w:color w:val="000000"/>
          <w:sz w:val="20"/>
        </w:rPr>
        <w:t xml:space="preserve"> </w:t>
      </w:r>
      <w:r>
        <w:rPr>
          <w:rFonts w:ascii="Times New Roman" w:hAnsi="Times New Roman"/>
          <w:color w:val="000000"/>
          <w:sz w:val="16"/>
        </w:rPr>
        <w:t>Common Warrants and Pre- Funded Warrants to the Registrant’s audited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2024 Annual Meeting of Stockholders, which will be filed with the Securities and Exchange Commission within 120 days after the end of the Registrant’s fiscal year ended December 31, 2023, are incorporated by reference into Part III of this Report.</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security">
              <w:r>
                <w:rPr>
                  <w:rStyle w:val="InternetLink"/>
                  <w:rFonts w:ascii="Times New Roman" w:hAnsi="Times New Roman"/>
                  <w:color w:val="0563C1"/>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563C1"/>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563C1"/>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563C1"/>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563C1"/>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563C1"/>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563C1"/>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563C1"/>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563C1"/>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563C1"/>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563C1"/>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563C1"/>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563C1"/>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563C1"/>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563C1"/>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our drug candidates or any other future drug candidates, and conducting nonclinical studies and clinical trials, including our ALG-055009, ALG</w:t>
        <w:noBreakHyphen/>
        <w:t>000184, ALG</w:t>
        <w:noBreakHyphen/>
        <w:t>097558 and ALG</w:t>
        <w:noBreakHyphen/>
        <w:t>125755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related to the research and development of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costs involved in, obtaining and maintaining regulatory approval for any of our current or future drug candidates, and any related restrictions or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market size and size of the potential patient populations for ALG</w:t>
        <w:noBreakHyphen/>
        <w:t>055009, ALG</w:t>
        <w:noBreakHyphen/>
        <w:t>000184, ALG</w:t>
        <w:noBreakHyphen/>
        <w:t>097558 and ALG-125755, our other drug candidates and any future drug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collaborations, licensing or other arrangements and the financial terms of any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drug candidates, as well as the pricing and reimbursement of our drug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drug candidates and technology, including additional indications for which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drug candidates, including the projected term of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future revenue, capital requirements, our needs for additional financing and our ability to obtain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 including competing therapies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legal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third-party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obtain, maintain, enforce and defend our intellectual property protection for our drug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principal risks and uncertainties affecting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generated revenue from product sales and may never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the continued listing requirements of the Nasdaq Stock Market LLC (Nasdaq), our common stock may be delisted and the price of our common stock and our ability to access the capital markets could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other therapies, which exposes us to additional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focused on developing novel therapeutics to address unmet medical needs in liver diseases and viral infections, including in the areas of metabolic dysfunction associated steatohepatitis (MASH), chronic hepatitis B (CHB) and coronavirus (e.g., SARS-CoV-2 and related infections). We utilize our proprietary small molecule and oligonucleotide platforms to develop pharmacologically optimized drug candidates designed to achieve improved treatment outcomes.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area of focus is MASH, a complex, chronic liver disease where combination regimens may prove beneficial. Our most advanced drug candidate for MASH is ALG</w:t>
        <w:noBreakHyphen/>
        <w:t>055009, a small molecule thyroid hormone receptor beta (THR</w:t>
        <w:noBreakHyphen/>
        <w:t>ß) agonist. This drug candidate recently completed evaluation in a Phase 1 study in healthy volunteers (HVs) (oral single ascending doses (SAD)) and in subjects with hyperlipidemia (14 oral daily doses). Clinical data after single doses up to 4 mg and multiple doses up to 1 mg showed that ALG</w:t>
        <w:noBreakHyphen/>
        <w:t>055009 was well tolerated, had dose proportional pharmacokinetics (PK) with low intersubject variability, and demonstrated expected thyromimetic effects (i.e., generally dose proportional increases in sex hormone binding globulin and decreases in various atherogenic lipids and thyroid hormones). In this same study, we have also evaluated relative bioavailability where we have shown the soft gelatin capsules to be used on Phase 2 studies, delivers similar exposures compared to the solution used in Phase 1 studies; we observed low intersubject PK variability and there was no evidence of a meaningful food effect. Currently, we are initiating a Phase 2a proof of concept study (HERALD) under an amendment to an open investigational new drug application (IND). The study’s design is a 12-week randomized, placebo-controlled trial evaluating 4 doses of ALG-055009 vs. placebo in approximately 100 subjects with presumed liver fibrosis stage 1-3 (F1-F3) MASH. In addition to collecting safety and PK data, this study is also designed to assess multiple efficacy biomarkers, which include MRI-PDFF and other non-invasive tests previously shown to be impacted by treatment with THR</w:t>
        <w:noBreakHyphen/>
        <w:t>ß agonists. We anticipate dosing to begin in the second quarter of 2024 and with topline safety and 12 week MRI-PDFF data from this study in the fourth quarter of 2024. We believe ALG</w:t>
        <w:noBreakHyphen/>
        <w:t>055009 has the potential to become a best</w:t>
        <w:noBreakHyphen/>
        <w:t>in</w:t>
        <w:noBreakHyphen/>
        <w:t>class THR</w:t>
        <w:noBreakHyphen/>
        <w:t>ß agonist and could play an integral role in future MASH combination regimens based on its enhanced potency, beta selectivity, and its PK profile versus other THR</w:t>
        <w:noBreakHyphen/>
        <w:t>ß drugs in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small molecule THR</w:t>
        <w:noBreakHyphen/>
        <w:t>ß program, we are also progressing oligonucleotide projects for MASH, including the collaboration with Merck. The programs are currently progressing through preclinical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area of focus seeks to enhance the viral suppression and rate of functional cure for CHB, which often results in life-threatening conditions such as cirrhosis, end-stage liver disease and, the most common form of liver cancer, hepatocellular carcinoma (HCC). To achieve this, we are developing a portfolio of differentiated CHB drug candidates, including a small molecule Capsid Assembly Modulator that results in the production of empty viral capsids (CAM-E) and small molecule inhibitors of the Programmed Cell Death Ligand 1 (PD</w:t>
        <w:noBreakHyphen/>
        <w:t xml:space="preserve">1/PD-L1) interaction. </w:t>
      </w:r>
    </w:p>
    <w:p>
      <w:pPr>
        <w:pStyle w:val="TextBody"/>
        <w:bidi w:val="0"/>
        <w:spacing w:before="120" w:after="283"/>
        <w:jc w:val="left"/>
        <w:rPr>
          <w:rFonts w:ascii="Times New Roman" w:hAnsi="Times New Roman"/>
          <w:sz w:val="20"/>
        </w:rPr>
      </w:pPr>
      <w:r>
        <w:rPr>
          <w:rFonts w:ascii="Times New Roman" w:hAnsi="Times New Roman"/>
          <w:color w:val="000000"/>
          <w:sz w:val="20"/>
        </w:rPr>
        <w:t>We have completed the initial Phase 1a study in HVs for our CAM-E, ALG</w:t>
        <w:noBreakHyphen/>
        <w:t>000184, and a Phase 1b dose ranging study evaluating the safety, PK and antiviral activity of 10-300 mg doses of ALG</w:t>
        <w:noBreakHyphen/>
        <w:t>000184 for 28 days among untreated HBV e-antigen (HBeAg) positive/negative CHB subjects. For these studies, ALG</w:t>
        <w:noBreakHyphen/>
        <w:t>000184 was found to be well tolerated with a favorable PK profile and demonstrated potentially best-in-class substantial HBV DNA and RNA reductions at all doses tested, as well as HBV surface antigen (HBsAg) reductions in a subset of HBeAg positive subjects receiving 300 mg ALG</w:t>
        <w:noBreakHyphen/>
        <w:t>000184 (Hou et. al, AASLD 2022). Based on the favorable profile after dosing up to 300 mg ALG</w:t>
        <w:noBreakHyphen/>
        <w:t>000184 x 28 days, additional Phase 1b cohorts are currently ongoing and evaluating the risk-benefit profile of up to 300 mg doses of ALG</w:t>
        <w:noBreakHyphen/>
        <w:t>000184 with or without entecavir (ETV) therapy for up to 96 weeks in HBeAg positive/negative CHB subjects. Preliminary data have been presented for several of these cohorts (Hou et al., EASL 2023, Yuen et al., AASLD 2023) and indicate that ALG</w:t>
        <w:noBreakHyphen/>
        <w:t>000184 dosed for up to 48 weeks has shown to be well tolerated with a favorable PK profile and potentially best-in-class antiviral activity. Specifically, antiviral activity data in subjects dosed with 300 mg ALG</w:t>
        <w:noBreakHyphen/>
        <w:t xml:space="preserve">000184 </w:t>
      </w:r>
      <w:r>
        <w:rPr>
          <w:rFonts w:ascii="Times New Roman" w:hAnsi="Times New Roman"/>
          <w:color w:val="000000"/>
          <w:sz w:val="20"/>
          <w:u w:val="single"/>
        </w:rPr>
        <w:t>+</w:t>
      </w:r>
      <w:r>
        <w:rPr>
          <w:rFonts w:ascii="Times New Roman" w:hAnsi="Times New Roman"/>
          <w:color w:val="000000"/>
          <w:sz w:val="20"/>
        </w:rPr>
        <w:t xml:space="preserve"> ETV for up to 48 weeks are available in cohorts (Part 4 Cohorts 2 and B) of HBeAg positive subjects with normal/elevated baseline ALT. In these cohorts, we observed mean DNA reductions of 6.8 log</w:t>
      </w:r>
      <w:r>
        <w:rPr>
          <w:rFonts w:ascii="Times New Roman" w:hAnsi="Times New Roman"/>
          <w:color w:val="000000"/>
          <w:sz w:val="13"/>
        </w:rPr>
        <w:t>10</w:t>
      </w:r>
      <w:r>
        <w:rPr>
          <w:rFonts w:ascii="Times New Roman" w:hAnsi="Times New Roman"/>
          <w:color w:val="000000"/>
          <w:sz w:val="20"/>
        </w:rPr>
        <w:t xml:space="preserve"> IU/mL. Notably, subjects in these cohorts who initially received ETV x 12 weeks had more modest reductions in HBV DNA as compared to subjects receiving ALG</w:t>
        <w:noBreakHyphen/>
        <w:t xml:space="preserve">000184 + ETV 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the same time period. In addition, subjects initially receiving ETV only then experienced further reductions in HBV DNA levels once they started receiving the combination of ETV and ALG</w:t>
        <w:noBreakHyphen/>
        <w:t>000184, and their HBV DNA levels also reached levels exceeding 6 log</w:t>
      </w:r>
      <w:r>
        <w:rPr>
          <w:rFonts w:ascii="Times New Roman" w:hAnsi="Times New Roman"/>
          <w:color w:val="000000"/>
          <w:sz w:val="13"/>
        </w:rPr>
        <w:t>10</w:t>
      </w:r>
      <w:r>
        <w:rPr>
          <w:rFonts w:ascii="Times New Roman" w:hAnsi="Times New Roman"/>
          <w:color w:val="000000"/>
          <w:sz w:val="20"/>
        </w:rPr>
        <w:t xml:space="preserve"> IU/mL, indicating an additive antiviral effect of ALG-000184 with ETV. Further, as of February 28, 2024, subjects receiving 300 mg ALG</w:t>
        <w:noBreakHyphen/>
        <w:t>000184 monotherapy had similar DNA reductions as subjects receiving 300 mg ALG</w:t>
        <w:noBreakHyphen/>
        <w:t xml:space="preserve">000184 </w:t>
      </w:r>
      <w:r>
        <w:rPr>
          <w:rFonts w:ascii="Times New Roman" w:hAnsi="Times New Roman"/>
          <w:color w:val="000000"/>
          <w:sz w:val="20"/>
          <w:u w:val="single"/>
        </w:rPr>
        <w:t>+</w:t>
      </w:r>
      <w:r>
        <w:rPr>
          <w:rFonts w:ascii="Times New Roman" w:hAnsi="Times New Roman"/>
          <w:color w:val="000000"/>
          <w:sz w:val="20"/>
        </w:rPr>
        <w:t xml:space="preserve"> ETV and no subject has experienced viral breakthroughs. This indicates ETV is not meaningfully contributing to observed antiviral activity and there is no evidence of emergence of resistance after dosing with ALG</w:t>
        <w:noBreakHyphen/>
        <w:t xml:space="preserve">000184 monotherapy for up to 48 weeks, the last time point studied to date. We have also observed in subjects dosed with either 100 or 300 mg of ALG-000184 </w:t>
      </w:r>
      <w:r>
        <w:rPr>
          <w:rFonts w:ascii="Times New Roman" w:hAnsi="Times New Roman"/>
          <w:color w:val="000000"/>
          <w:sz w:val="20"/>
          <w:u w:val="single"/>
        </w:rPr>
        <w:t>+</w:t>
      </w:r>
      <w:r>
        <w:rPr>
          <w:rFonts w:ascii="Times New Roman" w:hAnsi="Times New Roman"/>
          <w:color w:val="000000"/>
          <w:sz w:val="20"/>
        </w:rPr>
        <w:t xml:space="preserve"> ETV that mean blood levels of all the three major viral antigens (HBsAg, HBeAg, and HBV core-related antigen (HBcrAg)) all declined by at least 1.2 log</w:t>
      </w:r>
      <w:r>
        <w:rPr>
          <w:rFonts w:ascii="Times New Roman" w:hAnsi="Times New Roman"/>
          <w:color w:val="000000"/>
          <w:sz w:val="13"/>
        </w:rPr>
        <w:t>10</w:t>
      </w:r>
      <w:r>
        <w:rPr>
          <w:rFonts w:ascii="Times New Roman" w:hAnsi="Times New Roman"/>
          <w:color w:val="000000"/>
          <w:sz w:val="20"/>
        </w:rPr>
        <w:t xml:space="preserve"> units and these declines were dose related. Maximum individual declines of these antigens ranged from 2.0-2.5 log</w:t>
      </w:r>
      <w:r>
        <w:rPr>
          <w:rFonts w:ascii="Times New Roman" w:hAnsi="Times New Roman"/>
          <w:color w:val="000000"/>
          <w:sz w:val="13"/>
        </w:rPr>
        <w:t>10</w:t>
      </w:r>
      <w:r>
        <w:rPr>
          <w:rFonts w:ascii="Times New Roman" w:hAnsi="Times New Roman"/>
          <w:color w:val="000000"/>
          <w:sz w:val="20"/>
        </w:rPr>
        <w:t xml:space="preserve"> units over this time period. By comparison, no meaningful change in any of these antigen levels was observed in subjects dosed with ETV alone. Dosing of HBeAg positive/negative subjects with ALG</w:t>
        <w:noBreakHyphen/>
        <w:t xml:space="preserve">000184 </w:t>
      </w:r>
      <w:r>
        <w:rPr>
          <w:rFonts w:ascii="Times New Roman" w:hAnsi="Times New Roman"/>
          <w:color w:val="000000"/>
          <w:sz w:val="20"/>
          <w:u w:val="single"/>
        </w:rPr>
        <w:t>+</w:t>
      </w:r>
      <w:r>
        <w:rPr>
          <w:rFonts w:ascii="Times New Roman" w:hAnsi="Times New Roman"/>
          <w:color w:val="000000"/>
          <w:sz w:val="20"/>
        </w:rPr>
        <w:t xml:space="preserve"> ETV in ongoing cohorts will continue throughout 2024 and interim safety, PK, and antiviral activity data will be presented at scientific conferences throughout the year. We believe that our CAM</w:t>
        <w:noBreakHyphen/>
        <w:t>E, ALG</w:t>
        <w:noBreakHyphen/>
        <w:t>000184, can lead to greater rates of viral suppression and, in combination with other mechanisms of action such as those in our CHB portfolio, also may lead to higher rates of functional cure.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siRNA drug candidate targeting HBsAg production, ALG</w:t>
        <w:noBreakHyphen/>
        <w:t xml:space="preserve">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available data indicated evidence of HBsAg lowering at all 3 dose levels evaluated. We plan to seek additional external funding to further advance this drug candidate in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exploring ways to boost immune responses via small molecule inhibitors of the Programmed Cell Death Ligand 1 (PD-L1) transmembrane protein and its interaction with Programmed Cell Death Protein 1 (PD-1). We have rationally designed these T cell activating drug candidates to partition preferentially to the liver and thereby potentially mitigate systemic toxicity in an effort to develop better tolerated PD-1/PD-L1 inhibitors for CHB patients. Lead molecules developed to date show similar in vivo efficacy in tumor models to approved PD-1/PD-L1 antibodies. Our small molecule lead compounds also demonstrate greater PD-L1 target occupancy at a lower dose in a humanized PD-L1 subcutaneous tumor model compared to competitor small molecule PD-L1 inhibitors. We have recently selected two lead molecules and have initiated scale-up to enable further advancement towards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Katholieke Universiteit Leuven (KU Leuven), the Center for Innovation and Stimulation of Drug Discovery (CISTIM) and the Centre for Drug Design and Discovery (CD3). Our lead candidate, ALG</w:t>
        <w:noBreakHyphen/>
        <w:t>097558, has been shown to be at least 6-fold more potent than nirmatrelvir and other PIs in clinical development in cell-based assays against a panel of SARS-CoV-2 variants (including Omicron). It also has demonstrated broad pan-coronavirus activity, and based on emerging Phase 1 clinical data, is not expected to require ritonavir boosting. Evaluation of ALG</w:t>
        <w:noBreakHyphen/>
        <w:t>097558 in the hamster SARS-CoV-2 infection model has shown that, when dosed prior to infection or up to 24 hours post-infection, the compound caused a significant reduction in the levels of infectious virus in the lungs. ALG</w:t>
        <w:noBreakHyphen/>
        <w:t xml:space="preserve">097558 also appeared to better maintain its antiviral activity against certain resistant mutants compared to other PIs in development based on publicly available data. The safety and PK properties of ALG-097558 are currently being assessed in an ongoing Phase 1 study in HVs. To date, single doses up to 2000 mg have been well tolerated with dose related increase in PK. Additionally, in the on-going multiple ascending dose cohort, it is well tolerated at the 350 mg BID dose for 7 days with additional multiple dose cohorts planned to be conducted in the first and second quarters of 2024. We expect to share topline data from this study at a scientific conference in the second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plan to conduct the clinical pharmacology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half of 2024 through the end of 2025 as part of this NIAID contract. We expect to receive approximately $11.0 million in funds across these two NIH awards and contracts to support these activities. We are also presently seeking additional external funding (e.g., from governmental agencies) to support future studies (e.g., Phase 2) as we advance ALG-097558 for the treatment of COVID-19 and future coronavirus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consists of a group of highly collaborative, culturally diverse executives with decades of drug discovery and development experience and a proven track record of success in the areas of viral infections and liver diseases. Most members of our management team have worked together across multiple companies, many for over a decade, and have been collectively involved in the discovery and/or development of a number of drugs that have been successfully commercialized, including Ganovo, Sovaldi, Infergen, Neupogen, Andexxa, Esbriet, and Pegasys among others. In support of our management team, we also have assembled an industry-leading board of directors and a world-class group of scientific advisors with significant experience in drug development for liver diseases and viral infections.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team’s collective experience and success in discovering and developing drugs targeting MASH and viruses, combined with our in-house expertise in small molecule and oligonucleotide drug discovery, gives us a differentiated set of capabilities, which has enabled us to rapidly establish a robust pipeline of multiple novel drug candidates, as summarized in the pipeline chart below.</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Figure 1: Aligos development portfolio showing multiple milestones and data readouts anticipated in 2024</w:t>
      </w:r>
    </w:p>
    <w:p>
      <w:pPr>
        <w:pStyle w:val="TextBody"/>
        <w:bidi w:val="0"/>
        <w:spacing w:before="120" w:after="283"/>
        <w:jc w:val="left"/>
        <w:rPr/>
      </w:pPr>
      <w:r>
        <w:rPr/>
        <w:drawing>
          <wp:inline distT="0" distB="0" distL="0" distR="0">
            <wp:extent cx="5943600" cy="3343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3275"/>
                    </a:xfrm>
                    <a:prstGeom prst="rect">
                      <a:avLst/>
                    </a:prstGeom>
                  </pic:spPr>
                </pic:pic>
              </a:graphicData>
            </a:graphic>
          </wp:inline>
        </w:drawing>
      </w: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is to develop pharmacologically optimized drug candidates designed to achieve improved treatment outcomes. Our initial areas of focus are MASH and viral diseases, where our team can leverage their in-depth knowledge and expertise to develop potential regimens addressing large areas of unmet medical need. The core elements of our business strategy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Developing improved drug candidates against clinically validated targets.</w:t>
      </w:r>
      <w:r>
        <w:rPr>
          <w:color w:val="000000"/>
        </w:rPr>
        <w:t xml:space="preserve"> </w:t>
      </w:r>
      <w:r>
        <w:rPr>
          <w:rFonts w:ascii="Times New Roman" w:hAnsi="Times New Roman"/>
          <w:color w:val="000000"/>
          <w:sz w:val="20"/>
        </w:rPr>
        <w:t xml:space="preserve">We leverage our small molecule and oligonucleotide platforms, which are designed to identify drug candidates with pharmacologically optimized characteristics compared to other drug candidates, including the potential for improved efficacy, safety and/or route of administration. By initially focusing on clinically validated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targets, we increase the likelihood of demonstrating clinical efficacy and delivering optimized combination regimens.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Creating combination regimens designed to achieve better outcomes.</w:t>
      </w:r>
      <w:r>
        <w:rPr>
          <w:color w:val="000000"/>
        </w:rPr>
        <w:t xml:space="preserve"> </w:t>
      </w:r>
      <w:r>
        <w:rPr>
          <w:rFonts w:ascii="Times New Roman" w:hAnsi="Times New Roman"/>
          <w:color w:val="000000"/>
          <w:sz w:val="20"/>
        </w:rPr>
        <w:t>We believe that most chronic and viral diseases require combination therapies for optimal treatment outcomes and that combining individual drugs which can act additively or synergistically provides the greatest potential for enhanced efficacy. For each of our drug candidates, our strategy in early phase studies is to rapidly evaluate safety and demonstrate proof of activity for each individual drug. Subsequently, we may plan to combine drug candidates in later phase trials to identify optimized combination regimens to be advanced into pivotal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Expanding our development capabilities and pipeline.</w:t>
      </w:r>
      <w:r>
        <w:rPr>
          <w:color w:val="000000"/>
        </w:rPr>
        <w:t xml:space="preserve"> </w:t>
      </w:r>
      <w:r>
        <w:rPr>
          <w:rFonts w:ascii="Times New Roman" w:hAnsi="Times New Roman"/>
          <w:color w:val="000000"/>
          <w:sz w:val="20"/>
        </w:rPr>
        <w:t>We are utilizing our in-house discovery expertise to continually improve upon our existing drug candidates by identifying promising backup candidates and exploring novel and emerging drug targets in MASH and viral diseases. We are also evaluating novel mechanisms of action with the potential to complement our current pipeline. To further supplement our internal discovery and development efforts, we actively evaluate external technology platforms and assets for future development candidates for liver and viral diseases. To date, we have secured licenses for technology from Emory, Luxna and AM Chemicals, LLC (AM Chemicals), and have entered into collaborations with KU Leuven’s Rega Institute for Medical Research, as well as its CD3, and we have a collaboration with Merck Sharp &amp; Dohme Corp., a subsidiary of Merck &amp; Co., Inc. (known outside of the United States and Canada as MSD) (which Merck Sharp &amp; Dohme Corp., or Merck &amp; Co., Inc., individually or together, are referred to herein as “Merck”).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Maximizing the value of our drug candidates.</w:t>
      </w:r>
      <w:r>
        <w:rPr>
          <w:color w:val="000000"/>
        </w:rPr>
        <w:t xml:space="preserve"> </w:t>
      </w:r>
      <w:r>
        <w:rPr>
          <w:rFonts w:ascii="Times New Roman" w:hAnsi="Times New Roman"/>
          <w:color w:val="000000"/>
          <w:sz w:val="20"/>
        </w:rPr>
        <w:t>We currently hold worldwide development and commercialization rights, including through exclusive licenses, to all of our drug candidates. We intend to pursue independent development and commercialization in select indications and markets that we can address with a specialty sales and marketing organization. We may opportunistically explore additional licensing agreements, collaborations or partnerships to develop our drug candidates in larger market indications where we could accelerate development utilizing the resources of larger biopharmaceutical companies, or to commercialize them in specific geographies.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Approach to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small molecule and oligonucleotide platforms are designed to allow us to discover drug candidates that can be used to develop potentially best-in-class combination regimens. We believe the diversity of chemical matter we can generate with these complementary modalities broadens the range of therapeutic targets we can address with our platforms and provides us with a differentiated set of in-house capabilities to use in developing novel, optimized combination regimens across all of our current areas of focus.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approach of combining multiple mechanisms from these distinct modalities is based on the observation that most chronic diseases, whether extrinsic (e.g., HIV and Hepatitis C) or intrinsic (e.g., metabolic syndrome conditions such as hypertension and diabetes), often require combination therapy to achieve optimal outcomes. Combination approaches have the advantage of simultaneously targeting multiple pathways and can act broadly and potentially synergistically. Particularly in the case of viral diseases, the simultaneous use of multiple drugs in combination can increase the barrier to viral resistance. As part of our drug candidate screening paradigm, we perform in vitro combination studies to ensure that none of the combinations we plan to evaluate clinically demonstrate antagonistic interactions.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team has extensive end-to-end drug discovery and development experience across multiple therapeutic areas and disciplines. Our clinical development strategy leverages past experiences to rapidly advance drug candidates towards optimized combination regimens. We have strengthened our platforms by in-licensing select intellectual property, which, together with our in-house expertise, allows us to develop novel and proprietary drug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Small molecule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team has the capability and experience to rapidly identify and optimize small molecules, including traditional small molecules, peptidomimetics and prodrugs. Our team has a strong track record of developing and commercializing small molecule drug candidates. We use state-of-the-art computational chemistry and crystallography to enable structure-guided drug design. We have applied this approach to the multidimensional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optimization of potential drug candidates in multiple therapeutic areas, including for liver diseases and viral infections.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Traditional small molecules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traditional small molecules represent the vast majority of approved drugs and are the primary chemistry approach used for drug discovery. </w:t>
      </w:r>
    </w:p>
    <w:p>
      <w:pPr>
        <w:pStyle w:val="TextBody"/>
        <w:bidi w:val="0"/>
        <w:spacing w:before="120" w:after="283"/>
        <w:jc w:val="left"/>
        <w:rPr>
          <w:rFonts w:ascii="Times New Roman" w:hAnsi="Times New Roman"/>
          <w:sz w:val="20"/>
        </w:rPr>
      </w:pPr>
      <w:r>
        <w:rPr>
          <w:rFonts w:ascii="Times New Roman" w:hAnsi="Times New Roman"/>
          <w:color w:val="000000"/>
          <w:sz w:val="20"/>
        </w:rPr>
        <w:t>THR</w:t>
        <w:noBreakHyphen/>
      </w:r>
      <w:r>
        <w:rPr>
          <w:rFonts w:ascii="Symbol;serif" w:hAnsi="Symbol;serif"/>
          <w:color w:val="000000"/>
          <w:sz w:val="20"/>
        </w:rPr>
        <w:t>b</w:t>
      </w:r>
      <w:r>
        <w:rPr>
          <w:rFonts w:ascii="Times New Roman" w:hAnsi="Times New Roman"/>
          <w:color w:val="000000"/>
          <w:sz w:val="20"/>
        </w:rPr>
        <w:t xml:space="preserve"> agonists are small molecules that have been shown to significantly reduce circulating lipid levels and improve liver histology in patients with MASH. Based on publicly available and/or internally collected in vitro data for THR</w:t>
        <w:noBreakHyphen/>
      </w:r>
      <w:r>
        <w:rPr>
          <w:rFonts w:ascii="Symbol;serif" w:hAnsi="Symbol;serif"/>
          <w:color w:val="000000"/>
          <w:sz w:val="20"/>
        </w:rPr>
        <w:t>b</w:t>
      </w:r>
      <w:r>
        <w:rPr>
          <w:rFonts w:ascii="Times New Roman" w:hAnsi="Times New Roman"/>
          <w:color w:val="000000"/>
          <w:sz w:val="20"/>
        </w:rPr>
        <w:t xml:space="preserve"> agonists currently in clinical development, our drug candidate ALG</w:t>
        <w:noBreakHyphen/>
        <w:t>055009 has demonstrated the greatest beta selectivity and highest potency for the THR</w:t>
        <w:noBreakHyphen/>
        <w:t>beta receptor, which appears to be strongly correlated with efficacy (as determined by MRI proton density fat fraction – MRI-PDFF). ALG-055009 also demonstrated dose proportional pharmacokinetics with low variability and expected thyromimetic effects in a completed Phase 1 study evaluating dosing for up to 14 days. Importantly, the PK properties of ALG</w:t>
        <w:noBreakHyphen/>
        <w:t>055009 included dose proportional increases in exposure across a broad range of doses as well as low inter-subject variability, which may result in more uniform exposures and potentially lead to more consistent efficacy and safety in a MASH population compared to other THR</w:t>
        <w:noBreakHyphen/>
      </w:r>
      <w:r>
        <w:rPr>
          <w:rFonts w:ascii="Symbol;serif" w:hAnsi="Symbol;serif"/>
          <w:color w:val="000000"/>
          <w:sz w:val="20"/>
        </w:rPr>
        <w:t>b</w:t>
      </w:r>
      <w:r>
        <w:rPr>
          <w:rFonts w:ascii="Times New Roman" w:hAnsi="Times New Roman"/>
          <w:color w:val="000000"/>
          <w:sz w:val="20"/>
        </w:rPr>
        <w:t xml:space="preserve"> drugs in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CAM-Es are small molecules that have been shown to significantly reduce HBV DNA and RNA levels in CHB patients. We have identified ALG</w:t>
        <w:noBreakHyphen/>
        <w:t>001075, which has demonstrated potentially best-in-class in vitro potency. The prodrug of ALG</w:t>
        <w:noBreakHyphen/>
        <w:t>001075, ALG</w:t>
        <w:noBreakHyphen/>
        <w:t>000184, has been evaluated as single and multiple doses in HVs and CHB subjects and been found to be well tolerated, with favorable PK, and substantial antiviral activity. ALG</w:t>
        <w:noBreakHyphen/>
        <w:t>000184 is currently being evaluated in longer duration (≤96 week) CHB cohorts with or without ETV, where it continues to show best</w:t>
        <w:noBreakHyphen/>
        <w:t>in</w:t>
        <w:noBreakHyphen/>
        <w:t xml:space="preserve">class antiviral properties across a variety of HBV markers.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PD-1/PD-L1 inhibitors are a way to boost immune responses via the programmed death 1 (ligand) PD</w:t>
        <w:noBreakHyphen/>
        <w:t>1/PD</w:t>
        <w:noBreakHyphen/>
        <w:t>L1 interaction. We have rationally designed these T cell activating drug candidates to partition in the liver and thereby potentially mitigate systemic toxicity in an effort to develop better tolerated PD-1/PD-L1 inhibitors for CHB patients. Lead molecules developed to date have shown similar in vivo efficacy in tumor models to approved PD</w:t>
        <w:noBreakHyphen/>
        <w:t xml:space="preserve">1/PD-L1 antibodies. Our small molecule lead compounds have also demonstrated greater PD-L1 target occupancy at a lower dose in a humanized PD-L1 subcutaneous tumor model compared to competitor small molecule PD-L1 inhibitors. We have recently selected two lead molecules and have initiated scale-up to enable further advancement towards clinical development.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Peptidomimetics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Peptidomimetics are small molecules derived from short polypeptides that can be used as drug candidates against multiple targets. The peptidomimetic approach has been successfully used in the antiviral field to develop protease inhibitor drugs against Hepatitis C virus (HCV) and human immunodeficiency virus (HIV). Working in collaboration with KU Leuven, CISTIM, and the CD3, our team has discovered multiple nanomolar potent potential drug candidates targeting the 3C-like protease of coronaviruses, which have shown pan-coronavirus activity and do not require ritonavir boosting based on nonclinical studies. Our lead candidate, ALG</w:t>
        <w:noBreakHyphen/>
        <w:t xml:space="preserve">097558, is at least 6-fold more potent than nirmatrelvir and other PIs in clinical development in cell-based assays against a panel of SARS-CoV-2 variants (including Omicron). It also demonstrates broad pan-coronavirus activity, and based on emerging clinical data, is not projected to require ritonavir boosting. The safety and PK properties of ALG-097558 are currently being assessed in an ongoing Phase 1 study in HVs. To date single doses up to 2000 mg have been well tolerated with dose related increase in PK. Additionally, in the on-going multiple ascending dose cohort, it is well tolerated at the 350 mg BID dose for 7 days with additional multiple dose cohorts planned to be conducted in the first and second quarters of 2024. We expect to share topline data from this study at a scientific conference in the second quarter of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Small molecule prodrugs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prodrug is a compound that, after administration, is metabolized into the pharmacologically active parent drug. We use small molecule prodrug chemistry to optimize the drug-like properties of drug candidates to improve their solubility and pharmacokinetics. We have successfully applied this approach to ALG</w:t>
        <w:noBreakHyphen/>
        <w:t>001075 to create ALG</w:t>
        <w:noBreakHyphen/>
        <w:t>000184, our lead CAM-E drug candidate, which is currently being evaluated in the clinic for the treatment of CHB.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engaged in multiple other small molecule discovery efforts to identify additional potentially best</w:t>
        <w:noBreakHyphen/>
        <w:t>in</w:t>
        <w:noBreakHyphen/>
        <w:t xml:space="preserve">class drug candidates for the treatment of MASH, CHB and coronaviruses.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Oligonucleotide platform</w:t>
      </w:r>
    </w:p>
    <w:p>
      <w:pPr>
        <w:pStyle w:val="TextBody"/>
        <w:bidi w:val="0"/>
        <w:spacing w:before="120" w:after="283"/>
        <w:jc w:val="left"/>
        <w:rPr>
          <w:rFonts w:ascii="Times New Roman" w:hAnsi="Times New Roman"/>
          <w:sz w:val="20"/>
        </w:rPr>
      </w:pPr>
      <w:r>
        <w:rPr>
          <w:rFonts w:ascii="Times New Roman" w:hAnsi="Times New Roman"/>
          <w:color w:val="000000"/>
          <w:sz w:val="20"/>
        </w:rPr>
        <w:t>We have distinct modalities within our oligonucleotide platform, including siRNAs. We have advanced</w:t>
      </w:r>
      <w:r>
        <w:rPr>
          <w:rFonts w:ascii="Times New Roman" w:hAnsi="Times New Roman"/>
          <w:strike/>
          <w:color w:val="000000"/>
          <w:sz w:val="20"/>
        </w:rPr>
        <w:t xml:space="preserve"> </w:t>
      </w:r>
      <w:r>
        <w:rPr>
          <w:rFonts w:ascii="Times New Roman" w:hAnsi="Times New Roman"/>
          <w:color w:val="000000"/>
          <w:sz w:val="20"/>
        </w:rPr>
        <w:t>multiple oligonucleotide drug candidates for the treatment of CHB, including ALG</w:t>
        <w:noBreakHyphen/>
        <w:t>125755, an siRNA drug candidate. In addition, we are leveraging our oligonucleotide platform to develop drug candidates for other diseases such as for the treatment of MASH, including in collaboration with Merck.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exclusively licensed proprietary technologies that enhance our oligonucleotide platform. These technologies include third generation bridged nucleic acid (BNA) and N-acetylgalactosamine (GalNAc) chemistries, which can improve liver targeting, increase potency, and enhance pharmacokinetic properties.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Small interfering RNAs (siRNAs)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siRNAs are a class of double-stranded, non-coding RNA that interferes with viral replication by silencing gene expression. Multiple siRNAs have demonstrated significant reductions in HBsAg levels in clinical trials. Our novel and proprietary siRNA technology has resulted in the identification of molecules, including ALG</w:t>
        <w:noBreakHyphen/>
        <w:t>125755, that have demonstrated high potency and long-lasting durability in nonclinical CHB models. For ALG</w:t>
        <w:noBreakHyphen/>
        <w:t>125755, we conducted a Phase 1 study evaluating single doses ranging from 20-200 mg and 50-320 mg in HVs and virologically suppressed HBeAg negative CHB subjects, respectively. In this study, we found that these single doses were well tolerated and resulted in favorable PK data. With respect to antiviral activity, available data indicate evidence of HBsAg lowering at all 3 dose levels evaluated. We plan to seek additional external funding to further advance this drug candidate in clinical development.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approach to developing potentially best-in-class therapeutic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developing potentially best-in-class regimens for our therapeutic areas of interest leverages the most promising modalities from our small molecule and oligonucleotide platforms to advance rapidly from monotherapy Phase 1 trials into Phase 2 trials, with the potential for combination. As a first step, we evaluate the safety and activity of each drug candidate in healthy volunteers and patients with the disease of interest. We intend to then efficiently evaluate drug candidates shown to have activity in Phase 1 in various monotherapy and combinations in Phase 2 platform protocols to enable us to identify optimized regimens that will then be evaluated in Phase 3 pivotal trials. The potential combinations we may evaluate could include additional drug candidates or current standard of care. Throughout all phases of clinical development, pre-specified adaptive study rules allow real-time adjustment of trial conduct based on emerging clinical trial data. These practices allow us to gain a rapid understanding of the risk/benefit profile for our individual drug candidates and combination regimens, and iteratively refine our strategy based on emerging data.</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MASH and viral diseases, areas in which our employees have expertise and decades of experience. We are advancing our THR</w:t>
        <w:noBreakHyphen/>
        <w:t>ß agonist for MASH and we are progressing oligonucleotide projects for MASH, including in collaboration with Merck. In the area of CHB, our most advanced drug candidates are designed to achieve greater viral suppression and higher rates of functional cure, which we believe will require the use of a combination of drugs with complementary mechanisms of action (MOA). Each of our CHB modalities plays an important role in disrupting the HBV life cycle and, in nonclinical studies, certain combinations have been shown to act additively or synergistically. Our pan-coronavirus PI for the treatment of COVID-19 also appears to be favorably differentiated in a Phase 1 study and we expect to share topline data from this study in the second quarter of 2024. We believe combination therapy will be critical for improved patient outcomes in most, if not all, of these disease settings and intend to combine our drug candidates with others that have potentially complementary MOAs.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Figure 3: Aligos development portfolio showing multiple milestones and data readouts anticipated in 2024</w:t>
      </w:r>
    </w:p>
    <w:p>
      <w:pPr>
        <w:pStyle w:val="TextBody"/>
        <w:bidi w:val="0"/>
        <w:spacing w:before="120" w:after="283"/>
        <w:jc w:val="left"/>
        <w:rPr/>
      </w:pPr>
      <w:r>
        <w:rPr/>
        <w:drawing>
          <wp:inline distT="0" distB="0" distL="0" distR="0">
            <wp:extent cx="5943600" cy="3343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327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ALG</w:t>
        <w:noBreakHyphen/>
        <w:t>055009: Potential best-in-class small molecule THR-</w:t>
      </w:r>
      <w:r>
        <w:rPr>
          <w:rFonts w:ascii="Times New Roman" w:hAnsi="Times New Roman"/>
          <w:color w:val="000000"/>
          <w:sz w:val="20"/>
        </w:rPr>
        <w:t xml:space="preserve"> </w:t>
      </w:r>
      <w:r>
        <w:rPr>
          <w:rFonts w:ascii="Times New Roman" w:hAnsi="Times New Roman"/>
          <w:b/>
          <w:i/>
          <w:color w:val="000000"/>
          <w:sz w:val="20"/>
        </w:rPr>
        <w:t>agonist for MASH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effects of improper diet and insufficient exercise is the accumulation of fatty deposits in the liver, referred to as metabolic dysfunction associated steatotic liver disease (MASLD), which was estimated to occur in approximately 30% of the worldwide population as of 2019. An estimated 1.5% to 6.5% of the global population was estimated to have an ongoing inflammatory response to these excess fat deposits, which was referred to as NASH (non-alcoholic steatohepatitis), and is now called MASH. Over the past several years, the prevalence of MASH has continued to rise. In the United States alone, the prevalence of MASH is projected to increase from approximately 16.5 million in 2015 to 27.0 million in 2030. In the absence of changes in diet and exercise, the inflammation inherent in MASH persists and may result in progressive fibrosis of the liver, which may result in cirrhosis. These fibrotic changes are associated with numerous morbidities including recurrent hospitalization for complications of cirrhosis, hepatocellular carcinoma, need for liver transplant, and death.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only widely accepted treatment for MASH is weight loss through behavioral modifications such as diet and exercise, which is difficult to achieve at the broad population level. As there are currently no approved drugs to treat MASH, many development programs are underway to identify drugs to address this epidemic.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Small molecule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promising MOAs in the MASH space appears to be drugs which preferentially target the beta subtype of the THR receptor.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THR-</w:t>
      </w:r>
      <w:r>
        <w:rPr>
          <w:rFonts w:ascii="Times New Roman" w:hAnsi="Times New Roman"/>
          <w:color w:val="000000"/>
          <w:sz w:val="20"/>
        </w:rPr>
        <w:t xml:space="preserve"> </w:t>
      </w:r>
      <w:r>
        <w:rPr>
          <w:rFonts w:ascii="Times New Roman" w:hAnsi="Times New Roman"/>
          <w:b/>
          <w:i/>
          <w:color w:val="000000"/>
          <w:sz w:val="20"/>
        </w:rPr>
        <w:t>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thyroid hormone triiodothyronine (T3) has many physiological effects throughout the body, ranging from increasing metabolism, including fat metabolism, to stimulating growth and development. T3 exerts its effects by binding to the thyroid hormone receptor (THR), which has two subtypes: alpha (THR-α) and beta (THR-). The distribution of the two THR subtypes varies by organ, with THR</w:t>
        <w:noBreakHyphen/>
        <w:t> predominantly expressed in the liver and THR</w:t>
        <w:noBreakHyphen/>
        <w:t>α predominantly expressed in other tissues (e.g., heart, skeletal muscles and bone). Drug candidates like resmetirom, which preferentially binds the THR</w:t>
        <w:noBreakHyphen/>
        <w:t xml:space="preserve"> subtype, have been shown in clinical trials to lower lipid levels in serum and the liver, while avoiding the unwanted effects associated with THR-α stimulation. In addition to the intended effect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lowering liver lipid levels in MASH patients, lowering serum lipid levels via THR</w:t>
        <w:noBreakHyphen/>
        <w:t xml:space="preserve"> agonism may also have favorable consequences in this population, which has a high rate of underlying cardiovascular disease. </w:t>
      </w:r>
    </w:p>
    <w:p>
      <w:pPr>
        <w:pStyle w:val="TextBody"/>
        <w:bidi w:val="0"/>
        <w:spacing w:before="120" w:after="283"/>
        <w:jc w:val="left"/>
        <w:rPr>
          <w:rFonts w:ascii="Times New Roman" w:hAnsi="Times New Roman"/>
          <w:sz w:val="20"/>
        </w:rPr>
      </w:pPr>
      <w:r>
        <w:rPr>
          <w:rFonts w:ascii="Times New Roman" w:hAnsi="Times New Roman"/>
          <w:color w:val="000000"/>
          <w:sz w:val="20"/>
        </w:rPr>
        <w:t>The most advanced THR</w:t>
        <w:noBreakHyphen/>
        <w:t> agonists in clinical development are resmetirom, which recently filed a U.S. new drug application (NDA) based on favorable Phase 3 data (Harrison et al., EASL 2023) and VK-2809, which is currently in Phase 2b. Both of these drugs have demonstrated significant reductions in lipid levels in the liver and serum and, to date, have an acceptable risk-benefit profile. In addition, resmetirom has demonstrated histologic evidence of MASH resolution and fibrosis improvement in Phase 3, which are both FDA approvable MASH endpoints. Our lead THR</w:t>
        <w:noBreakHyphen/>
        <w:t>ß drug candidate ALG</w:t>
        <w:noBreakHyphen/>
        <w:t>055009 may have important advantages over these compounds. Side-by-side biochemical and cell-based experiments in HEK293T cells indicate that ALG</w:t>
        <w:noBreakHyphen/>
        <w:t>055009 is 5- to 47-fold more potent and 3- to 2-fold more selective for the  receptor compared to VK-2809 and resmetirom, respectively. This is important because, as can be seen in Figure 4, the more potent the THR</w:t>
        <w:noBreakHyphen/>
      </w:r>
      <w:r>
        <w:rPr>
          <w:rFonts w:ascii="Symbol;serif" w:hAnsi="Symbol;serif"/>
          <w:color w:val="000000"/>
          <w:sz w:val="20"/>
        </w:rPr>
        <w:t>b</w:t>
      </w:r>
      <w:r>
        <w:rPr>
          <w:rFonts w:ascii="Times New Roman" w:hAnsi="Times New Roman"/>
          <w:color w:val="000000"/>
          <w:sz w:val="20"/>
        </w:rPr>
        <w:t xml:space="preserve"> drug is, the greater its effects on efficacy as determined by relative MRI-PDFF reduction. MRI-PDFF reduction, in turn, is important because it has been shown in a large Ph3 study to strongly correlate with histologic improvement, including the clinically meaningful measurement of fibrosis improvement (Figure 5 – Loomba et al., AASLD 2023). </w:t>
      </w:r>
    </w:p>
    <w:p>
      <w:pPr>
        <w:pStyle w:val="TextBody"/>
        <w:bidi w:val="0"/>
        <w:spacing w:before="120" w:after="283"/>
        <w:jc w:val="center"/>
        <w:rPr>
          <w:rFonts w:ascii="Times New Roman" w:hAnsi="Times New Roman"/>
          <w:sz w:val="20"/>
        </w:rPr>
      </w:pPr>
      <w:r>
        <w:rPr>
          <w:rFonts w:ascii="Times New Roman" w:hAnsi="Times New Roman"/>
          <w:b/>
          <w:color w:val="000000"/>
          <w:sz w:val="20"/>
          <w:u w:val="single"/>
        </w:rPr>
        <w:t>Figure 4: ALG-055009 comparisons to other THR</w:t>
        <w:noBreakHyphen/>
      </w:r>
      <w:r>
        <w:rPr>
          <w:rFonts w:ascii="Symbol;serif" w:hAnsi="Symbol;serif"/>
          <w:b/>
          <w:color w:val="000000"/>
          <w:sz w:val="20"/>
          <w:u w:val="single"/>
        </w:rPr>
        <w:t>b</w:t>
      </w:r>
      <w:r>
        <w:rPr>
          <w:rFonts w:ascii="Times New Roman" w:hAnsi="Times New Roman"/>
          <w:color w:val="000000"/>
          <w:sz w:val="20"/>
          <w:u w:val="single"/>
        </w:rPr>
        <w:t xml:space="preserve"> </w:t>
      </w:r>
      <w:r>
        <w:rPr>
          <w:rFonts w:ascii="Times New Roman" w:hAnsi="Times New Roman"/>
          <w:b/>
          <w:color w:val="000000"/>
          <w:sz w:val="20"/>
          <w:u w:val="single"/>
        </w:rPr>
        <w:t>Drug Candidates*</w:t>
      </w:r>
    </w:p>
    <w:p>
      <w:pPr>
        <w:pStyle w:val="TextBody"/>
        <w:bidi w:val="0"/>
        <w:spacing w:before="120" w:after="283"/>
        <w:jc w:val="center"/>
        <w:rPr/>
      </w:pPr>
      <w:r>
        <w:rPr/>
        <w:drawing>
          <wp:inline distT="0" distB="0" distL="0" distR="0">
            <wp:extent cx="5943600" cy="3343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327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included in Figure 4 are not from a head-to-head trial and that differences in study design may result in the varying outcomes noted.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Figure 5 - MRI-PDFF is strongly correlated with histologic improvement for the THR</w:t>
        <w:noBreakHyphen/>
      </w:r>
      <w:r>
        <w:rPr>
          <w:rFonts w:ascii="Symbol;serif" w:hAnsi="Symbol;serif"/>
          <w:b/>
          <w:color w:val="000000"/>
          <w:sz w:val="20"/>
          <w:u w:val="single"/>
        </w:rPr>
        <w:t>b</w:t>
      </w:r>
      <w:r>
        <w:rPr>
          <w:rFonts w:ascii="Times New Roman" w:hAnsi="Times New Roman"/>
          <w:color w:val="000000"/>
          <w:sz w:val="20"/>
          <w:u w:val="single"/>
        </w:rPr>
        <w:t xml:space="preserve"> </w:t>
      </w:r>
      <w:r>
        <w:rPr>
          <w:rFonts w:ascii="Times New Roman" w:hAnsi="Times New Roman"/>
          <w:b/>
          <w:color w:val="000000"/>
          <w:sz w:val="20"/>
          <w:u w:val="single"/>
        </w:rPr>
        <w:t>agonist resmetirom</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5629275" cy="3162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29275" cy="3162300"/>
                    </a:xfrm>
                    <a:prstGeom prst="rect">
                      <a:avLst/>
                    </a:prstGeom>
                  </pic:spPr>
                </pic:pic>
              </a:graphicData>
            </a:graphic>
          </wp:inline>
        </w:drawing>
      </w: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w:t>
        <w:noBreakHyphen/>
        <w:t>055009 recently completed a Phase 1 first in human study in HVs (oral single doses) and subjects with hyperlipidemia (14 oral daily doses). Preliminary data after single doses up to 4 mg and multiple daily doses up to 1 mg have previously been reported at EASL 2022 and AASLD 2023, respectively. At these conferences, data were presented that showed ALG</w:t>
        <w:noBreakHyphen/>
        <w:t>055009 was well tolerated, had dose proportional PK and low variability, and demonstrated expected thyromimetic effects (i.e., generally dose proportional increases in sex hormone binding globulin and decreases in various atherogenic lipids and thyroid hormones) – see Figures 6 and 7.</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Figure 6 – ALG</w:t>
        <w:noBreakHyphen/>
        <w:t>055009 PK after 14 daily oral doses in subjects with hyperlipidemia – Linear, with low (Coefficient of Variation ≤29%) variability</w:t>
      </w:r>
    </w:p>
    <w:p>
      <w:pPr>
        <w:pStyle w:val="TextBody"/>
        <w:bidi w:val="0"/>
        <w:spacing w:before="120" w:after="283"/>
        <w:jc w:val="center"/>
        <w:rPr/>
      </w:pPr>
      <w:r>
        <w:rPr/>
        <w:drawing>
          <wp:inline distT="0" distB="0" distL="0" distR="0">
            <wp:extent cx="3286125" cy="2095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86125" cy="20955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Source: Charfi et al., AASLD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Figure 7 – Lipid (LDL) lowering effects of ALG</w:t>
        <w:noBreakHyphen/>
        <w:t>055009 after 14 daily oral doses in subjects with hyperlipidemia – Expected thyromimetic effect (i.e., dose proportional reductions)</w:t>
      </w:r>
    </w:p>
    <w:p>
      <w:pPr>
        <w:pStyle w:val="TextBody"/>
        <w:bidi w:val="0"/>
        <w:spacing w:before="160" w:after="283"/>
        <w:jc w:val="center"/>
        <w:rPr/>
      </w:pPr>
      <w:r>
        <w:rPr/>
        <w:drawing>
          <wp:inline distT="0" distB="0" distL="0" distR="0">
            <wp:extent cx="2962275" cy="2181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62275" cy="218122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Source: Charfi et al., AASLD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second Phase 1 study evaluating whether there is the potential for a drug drug interaction (DDI) between ALG-055009 and atorvastatin has also recently completed study conduct in Part 1 of the study; data from this part are preliminary but we have not identified clinically meaningful safety concerns or evidence of a DDI with atorvastatin.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are initiating a Phase 2a proof of concept study (HERALD) under an amendment to an open investigational new drug application (IND). The study’s design is a 12-week randomized, placebo-controlled trial evaluating 4 doses of ALG-055009 vs. placebo in approximately 100 subjects with presumed liver fibrosis stage 1-3 (F1-F3) MASH. In addition to collecting safety and PK data, this study is also designed to assess multiple efficacy biomarkers, which include MRI-PDFF and other non-invasive tests previously shown to be impacted by treatment with THR</w:t>
        <w:noBreakHyphen/>
        <w:t>ß agonists. We anticipate dosing to begin in the second quarter of 2024 and with topline safety and 12 week MRI-PDFF data from this study in the fourth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its favorable potency/selectivity and PK, which is likely to result in more uniform exposures and which we believe will lead to more consistent efficacy and safety in a MASH population, we believe ALG</w:t>
        <w:noBreakHyphen/>
        <w:t>055009 has the potential to become a best-in-class THR</w:t>
        <w:noBreakHyphen/>
        <w:t>ß agonist and could play an integral role in future combination regimens for MASH.</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Oligonucleotide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Recently, genome-wide association and large candidate gene studies have enriched our understanding of the genetic basis of MASH. Variants in multiple human genome sequences have been identified as major common genetic determinants of this disease. We are applying our oligonucleotide platform technology to discover, research, optimize and develop oligonucleotides directed against MASH, including in collaboration with Merck.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ALG</w:t>
        <w:noBreakHyphen/>
        <w:t>000184: Potential best-in-class small molecule CAM-E for CHB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CHB is the most common viral infection in the world and an area of substantial unmet medical need. There are over 296 million chronic carriers worldwide and approximately 1.5 million individuals become newly infected every year despite the availability of an efficacious prophylactic vaccine. In 2019, there were more than 90 million cases of CHB in China alone, while the European Union (EU), United States and Japan accounted for nearly 8 million cases. Complications from CHB include cirrhosis, end-stage liver disease, and HCC, which collectively resulted in approximately 820,000 deaths in 2019, according to the World Health Organization. CHB is the primary cause of liver cancer worldwide, and the mortality associated with HBV-related liver cancer continues to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therapy for CHB may entail life-long treatment and does not eliminate the virus in a meaningful number of patients. In the case of nucleos(t)ide analogs, long-term treatment can lower the amount of HBV DNA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circulation, resulting in improvements in long-term disease outcomes, but virological relapse is common after treatment cessation. Our goal is to achieve greater rates of viral suppression (as measured by a combination of HBV markers, including DNA) and more meaningful rates of functional cure, which is defined as a sustained loss of HBsAg and HBV DNA with or without hepatitis B surface antibody seroconversion after a finite treatment course.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a portfolio of differentiated drug candidates for CHB, including a small molecule CAM-E and oligonucleotide (siRNA) that have entered clinical development, each of which are designed to interfere with clinically validated pathways in the HBV life cycle and may lead to higher rates of viral suppression and, in combination with other mechanisms of action, also may lead to higher rates of functional cure. We are also pursuing a strategy to restore immune function in CHB infected subjects through targeting of the PD-1 / PD-L1 pathway and have recently identified two lead molecules in this space. We have initiated scale-up to enable further advancement towards clinical development.</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ALG</w:t>
        <w:noBreakHyphen/>
        <w:t>000184 (CAM-E) for CHB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CAM-Es are a class of small molecule antiviral agents that accelerate HBV capsid assembly and inhibit pgRNA encapsidation (1st MOA), resulting in lower circulating HBV pgRNA and DNA levels and empty viral capsids. CAM</w:t>
        <w:noBreakHyphen/>
        <w:t>Es are also believed to regulate the establishment/replenishment of cccDNA (2nd MOA), a major factor for the persistence of HBV infection and which is detectable by circulating HBV antigen levels (HBsAg, HBcrAg, and HBeAg). In clinical trials, competitor CAM-Es have shown reductions in HBV DNA and RNA (1st MOA) but have rarely and inconsistently shown reductions in HBV antigens (2nd MOA).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2018, we in-licensed a lead drug candidate (GLP-26) and the associated IP for a CAM-E from the laboratory of Professor Raymond Schinazi at Emory University. Our scientists optimized this lead drug candidate to discover the picomolar potent CAM-E, ALG</w:t>
        <w:noBreakHyphen/>
        <w:t>001075, which was further optimized to the prodrug ALG</w:t>
        <w:noBreakHyphen/>
        <w:t>000184. The initial Phase 1a study in HVs for ALG</w:t>
        <w:noBreakHyphen/>
        <w:t>000184 has been completed as has a Phase 1b dose ranging study evaluating the safety, pharmacokinetics and antiviral activity of 10-300 mg doses of ALG</w:t>
        <w:noBreakHyphen/>
        <w:t>000184 for 28 days among untreated HBeAg positive/negative CHB subjects. ALG-000184 was found to be well tolerated with a favorable PK profile and demonstrated substantial HBV DNA and RNA reductions at all doses tested as well as HBsAg reductions in a subset of HBeAg positive subjects receiving 300 mg ALG-000184 (Hou et al., AASLD 2022). Based on the favorable profile after dosing up to 300 mg ALG-000184 x 28 days, additional Phase 1b cohorts are ongoing and evaluating the risk-benefit profile of 100-300 mg doses of ALG-000184 with or without background entecavir (ETV) therapy for ≤96 weeks in HBeAg positive or negative CHB patients. Preliminary data presented for HBeAg positive subjects in these cohorts indicate that ALG-000184 dosed for up to 48 weeks is well tolerated with a favorable PK profile and demonstrates potentially best</w:t>
        <w:noBreakHyphen/>
        <w:t>in</w:t>
        <w:noBreakHyphen/>
        <w:t xml:space="preserve">class antiviral activity (Yuen et al., AASLD 2023). Specifically, antiviral activity data demonstrated that 300 mg ALG-000184 + ETV resulted in profound reductions in HBV DNA which were superior to that achieved with ETV alone (Figure 8). Furthermore, the extent of HBV DNA suppression was similar whether ALG-000184 was dosed alone or in combination with ETV, potentially indicating ETV did not meaningfully contribute to observed DNA lowering effects. Also of note, ALG-000184 monotherapy was not associated with viral breakthrough over dosing periods of up to 40 weeks (Figure 8, right panel). These data indicate robust antiviral effects occur through the CAM-E 1st MOA. Emerging antiviral activity data also indicate that ALG-000184 may be inhibiting cccDNA establishment/replenishment (2nd MOA), which is an important component of maintaining the HBV life cycle and the disruption of which may enhance the rates of functional cure. Evidence for the inhibition of cccDNA establishment/replenishment can be found in Figure 9, where the rates of multiple important cccDNA-derived viral antigens (HBsAg, HBcrAg, and HBeAg) are reduced over time and in a dose responsive manner (Yuen et al., AASLD 2023).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Figure 8 – DNA over time in HBeAg positive subjects dosed with ALG-000184 with or without ETV or ETV alone (Yuen et al., AASLD 2023)</w:t>
      </w:r>
    </w:p>
    <w:p>
      <w:pPr>
        <w:pStyle w:val="TextBody"/>
        <w:bidi w:val="0"/>
        <w:jc w:val="left"/>
        <w:rPr/>
      </w:pPr>
      <w:r>
        <w:rPr/>
        <w:t> </w:t>
      </w:r>
    </w:p>
    <w:p>
      <w:pPr>
        <w:pStyle w:val="TextBody"/>
        <w:bidi w:val="0"/>
        <w:spacing w:before="120" w:after="283"/>
        <w:jc w:val="center"/>
        <w:rPr/>
      </w:pPr>
      <w:r>
        <w:rPr/>
        <w:drawing>
          <wp:inline distT="0" distB="0" distL="0" distR="0">
            <wp:extent cx="5943600" cy="2171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171700"/>
                    </a:xfrm>
                    <a:prstGeom prst="rect">
                      <a:avLst/>
                    </a:prstGeom>
                  </pic:spPr>
                </pic:pic>
              </a:graphicData>
            </a:graphic>
          </wp:inline>
        </w:drawing>
      </w:r>
      <w:r>
        <w:rPr/>
        <w:t> </w:t>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Figure 9 – HBV antigens over time in HBeAg positive subjects dosed with 300 mg ALG-000184 with or without ETV (Yuen et al., AASLD 2023)</w:t>
      </w:r>
    </w:p>
    <w:p>
      <w:pPr>
        <w:pStyle w:val="TextBody"/>
        <w:bidi w:val="0"/>
        <w:spacing w:before="120" w:after="283"/>
        <w:jc w:val="center"/>
        <w:rPr/>
      </w:pPr>
      <w:r>
        <w:rPr/>
        <w:t> </w:t>
      </w:r>
    </w:p>
    <w:p>
      <w:pPr>
        <w:pStyle w:val="TextBody"/>
        <w:bidi w:val="0"/>
        <w:spacing w:before="120" w:after="283"/>
        <w:jc w:val="center"/>
        <w:rPr/>
      </w:pPr>
      <w:r>
        <w:rPr/>
        <w:drawing>
          <wp:inline distT="0" distB="0" distL="0" distR="0">
            <wp:extent cx="5943600" cy="4343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4343400"/>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 term dosing in HBeAg positive and HBeAg negative subjects will continue throughout 2024, and interim safety, PK, and antiviral activity data will be presented at scientific conferences throughout the year.</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ALG</w:t>
        <w:noBreakHyphen/>
        <w:t>125755 (siRNA) for CHB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 interfering RNA (siRNA), also known as short interfering RNA or silencing RNA or RNA interference (RNAi), are a class of double-stranded, non-coding RNA, typically 20-27 base pairs in length. siRNA interferes with viral replication by silencing gene expression and subsequent protein (e.g., HBsAg) translation and secretion. siRNAs have shown efficacy across multiple indications, including CHB, where significant, gradual and durable reductions in HBsAg have been observed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started with our bioinformatics approach to identify regions of the HBV genome for targeting and used our proprietary technology to maximize potency and minimize the number of 2’-F nucleotides in our sequences. We applied this approach to our screening paradigm to identify our lead siRNA candidate, ALG</w:t>
        <w:noBreakHyphen/>
        <w:t xml:space="preserve">125755.We plan to seek additional external funding to further advance this drug candidate in clinical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Molecular characteristics and nonclinical data</w:t>
      </w:r>
    </w:p>
    <w:p>
      <w:pPr>
        <w:pStyle w:val="TextBody"/>
        <w:bidi w:val="0"/>
        <w:spacing w:before="120" w:after="283"/>
        <w:jc w:val="left"/>
        <w:rPr>
          <w:rFonts w:ascii="Times New Roman" w:hAnsi="Times New Roman"/>
          <w:sz w:val="20"/>
        </w:rPr>
      </w:pPr>
      <w:r>
        <w:rPr>
          <w:rFonts w:ascii="Times New Roman" w:hAnsi="Times New Roman"/>
          <w:color w:val="000000"/>
          <w:sz w:val="20"/>
        </w:rPr>
        <w:t>In cell-based assays measuring reduction in HBsAg in infected cells, our lead siRNA drug candidate, ALG</w:t>
        <w:noBreakHyphen/>
        <w:t>125755, demonstrated potent inhibition of HBsAg release from HBV-infected cells. When dosed in vivo in the AAV-HBV mouse model of CHB infection, a single 5 mg/kg subcutaneous injection resulted in a sustained reduction of serum HBsAg of approximately 1-1.5 log</w:t>
      </w:r>
      <w:r>
        <w:rPr>
          <w:rFonts w:ascii="Times New Roman" w:hAnsi="Times New Roman"/>
          <w:color w:val="000000"/>
          <w:sz w:val="13"/>
        </w:rPr>
        <w:t>10</w:t>
      </w:r>
      <w:r>
        <w:rPr>
          <w:rFonts w:ascii="Times New Roman" w:hAnsi="Times New Roman"/>
          <w:color w:val="000000"/>
          <w:sz w:val="20"/>
        </w:rPr>
        <w:t xml:space="preserve"> IU/mL through the last measurement at 28 days. Similarly, multiple 5 mg/kg doses of ALG-125755 in the AAV-HBV mouse model resulted in sustained up to ~2.5 log</w:t>
      </w:r>
      <w:r>
        <w:rPr>
          <w:rFonts w:ascii="Times New Roman" w:hAnsi="Times New Roman"/>
          <w:color w:val="000000"/>
          <w:sz w:val="13"/>
        </w:rPr>
        <w:t xml:space="preserve">10 </w:t>
      </w:r>
      <w:r>
        <w:rPr>
          <w:rFonts w:ascii="Times New Roman" w:hAnsi="Times New Roman"/>
          <w:color w:val="000000"/>
          <w:sz w:val="20"/>
        </w:rPr>
        <w:t>IU/mL reductions in HBsAg levels. ALG-125755 compared favorably to a competitor siRNA (e.g., VIR-2218) based on a reported AAV-HBV experiment (Anglero-Rodriguez Y. et al., EASL 2020, Poster SAT-426), however it should be noted that this study was not conducted as a head-to-head study.</w:t>
      </w:r>
    </w:p>
    <w:p>
      <w:pPr>
        <w:pStyle w:val="TextBody"/>
        <w:bidi w:val="0"/>
        <w:spacing w:before="120" w:after="283"/>
        <w:jc w:val="left"/>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Figure 10: HBsAg Values Over Time for VIR-2218 and ALG-125755 in AAV-HBV Mouse Model</w:t>
      </w:r>
    </w:p>
    <w:p>
      <w:pPr>
        <w:pStyle w:val="TextBody"/>
        <w:bidi w:val="0"/>
        <w:jc w:val="left"/>
        <w:rPr/>
      </w:pPr>
      <w:r>
        <w:rPr/>
        <w:drawing>
          <wp:inline distT="0" distB="0" distL="0" distR="0">
            <wp:extent cx="5943600" cy="1581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158115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Evaluation of single ALG-125755 doses in a Phase 1 first in human study is now complete. Part 1 of this study evaluated single ascending doses (SAD) from 20 mg to 200 mg in healthy volunteers and found that these doses were well tolerated with a favorable PK profile (Gane et al., APASL, 2023). Part 2 of the study, evaluated single 50-320 mg doses in virologically suppressed HBeAg negative CHB subjects, where it demonstrated an acceptable safety results, predictable PK, and evidence of antiviral activity (HBsAg lowering) at all dose levels evaluated. We plan to seek additional external funding to further advance this drug candidate in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conclusion, our proprietary siRNA technology is based on modifying chemistries, patterns and the use of our proprietary GalNAc liver targeting technology, and has resulted in the identification of drug candidates, including ALG</w:t>
        <w:noBreakHyphen/>
        <w:t>125755, that have shown promising results with long lasting durability in nonclinical CHB models.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ALG</w:t>
        <w:noBreakHyphen/>
        <w:t>097558: Potential best-in-class small molecule pan-coronavirus protease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SARS-CoV-2 is responsible for the COVID-19 pandemic, which has infected more than 760 million individuals and is responsible for the death of more than 6.9 million individuals worldwide (WHO – 9 August 2023), including approximately 1.1 million in the US. After Middle East Respiratory Syndrome (MERS) and SARS (SARS-CoV-1), SARS-CoV-2 is the third known coronavirus to cross over from animal species to humans and cause significant morbidity and mortality in the past 20 years. Due to the COVID-19 pandemic and the risk of additional novel coronaviruses emerging in the future, there is a need to develop novel therapeutics with pan-coronavirus activity that have a high barrier to resistance. While multiple vaccines are now available, it is unlikely that vaccination will be fully efficacious against all emerging variants and/or widely adopted, indicating that the need for effective therapeutic treatments will remain. Two orally available therapeutics have been authorized for emergency use for the outpatient treatment of COVID-19, but both have important limitations related to sub-optimal efficacy (molnupiravir, a nucleoside analog; Merck) or the need for ritonavir boosting (PF-07321332/nirmatrelvir, a protease inhibitor; Pfizer). Our drug candidate, ALG</w:t>
        <w:noBreakHyphen/>
        <w:t>097558, is at least 6-fold more potent in cell-based assays than nirmatrelvir against a panel of SARS-CoV-2 variants (including Omicron), has broad pan-coronavirus activity, and is not projected to require ritonavir boosting.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development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evaluating the safety and pharmacokinetics of ALG-097558 after single and multiple (twice daily dosing x 5 days) doses in healthy volunteers. As of February 28, 2024, single doses up to 2000 mg have been well tolerated with acceptable PK results observed and we anticipate completing all single/multiple dosing cohorts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half of 2024. We plan to share topline data from this study in the second quarter of 2024 at a scientific conference. We are also utilizing awarded NIH/NIAID grants/contracts with a total projected value of $11.0 million to fund additional nonclinical and clinical studies, including those required to advance ALG-097558 into later phases of development. Several of these studies are planned to be conducted throughout 2024. In parallel to these studies, we are also presently seeking additional external funding (e.g., from governmental agencies) to support future studies (e.g., Phase 2) as we advance ALG-097558 for the treatment of COVID and future coronavirus pandemics.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Early-stage discovery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development stage drug candidates, we are pursuing backup candidates in order to create a robust portfolio of assets which we can draw upon to create an optimized combination regimen for treatment in all of our disease areas of interest. We are also targeting additional novel viral and host targets with our oligonucleotide and small molecule platforms.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assets are currently pre-commercial, and as such we have not yet established a sales and marketing organization or distribution capabilities. We intend to pursue independent development and commercialization in select indications and markets, and plan to build a commercial infrastructure to support a specialty sales and marketing organization, as well as distribution capabilities. Similar to our research, clinical and manufacturing operations, we expect to manage sales, marketing and distribution through dedicated staff and third-party contractors and consultants. We may opportunistically explore licensing agreements, collaborations or partnerships with one or more pharmaceutical companies to enhance our commercial capabilities.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developing drug candidates in two primary modalities: small molecules and oligonucleotides. We have internal small molecule and oligonucleotide chemistry teams that are able to produce drug candidates at sufficient scale to support discovery activities. In addition, we have a dedicated internal chemistry, manufacturing and control (CMC) team that works with contract development and manufacturing organizations to produce drug candidates in larger quantities, including to support nonclinical and clinical studies. We have built the teams and infrastructure needed to conduct and manage process development, analytical development, quality, manufacturing and supply chain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Small molecule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 molecule manufacturing is a mature industry and is well supported by an extensive network of contract manufacturers. Like our approach for oligonucleotides, our internal CMC team conducts process development and optimization, and supports our contract manufacturers with technology transfer.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Oligonucleotides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Oligonucleotide manufacturing technology has matured significantly over the last several decades, with advanced oligonucleotide synthesizers commercially available to support smaller-scale synthesis, and a network of oligonucleotide contract manufacturers available to support larger-scale syntheses. Our internal CMC team supports our contract manufacturers with process development and optimization, or, where needed, we may collaborate with external consultants and contractors to optimize synthesis and scale-up.</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life sciences industry is highly competitive and subject to rapid and significant technological change. Our competitors include multinational pharmaceutical companies, established biotechnology companies, universities and other research institutions. Many of our competitors have significantly greater financial, technical, human and other resources than we do and may be better equipped to develop, manufacture and market technologically superior products. In addition, many of these competitors may have significantly greater experience than we have in undertaking nonclinical studies and human clinical trials of new pharmaceutical drug candidates and in obtaining regulatory approvals of human therapeutic candidates. Accordingly, our competitors may develop superior drug candidates and may succeed in obtaining FDA approval for such candidates. Many of our competitors have established distribution channels for the commercialization of their products, whereas we have no such channel or capabilities. In addition, many competitors have greater name recognition and more extensive collaborative relationships.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drug candidates that we successfully develop and commercialize may compete with existing therapies and/or new therapies that may become available in the future. Our competitors may obtain regulatory approval of their candidates more rapidly than we do or may obtain patent protection or other intellectual property rights that limit our ability to develop or commercialize our drug candidates or any future drug candidates. Our competitors may also develop drugs that are more effective, more convenient, more widely used and less costly or that have a better safety profile than our drugs (if any) and these competitors may also be more successful than we are in manufacturing and marketing their products. If we are unable to compete effectively against our competitors, we may not be able to commercialize our drug candidates or any future drug candidates or achieve a competitive position in the market. This would adversely affect our ability to generate revenue. It is likely that our competitors, either working alone or in collaboration with others, will have significantly greater financial resources, an established presence in target markets, expertise in research and development, manufacturing, nonclinical and clinical testing, and experience obtaining regulatory approvals and reimbursement and marketing approved products than we do. We are also in competition for the limited qualified scientific, sales, marketing and management personnel, space at clinical trial sites, for patient registration for clinical trials and technologies complementary to, or necessary for, our programs. New competitors may emerge, smaller or early-stage companies may grow, either on their own or through collaborative arrangements with large and established companies and competitors may concentrate through mergers and acquisitions.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MASH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currently are no FDA-approved treatments for MASH. A number of pharmaceutical companies, including AbbVie, Inc., AstraZeneca PLC/MedImmune LLC, Bristol-Myers Squibb Company, Eli Lilly and Company, Janssen, Merck, Novartis Pharmaceuticals Corporation (together with Pfizer, Inc.), Novo Nordisk A/S, Pfizer Inc., Roche, Sanofi S.A. and Takeda Pharmaceutical Company Limited (together with HemoShear Therapeutics, LLC), as well as large and small biotechnology companies such as 89bio, Inc., Akero Therapeutics, Inc., Cirius Therapeutics, Inc., Galectin Therapeutics Inc., Galmed Pharmaceuticals Ltd., Gilead, Inventiva Pharma SA, Madrigal Pharmaceuticals, Inc., MediciNova, Inc., Pliant Therapeutics, Inc. (together with Novartis), Terns Pharmaceuticals, Inc. and Viking Therapeutics, Inc. are pursuing the development or marketing of pharmaceuticals that target MASH. It is also probable that the number of companies seeking to develop products and therapies for the treatment of serious metabolic diseases, such as MASH, will increase.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CHB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functional or complete cure in patients with CHB. Companies with oligonucleotide agents in clinical development include Arbutus Biopharma Corporation, Dicerna Pharmaceuticals, Inc. (together with Roche), Ionis Pharmaceuticals, Inc. (together with GlaxoSmithKline plc (GSK)), Arrowhead Pharmaceuticals, Inc. (together with Janssen Pharmaceuticals, Inc. (Janssen)), and Vir Biotechnology, Inc. (together with Alnylam Pharmaceuticals, Inc.). Several companies are developing CAM-Es, including Johnson &amp; Johnson, Assembly Biosciences Inc., Arbutus Biopharma Corporation, Roche and Enanta Pharmaceuticals. Several companies, including Altimmune, Inc., GSK, Janssen and Transgene SA, are developing therapeutic vaccines for HBV, and several others have approved HBV vaccines, including Dynavax Technologies, Inc., GSK, Johnson &amp; Johnson, and Merck. Replicor, Inc. is developing nucleic acid polymers (NAPs) for use in CHB patients.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Coronaviruses competitors</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remdesivir, which is FDA-approved,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w:t>
      </w:r>
      <w:r>
        <w:rPr>
          <w:rFonts w:ascii="Arial" w:hAnsi="Arial"/>
          <w:color w:val="000000"/>
          <w:sz w:val="24"/>
        </w:rPr>
        <w:t xml:space="preserve">, </w:t>
      </w:r>
      <w:r>
        <w:rPr>
          <w:rFonts w:ascii="Times New Roman" w:hAnsi="Times New Roman"/>
          <w:color w:val="000000"/>
          <w:sz w:val="20"/>
        </w:rPr>
        <w:t xml:space="preserve">Jakafi by Incyte Corporation, and Kevzara by Sanofi S.A./Regeneron Pharmaceuticals, Inc. There are significant efforts globally to develop both therapeutic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prophylactic drug candidates including by Enanta Pharmaceuticals, Pardes Biosciences, Novartis, and Shionogi. Several companies are focused on antibody treatments, including Amgen Inc. (together with Adaptive Biotechnologies Corporation), AbCellera Biologics, Inc. (together with Eli Lilly and Company), Regeneron Pharmaceuticals, Inc. and Vir Biotechnology, Inc. (together with GSK, Biogen Inc. and WuXi Biologics Ltd.). Numerous efforts are underway to develop vaccines against SARS-CoV-2, including by Altimmune, Inc., AstraZeneca PLC (together with Oxford University), BioNTech SE (together with Pfizer Inc.), GSK (together with Sanofi S.A.), Heat Biologics, Inc., Inovio Pharmaceuticals, Inc., Johnson &amp; Johnson, Moderna, Inc., Novavax, Inc., and Vaxart,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BioNTech SE (together with Pfizer Inc.), Janssen Pharmaceutical Companies of Johnson &amp; Johnson and Moderna Inc. have each developed COVID-19 vaccines that have received FDA approval and/or authorization for emergency use and are being widely administered. In addition, on December 22, 2021, Pfizer, Inc. received an emergency use authorization from the FDA for Paxlovid, an orally administered COVID-19 protease inhibitor co-administered with ritonavir. Similarly, Merck (together with Ridgeback Bio), is developing the drug molnupiravir, an oral antiviral drug which also has been issued an emergency use authorization by the FDA on December 23, 2021.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License agreements and collaborations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Research Collaboration with Merck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2020, we entered into an exclusive License and Research Collaboration Agreement with Merck under which Merck and Aligos will apply our oligonucleotide platform technology to discover, research, optimize and develop oligonucleotides directed against a MASH target and up to one additional liver-targeted cardiometabolic and/or fibrosis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2022, we entered into an amendment to such License and Research Collaboration Agreement, which expanded our collaboration to include a license to Merck of an early-stage program directed to a second undisclosed MASH target on which we had previously been working independently and separately from Merck. In addition, under this expanded arrangement, Merck has the right to add a third target of interest to the collaboration. This third target, if added, will be for a liver-based cardiometabolic/fibrosis target. Such right to add a third target to the collaboration expired in January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original agreement, we received an upfront payment from Merck. Under the amendment, we received a payment from Merck to carry out the research program for the second undisclosed MASH target. With respect to each collaboration target, we will be eligible to receive up to approximately $460 million in development and commercialization milestones as well as tiered royalties on net sales. We will be primarily responsible for designing, preparing and evaluating the oligonucleotide molecules and delivering optimized lead molecules, and Merck will be responsible for subsequent research, clinical development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Merck has the right to terminate the License and Research Collaboration Agreement in its entirety or on a target-by-target basis at any time by giving us 90 days’ written notice. From the time Merck assumes responsibility for subsequent research until achievement of a certain regulatory event, we may terminate the License and Research Collaboration Agreement if Merck ceases all development activities for a specified period and fails to resume such activities within a reasonable time after we provide them with a resumption notice. Either party may terminate the License and Research Collaboration Agreement upon the other party’s uncured material breach or insolvency. Upon termination for any reason other than our material breach, we will have the right to acquire from Merck the products and compounds being developed or commercialized by Merck under the License and Research Collaboration Agreement. Good faith negotiations between us and Merck would be performed to enact a transition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Merck provided us written notice of termination for one of the targets in the collaboration.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Emory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2018, we entered into a license agreement with Emory (the Emory License Agreement), pursuant to which Emory granted us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all fields except for the treatment and prevention of HBV; however, we may select up to six compounds which will maintain exclusivity with respect to all therapeutic and prophylactic uses. With respect to all other compounds that are enabled by the licensed patents, those which are jointly invented by us and Emory or inventors in the Schinazi laboratory, or which are disclosed in a specified licensed patent, are licensed to us exclusively including as to Emory; whereas all other such compounds are licensed to us non-exclusively. Under the terms of the Emory License Agreement, we are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us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Emory reserves the right for itself to practice, and have practiced by other entities solely for purposes of collaborative research with Emory, under the licensed patents for educational purposes, Emory’s internal purposes, and for non-commercial research, patient care and treatment. Emory can further grant licenses to not-for-profit and governmental institutions for their internal non-commercial research and scholarly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Ownership of any new inventions arising out of our activities under the Emory License Agreement follows the inventorship laws of the United States. With respect to the licensed patents owned by Emory, we are required to prepare documents and filings for the prosecution and maintenance of such licensed patents, while Emory retains the option to provide final edits and approval of such documents and is responsible for the actual filing of such documents. We are responsible for the cost of the prosecution and maintenance of the licensed patents, and we have the first right, but not the obligation, to enforce such patents. We are solely responsible for the costs of any lawsuits we elect to initiate to enforce the licensed patents and cannot enter into a settlement in respect of such lawsuits without the prior written consent of Emory. Any sums recovered in such lawsuits will be shared equally between us and Emory after reimbursement of our costs for such litigation, except that for any award based on lost profits, Emory shall recover the greater of fifty percent of the award or the royalty Emory would have received had the infringing sales been made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technology claimed by the licensed patents under the Emory License Agreement may have been developed using U.S. government funding and the licenses therefore may be subject to a non-exclusive license held by the U.S. government, certain requirements that licensed products be manufactured substantially in the United States and U.S. government march-in rights. For more information on risks related to technology developed using government funding see the section titled “Risk Factors—Risks related to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Emory License Agreement, we are obligated to use commercially reasonable efforts to bring licensed products to market in accordance with a mutually agreed upon development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we amended the license agreement with Emory. Pursuant to the amended license agreement, Emory granted us additional patent rights to certain compounds targeting the treatment or prevention of HBV. As consideration for the additional rights, we made a one-time, non-refundable payment to Emory in the amount of $0.2 million, with an additional obligation to pay up to a maximum of $35,000. On the same date, we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we exercised our option to extend it for a second year. In June 2022, the research plan terminated. In connection with the research plan, we will provide Emory funding up to $0.3 million per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agreed to pay Emory up to an aggregate of $125.0 million upon the achievement of specified development, regulatory, and commercial milestones, and all ongoing patent costs. During the twelve months ended December 31, 2023 and 2022, we had no expenses related to milestone payments. We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twelve months ended December 31, 2023 and 2022, we made no payments associated with royalties and recognized no expense or accruals.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Emory License Agreement will expire upon expiration of the last-to-expire patent licensed to us thereunder. We may terminate the Emory License Agreement at any time in its entirety or with respect to specific patents for convenience by providing Emory with 90 days’ written notice and are required to terminate the Emory License Agreement if we make a final decision to cease research, development or commercialization of any licensed products. Either party may terminate the Emory License Agreement if the other party materially breaches such agreement and fails to timely cure such breach. Emory may terminate the Emory License Agreement if we fail to reach a milestone at an agreed date and fail to timely provide commercially reasonable evidence of a reasonable, good-faith business or technical justification for such failure. Upon termination of the Emory License Agreement for our material breach, we will, upon Emory’s request, grant to Emory a non-exclusive, royalty-free license to all of our rights in patents owned by, licensed or controlled by us to the extent they relate to our exercise of the licensed rights under the Emory License Agreement and include claims covering the manufacture, use or sale of any licensed products containing the licensed compounds. The Emory License Agreement will automatically terminate if we become bankrupt or insolvent or if we challenge the validity or enforceability of any patent licensed to us under the Emory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agreed to indemnify Emory and certain others under the Emory License Agreement for losses they may suffer arising out of the rights licensed thereunder or the manufacturing, testing, design, use, sale or labeling of any product containing a licensed compound, unless caused by such potential indemnitee’s negligence.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Luxna Biotech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19, 2018, we entered into a license agreement with Luxna, pursuant to which Luxna granted us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we may select at any time during the first eight years of the term, to the extent not licensed to a third party, and (iii) products containing oligonucleotides targeting up to three genes which contribute to hepatocellular carcinoma, which we may select at any time during the first three years of the term, which expired in December 2021. As consideration for this agreement, we paid an upfront license fee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we amended the license agreement with Luxna. Pursuant to the amended license agreement, Luxna granted us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we paid Luxna a one-time non-refundable fee of $0.2 million in April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make payments to Luxna, in aggregate, totaling up to but no more than $55.5 million upon the achievement of specified development, regulatory, and commercial milestones. During the twelve months ended December 31, 2023 and 2022, we recognized no expenses related to milestone payments. We are also required to pay Luxna a low-single digit royalty percentage on net sale of applicable products, if any. During the twelve months ended December 31, 2023 and 2022, we made no payments associated with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Luxna’s rights to the intellectual property subject to the Luxna Agreement stem from an exclusive license (the Luxna-Osaka Agreement) from Osaka University (Osaka) for certain rights pertaining to modifications of XNA and other gapmer technologies covered by the licensed patents. Separately, Osaka granted rights to certain third parties in connection with the licensed patents, such as rights to amido-bridged nucleic acid (AmNA) for specific indications including MASH, rights to manufacture reagents containing the modifications of AmNA and rights to use specified genes. Such rights are not included in the scope of rights granted to us under the Luxna Agreement and the Luxna Agreement does not prevent Osaka from using any of the licensed rights under the Luxna Agreement for its non-commercial research purposes relating to the modifications of XNA.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of any new inventions arising out of our activities under the Luxna Agreement will follow the inventorship laws of the United States. Luxna retains the responsibility for the prosecution and maintenance of the licensed patents, provided that Luxna consider our comments and suggestions in connection therewith. We retain step-in rights should Luxna decide to no longer prosecute or maintain any licensed patents under the Luxna Agreement. We have the first right, but not the obligation, at our sole expense to enforce the licensed patents. In connection with any infringement suit, neither party can enter into a settlement without the prior written consent of the other.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Luxna Agreement will expire upon expiration of the last-to-expire patent licensed to us under the agreement. We may terminate the Luxna Agreement at any time for convenience by providing Luxna with 90 days’ written notice. In addition, we have agreed to terminate the Luxna Agreement if we make a final decision to cease research, development or commercialization of the licensed products. Either party may terminate the Luxna Agreement if the other party materially breaches the Luxna Agreement and fails to timely cure such breach. The Luxna Agreement will automatically terminate if we become bankrupt or insolvent.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agreed to indemnify Luxna and certain others under the Luxna Agreement for losses they may suffer arising out of the rights licensed thereunder or the manufacturing, testing, design, use, sale or labeling of any product containing a licensed product, unless caused by such potential indemnitee’s negligence.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 with Katholieke Universiteit Leuven (KU Leuven)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2020, we entered into a Research, Licensing and Commercialization Agreement (KU Leuven Agreement) with KU Leuven, under which we are collaborating with KU Leuven’s Rega Institute for Medical Research, as well as its CD3,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we and KU Leuven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us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we are obligated to make payments to KU Leuven, in aggregate, totaling up to but no more than $30.0 million upon the achievement of certain commercial sales milestones. For each licensed product developed through KU Leuven and our collaborative effort, we are obligated to make payments to KU Leuven, in aggregate, totaling up to $32.0 million upon the achievement of certain development and regulatory milestones. We are also required to pay KU Leuven a low-to-mid-single digit royalty percentage, subject to certain adjustments, on net sales of applicable products, if any. We are also required to pay a share of upfront transaction consideration received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year ended December 31, 2023, we recognized and paid $2.0 million related to milestone payments due to the first dosing of the first patient in a Phase 1 clinical trial. No milestone payments were made in the year ended December 31, 2022.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key to our success is our ability to establish and maintain protection for our drug candidates, platform technology and know-how, in order to enforce and defend our intellectual property rights. To protect our drug candidates and technologies, we file U.S., Patent Cooperation Treaty (PCT) and foreign patent applications related to our inventions, improvements, manufacturing and analytical processes and technology. We also rely on our know-how, confidential methodologies and processes and continuing technological innovation as well as our active third-party intellectual property in-licensing program to develop and maintain our proprietary positions, in addition to trademarks, copyrights and trade secret laws, and employee disclosure and invention assignment agreements.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misappropriation of our proprietary technology by third parties. However, such agreements and policies may be breached, and we may not have adequate remedies for such breaches. For more information regarding the risks related to our intellectual property, see the section titled “Risk Factors—Risks related to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licensed patents and patent applications from various entities, including Emory, Luxna and AM Chemicals, which are further described below. Regarding our owned patent portfolio, as of December 31, 2023, we own 22 issued U.S. patents, 27 U.S. non-provisional patent applications, 6 U.S. provisional patent applications (excluding any non-expired U.S. provisional applications to which priority has already been claimed), 17 PCT applications, 2 issued foreign patents and 269 foreign patent applications, including pending applications in the Arab Emirates, ARIPO, Argentina, Australia, Brazil, Canada, Chile, China, Colombia, Eurasia, Egypt, the EU, Georgia, Indonesia, Israel, India, Japan, South Korea, Malaysia, Mexico, New Zealand, OAPI, Peru, Philippines, Russian Federation, Singapore, Thailand, Taiwan, Ukraine, Uzbekistan and South Africa. The expected expiration dates of our issued patents are between 2039 and 2042, and any patents that issue from our non-provisional U.S. and foreign patent applications are expected to expire between 2039 to 2043, excluding any potentially available patent term extensions and/or patent term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our drug candidates, we have filed and licensed certain patent applications and we generally intend to pursue patent protection covering compositions of matter, methods of making, and methods of use of such drug candidates. As of December 31, 2023, we own 5 U.S. patents with claims directed to ALG-000184, ALG-055009, ALG-125755 and ALG-097558.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Licensed intellectual property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Emory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licensed exclusive rights to a patent estate from Emory in the CAM-E chemical space, consisting of two issued U.S. patents, one pending non-provisional U.S. patent application as well as 13 issued foreign patents and 29 foreign patent applications. The issued U.S. patent has an expected expiration date of March 2037, and any patents that issue from our non-provisional U.S. and foreign patent applications are expected to expire between 2037 and 2041, excluding any potentially available patent term extensions or adjustments.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Luxna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licensed rights to a patent estate from Luxna in the oligonucleotide chemical space, consisting of six issued U.S. patents, one non-provisional U.S. patent application and 15 issued foreign patents and four foreign patent applications. We have exclusive rights to use this technology in the development of drug candidates for CHB, as well as rights to certain named targets in MASH and respiratory diseases, including coronaviruses. The issued U.S. patents are expected to expire between October 2030 and February 2038, and any patents that issue from our non-provisional U.S. and foreign patent applications are expected to expire between 2035 and 2038, excluding any potentially available patent term extensions or adjustments.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 Chemicals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licensed exclusive rights to the use of specific oligonucleotide constructs encompassed by the patent estate from AM Chemicals, including two issued U.S. patents, and three foreign patent applications. The issued U.S. patents have an expected expiration date of July 2037, and any patents that issue from the foreign patent applications are expected to expire in 2037, excluding any potentially available patent term extensions or patent term adjustments.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Drug candidate intellectual property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MASH—ALG</w:t>
        <w:noBreakHyphen/>
        <w:t>055009 and additional potential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a patent family that includes one issued U.S. patent, one U.S. non-provisional application, one U.S. provisional application and 30 foreign applications which have claims directed to compositions of matter, formulations and method of use including for ALG</w:t>
        <w:noBreakHyphen/>
        <w:t xml:space="preserve">055009, our lead drug candidate for the treatment of MASH. These patent families also disclose combination therapies with our lead molecule. Our issued U.S. Patent 1,1091,467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 expected to expire in May 2040, and any patents that issue from our non-provisional U.S. and foreign patent applications are expected to expire between 2040 and 2043, excluding any potentially available patent term extensions or patent term adjustments.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Hepatitis B—ALG</w:t>
        <w:noBreakHyphen/>
        <w:t>000184 and additional potential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a patent family that includes two issued U.S. patents, one non-provisional U.S. patent application, and 31 applications pending across multiple jurisdictions that have claims directed to composition of matter, including for ALG</w:t>
        <w:noBreakHyphen/>
        <w:t xml:space="preserve">000184 (our lead CAM-E molecule), pharmaceutical composition and method of use claims. This patent family also includes claims directed to combination treatment with our lead molecule with other modes of action drugs and drug candidates directed against CHB. Our issued U.S. Patents 11,191,747 and 11,771,680 are projected to expire in April 2040, and any patents that issue from our non-provisional U.S. and foreign patent applications are expected to expire in 2040, excluding any potentially available patent term extensions or adjustments.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Hepatitis B—ALG</w:t>
        <w:noBreakHyphen/>
        <w:t>125755 and additional potential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a patent family that includes one issued U.S. Patent, three non-provisional U.S. patents and 30 foreign patent applications pending across multiple jurisdictions that have claims directed to compositions of matter, including ALG</w:t>
        <w:noBreakHyphen/>
        <w:t xml:space="preserve">125755, our lead siRNA candidate, and methods of use. This patent family also discloses combination therapies with our lead molecule. Our issued U.S. patent 11,549,110 is projected to expire in March 2041, and any patents that issue from our non-provisional U.S. and foreign patent applications are expected to expire in 2041, excluding any additional term from a potential patent term extension or adjustment.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Coronaviruses—ALG-097558 and additional potential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a patent family that includes two issued U.S. patents, one non-provisional U.S. application, one PCT application and one foreign application all of which have claims directed to compositions of matter and method of use, including for ALG</w:t>
        <w:noBreakHyphen/>
        <w:t>097558, our lead drug candidate for the treatment of coronavirus. This patent family also discloses combination therapies with our lead molecule. Our issued U.S patent 11,851,422 expires in 2042, and any patents that issue from our non-provisional U.S. and foreign patent applications are expected to expire in 2042, excluding any potentially available patent term extensions or adjustments.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Discovery pipeline intellectual property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four issued U.S. patents, two U.S. non-provisional patent applications and 35 foreign patent applications that include claims directed to compositions of matter and methods of use with our additional drug candidates for the treatment of MASH. These applications also disclose combination therapies with our drug candidates and other compounds for treating MASH. Our issued patents are expected to expire in 2041, and any patents that issue from our non-provisional U.S. and foreign applications are projected to expire in 2041, excluding any potentially available patent term extensions or patent term adjustments.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Hepatitis 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multiple additional patent families of applications that include claims directed to compositions of matter, pharmaceutical compositions and methods of use for the treatment of CHB with our additional drug candidates. These families include six issued U.S. patents, five U.S. non-provisional patent applications, one U.S. provisional patent application, four PCT patent applications and 40 foreign patent applications in the small molecule space and four issued U.S. patents, eight U.S. non-provisional patent applications, three PCT patent applications and 65 foreign patent applications in the oligonucleotide space. These patent families also disclose combination therapies with our drug candidates and other compounds for treating CHB. Our issued patents and any patents that issue from our U.S. non-provisional or foreign patent applications in these patent families are expected to expire between 2040 to 2043, excluding any potentially available patent term extensions or patent term adjustments.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Coronaviruses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allowed U.S. patent application, four U.S. non-provisional patent applications, four PCT applications and 22 foreign applications that include claims directed to compositions of matter, pharmaceutical compositions, and methods of use for treating coronaviruses. Some of these applications are co-owned by Aligos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 collaborator. These patent families also include disclosures relating to combination therapy strategies for treating coronaviruses. Any patents that issue from our U.S. non-provisional and foreign patent applications are expected to expire from 2041 to 2042, excluding any potentially available patent term extensions or patent term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both our licensed and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our platforms and drug candidates and the methods used to manufacture them. Moreover, the time required for development, testing and regulatory review of our candidate drug candidates may shorten the length of effective patent protection following commercialization. If we do obtain any patents for our drug candidates, the term of such patents depends upon the legal term of the patents in the countries in which they are obtained. In most countries in which we file, the patent term is 20 years from the earliest date of filing of a non-provisional patent application. In the United States, the patent term of a patent that covers an FDA 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other foreign jurisdictions to extend the term of a patent that covers an approved drug or biologic. In the future, if our drug candidates receive FDA approval and if our patent applications relating to such drug candidates issue as patents,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FDA in the United States, will agree with our assessment of whether these extensions should be granted, and if granted, the length of these extensions. For this and other risks related to our proprietary technology, inventions, improvements, platforms and product candidates, see the section titled “Risk Factors—Risks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 portfolio contains several trademark applications and registrations, including U.S. and foreign, as of December 31, 2023. The trademark portfolio includes the mark ALIGOS which is registered in the United States, Australia, the EU, Great Britain, Japan, and China.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Government regulation and product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other regulatory authorities at the federal, state, and local level, as well as in foreign countries, extensively regulate, among other things, the research, development, testing, manufacture, storage, recordkeeping, approval, labeling, marketing and promotion, distribution, post-approval monitoring and reporting, sampling, and import and export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 drug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 FDA regulates drugs under the Federal Food, Drug, and Cosmetic Act (the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required by the FDA before drug candidates may be marketed in the United States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nonclinical laboratory tests and animal studies, where all supporting safety and toxicity studies are performed in accordance with the FDA’s Good Laboratory Practice (GLP)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investigational new drug application (IND), which must become effective before human clinical trials may begin and must be updated annually or when significant changes are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(IRB), representing each clinical site before a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trials in accordance with good clinical practice (GCP) regulations to establish the safety and efficacy of the product candidate for each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and submission to the FDA of a new drug application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within 60 days of its receipt of an NDA to file the application for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facility(ies) where the product is manufactured to assess compliance with current good manufacturing practice (cGMP) regulations, and of selected clinical investigation sites to assess compliance with GCP;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an NDA to permit commercial marketing of the product for its particular labeled uses in the United States.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Nonclinical and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nonclinical and clinical testing process can take many years and the actual time required to obtain approval, if any, may vary substantially based upon the type, complexity and novelty of the drug or condition being treated.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Nonclinical tests include laboratory (in vitro) evaluation of drug chemistry, formulation and toxicity, as well as animal (in vivo) studies to assess the characteristics and potential safety and efficacy of the drug candidate. The conduct of nonclinical studies that provide safety and toxicological information must comply with federal regulations and requirements, including GLPs. The results of nonclinical studies are submitted to the FDA as part of an IND along with other information, including information about drug CMC and any available human data or literature to support use of the drug in humans. Long-term nonclinical tests, such as animal tests of reproductive toxicity and carcinogenicity, may continue after the IND is submitted.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drug to human subjects under the supervision of qualified investigators in accordance with GCPs, which include the requirement that all research subjects provide their informed consent for participation in each clinical trial. Clinical trials are conducted under protocols detailing, among other things, the objectives of the trial, the parameters to be used in monitoring safety and the efficacy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criteria to be evaluated. A protocol for each clinical trial and any subsequent protocol amendments must be submitted to the FDA as part of the IND. Additionally, approval must also be obtained from each clinical trial site’s IRB before a trial may be initiated at the site, and the IRB must monitor the trial until completed. Sponsors of clinical trials generally must register and report ongoing clinical trials and clinical trial results to public registries, including the website maintained by the U.S. National Institutes of Health, ClinicalTrials.gov.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NDA approval, human clinical trials are typically divided into three or four phases. Although the phases are usually conducted sequentially, they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Phase 1</w:t>
      </w:r>
      <w:r>
        <w:rPr>
          <w:rFonts w:ascii="Times New Roman" w:hAnsi="Times New Roman"/>
          <w:b/>
          <w:color w:val="000000"/>
          <w:sz w:val="20"/>
        </w:rPr>
        <w:t>.</w:t>
      </w:r>
      <w:r>
        <w:rPr>
          <w:color w:val="000000"/>
        </w:rPr>
        <w:t xml:space="preserve"> </w:t>
      </w:r>
      <w:r>
        <w:rPr>
          <w:rFonts w:ascii="Times New Roman" w:hAnsi="Times New Roman"/>
          <w:color w:val="000000"/>
          <w:sz w:val="20"/>
        </w:rPr>
        <w:t>The drug is initially introduced into healthy human subjects or into patients with the target disease or condition. These studies are designed to evaluate the safety, dosage tolerance, metabolism and pharmacologic actions of the drug in humans, the side effects associated with increasing doses, and if possible, to gain early evidence of effectiveness.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Phase 2</w:t>
      </w:r>
      <w:r>
        <w:rPr>
          <w:rFonts w:ascii="Times New Roman" w:hAnsi="Times New Roman"/>
          <w:b/>
          <w:color w:val="000000"/>
          <w:sz w:val="20"/>
        </w:rPr>
        <w:t>.</w:t>
      </w:r>
      <w:r>
        <w:rPr>
          <w:color w:val="000000"/>
        </w:rPr>
        <w:t xml:space="preserve"> </w:t>
      </w:r>
      <w:r>
        <w:rPr>
          <w:rFonts w:ascii="Times New Roman" w:hAnsi="Times New Roman"/>
          <w:color w:val="000000"/>
          <w:sz w:val="20"/>
        </w:rPr>
        <w:t>The drug is administered to a limited patient population to evaluate tolerance and optimal dose, identify possible adverse side effects and safety risks, and preliminarily evaluate efficacy. Multiple Phase 2 trials may be conducted to obtain additional data prior to beginning Phase 3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Phase 3</w:t>
      </w:r>
      <w:r>
        <w:rPr>
          <w:rFonts w:ascii="Times New Roman" w:hAnsi="Times New Roman"/>
          <w:b/>
          <w:color w:val="000000"/>
          <w:sz w:val="20"/>
        </w:rPr>
        <w:t>.</w:t>
      </w:r>
      <w:r>
        <w:rPr>
          <w:color w:val="000000"/>
        </w:rPr>
        <w:t xml:space="preserve"> </w:t>
      </w:r>
      <w:r>
        <w:rPr>
          <w:rFonts w:ascii="Times New Roman" w:hAnsi="Times New Roman"/>
          <w:color w:val="000000"/>
          <w:sz w:val="20"/>
        </w:rPr>
        <w:t>The drug is administered to an expanded patient population, generally at geographically dispersed clinical trial sites to generate enough data to statistically evaluate dosage, clinical effectiveness and safety, to establish the overall benefit-risk relationship of the investigational drug and to provide an adequate basis for drug approval.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Phase 4</w:t>
      </w:r>
      <w:r>
        <w:rPr>
          <w:rFonts w:ascii="Times New Roman" w:hAnsi="Times New Roman"/>
          <w:b/>
          <w:color w:val="000000"/>
          <w:sz w:val="20"/>
        </w:rPr>
        <w:t>.</w:t>
      </w:r>
      <w:r>
        <w:rPr>
          <w:color w:val="000000"/>
        </w:rPr>
        <w:t xml:space="preserve"> </w:t>
      </w:r>
      <w:r>
        <w:rPr>
          <w:rFonts w:ascii="Times New Roman" w:hAnsi="Times New Roman"/>
          <w:color w:val="000000"/>
          <w:sz w:val="20"/>
        </w:rPr>
        <w:t>In some cases, the FDA may provide conditional approval of an NDA for a drug candidate on the sponsor’s agreement to conduct additional clinical trials after approval. In other cases, a sponsor may voluntarily conduct additional clinical trials after approval to gain more information about the drug. Such post-approval trials are typically referred to as Phase 4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the IRB or the clinical trial sponsor may suspend or terminate a clinical trial at any time on various grounds, including a finding that the research subjects are being exposed to an unacceptable health risk. The sponsor may also suspend or terminate a clinical trial based on evolving business objectives and/or competitive climate.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 with clinical trials, companies may complete additional in vivo studies and develop additional information about the characteristics of the drug candidate. Companies must also finalize a process for manufacturing the drug in commercially applicable quantities in accordance with cGMP requirements. The manufacturing process must be capable of consistently producing quality batches of the drug and, among other things, must use validated methods for testing the drug against specifications to confirm its identity, strength, quality and purity. Additionally, appropriate packaging must be selected and tested, and stability studies must be conducted to demonstrate that the drug does not undergo unacceptable deterioration over its shelf life.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Submission of an NDA to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successful completion of all required testing in accordance with all applicable regulatory requirements, the results of product development and testing are submitted to the FDA in the form of an NDA requesting approval to market the drug for one or more indications. The submission of an NDA requires payment of a substantial application user fee to the FDA, unless a waiver or exemption applies.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NDA must include all relevant data available from pertinent nonclinical studies and clinical trials, including negative or ambiguous results as well as positive findings, together with detailed information relating to the drug’s chemistry, manufacturing, controls and proposed labeling, among other things. Data can come from company-sponsored clinical trials intended to test the safety and effectiveness of the drug for a specific use, or from a number of alternative sources, including studies initiated by investigators. To support marketing approval, the data submitted must be sufficient in quality and quantity to establish the safety and effectiveness of the drug to the satisfaction of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resubmitted application is also subject to review before the FDA accepts it for filing. Once the submission is accepted for filing, the FDA begins an in-depth substantive review. Under applicable Prescription Drug User Fee Act (PDUFA) performance goals, the FDA endeavors to review NDAs for drugs containing new molecular entities within ten months of the 60-day filing date under standard review or within six months of the 60-day filing date under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approving an NDA, the FDA typically will inspect the facility or facilities where the drug is manufactured. The FDA will not approve an application unless it determines that the manufacturing processes and facilities are in compliance with cGMP requirements and are adequate to assure consistent production of the drug within required specifications. Additionally, the FDA will typically inspect one or more clinical sites to assure that relevant trial data was obtained in compliance with GCP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condition of NDA approval, the FDA may require a Risk Evaluation and Mitigation Strategy (REMS) program to help ensure that the benefits of the drug outweigh its risks. If the FDA determines a REMS program is necessary, the drug sponsor must develop and submit a REMS as part of its NDA prior to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FDA may require substantial post-approval testing and surveillance as a condition of NDA approval to monitor the drug’s safety and efficacy, and the FDA has the authority to prevent or limit further marketing of a product based on the results of these post-marketing programs. Once granted, product approvals may be withdrawn if compliance with regulatory requirements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offers a number of expedited development and review programs for qualifying drugs, one or more of which may be available for our current or future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drug candidates are eligible for fast track designation if they are intended to treat a serious or life-threatening disease or condition and demonstrate the potential to address unmet medical needs for the disease or condition. Fast track designation applies to the combination of the drug and the specific indication for which it is being studied. The sponsor of a fast track drug candidate has opportunities for frequent interactions with the review team during drug development and, once an NDA is submitted, the drug candidate may be eligible for priority review. A fast track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determines that the schedule is acceptable, and the sponsor pays any required user fees upon submission of the first section of the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candidate, including involvement of senior managers.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an NDA is submitted for a drug candidate, including a drug candidate with a fast track designation and/or breakthrough therapy designation, the NDA may be eligible for priority review. An NDA is eligible for priority review if it has the potential to provide a significant improvement in the treatment, diagnosis or prevention of a serious disease or condition compared to marketed products. Depending on whether a drug candidate contains a new molecular entity, priority review designation means the FDA’s goal is to take an action on the marketing application within six to eight months of the 60-day filing date, compared with ten to twelve months under standard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drug candidates studied for their safety and effectiveness in treating serious or life-threatening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drug.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pursue orphan drug designation for one or more of our current or future drug candidates, as appropriate, with the potential to obtain orphan drug exclusivity for our products,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drug that has orphan drug designation subsequently receives the first FDA approval for the disease for which it has such designation, the drug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drug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drug to meet the needs of patients with the rare disease or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an NDA for a drug that includes a new active ingredient, new indication, new dosage form, new dosing regimen or new route of administration submit an initial Pediatric Study Plan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nonclinical studies, early phase clinical trials and/or other clinical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is approved, a drug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approval, most changes to the approved drug, such as adding new indications or other labeling claims, are subject to prior FDA review and approval. There also are continuing user fee requirements, under which FDA assesses an annual program fee for each drug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manufacturers and their subcontractors, if applicable. Accordingly, manufacturers must continue to expend time, money and effort in the area of production and quality control to maintain compliance with cGMP and other aspects of regulatory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withdraw approval of a drug if compliance with regulatory requirements is not maintained or if problems occur after the drug reaches the market. Later discovery of previously unknown problems with a drug,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a drug, complete withdrawal of the drug from the market or drug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or untitled letters or holds on post-approval clinical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drug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seizure or detention, or refusal of the FDA to permit the import or export of drugs;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International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regulations in the United States, we are subject to certain and could become subject to a variety of additional foreign regulations regarding development, approval, commercial sales and distribution of our drugs if we seek to market our drugs (if approved) in other jurisdictions. Whether or not we obtain FDA approval for a drug candidate, we must obtain the necessary approvals by the comparable regulatory authorities of foreign countries before we can commence clinical trials or marketing of the drug in those countries. The approval process varies from country to country and can involve additional drug testing and additional review periods, and the time may be longer or shorter than that required to obtain FDA approval. The requirements governing, among other things, the conduct of clinical trials, drug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drug recalls, seizure of drugs, operating restrictions and criminal prosecution.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U.S.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Pharmaceutical companies are subject to additional healthcare regulation and enforcement by the federal government and by authorities in the states and foreign jurisdictions in which they conduct their business. In the United States, such laws include, without limitation, state and federal anti-kickback, fraud and abuse, false claims, price reporting, and transparency laws and regulations regarding drug pricing and payments and other transfers of value made to physicians and other healthcare providers.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Pharmaceutical coverage, pricing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drug candidates for which we or our collaborators obtain regulatory approval. In the United States and markets in other countries, sales of any drugs for which we or our collaborators receive regulatory approval for commercial sale will depend, in part, on the extent to which third-party payors provide coverage, and establish adequate reimbursement levels for such drug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drugs, in addition to the costs required to obtain the FDA approvals. Nonetheless, our drug candidates may not be considered medically necessary or cost-effective. A payor’s decision to provide coverage for a drug product does not imply that an adequate reimbursement rate will be approved. Further, one payor’s determination to provide coverage for a drug product does not assure that other payors will also provide coverage for the drug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process for determining whether a third-party payor will provide coverage for a drug product may be separate from the process for setting the price of a drug product or for establishing the reimbursement rate that such a payor will pay for the drug product. For drugs administered under the supervision of a physician, obtaining coverage and adequate reimbursement may be particularly difficult because of the higher prices often associated with such drugs. Additionally, separate reimbursement for the drug itself or the treatment for which the drug is used may not be available, which may impact physician utilization. Adequate third-party reimbursement may not be available to enable us to maintain price levels sufficient to realize an appropriate return on our investment in drug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drugs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drugs. In addition, in some countries, cross-border imports from low-priced markets exert a commercial pressure on pricing within a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marketability of any drug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drug candidates for which we or our collaborators receive regulatory approval, less favorable coverage policies and reimbursement rates may be implemented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or ACA was enacted, which affected existing government healthcare programs and resulted in the development of new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the ACA’s provisions of importance to the pharmaceutical industry, in addition to those otherwise described above, are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specified branded prescription drugs and biologic agents apportioned among these entities according to their market share in some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(AMP);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of manufacturers’ Medicaid rebate liability to covered drugs dispensed to individuals who are enrolled in Medicaid managed care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the entities eligible for discounts under the Public Health Service pharmaceutical pricing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Patient-Centered Outcomes Research Institute to oversee, identify priorities in, and conduct comparative clinical effectiveness research, along with funding for such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Affordable Care Act was enacted. On August 2, 2011, the Budget Control Act of 2011, among other things, included aggregate reductions to Medicare payments to providers, which went into effect on April 1, 2013, and will remain in effect through 2032, with the exception of a temporary suspension from May 1, 2020 through March 31, 2022, unless additional Congressional action is taken.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beginning January 1, 2024. The rebate was previously capped at 100% of a drug's average manufacturer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also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drug pricing, reduce the cost of prescription drugs under Medicare, review the relationship between pricing and manufacturer patient programs, and reform government program reimbursement methodologies for drug products.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these new laws will result in additional downward pressure on coverage and the price that we receive for any approved drug,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drugs (if approved). In addition, it is possible that there will be further legislation or regulation that could harm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Data privacy and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and could apply to our operations or the operations of our partners.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66 full-time employees, including 52 employees engaged in research and development. None of our employees are represented by labor unions or covered by collective bargaining agreements. We consider our relationship with our employees to be good.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w:t>
      </w:r>
    </w:p>
    <w:p>
      <w:pPr>
        <w:pStyle w:val="TextBody"/>
        <w:bidi w:val="0"/>
        <w:spacing w:before="12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February 2018 as a Delaware corporation. Our principal executive offices are located at One Corporate Dr., 2nd Floor, South San Francisco, California 94080, and our telephone number is (800) 466-6059.</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sz w:val="20"/>
        </w:rPr>
        <w:t>www.aligos.com</w:t>
      </w:r>
      <w:r>
        <w:rPr>
          <w:rFonts w:ascii="Times New Roman" w:hAnsi="Times New Roman"/>
          <w:color w:val="000000"/>
          <w:sz w:val="20"/>
        </w:rPr>
        <w:t>.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5" w:name="item1a"/>
      <w:bookmarkEnd w:id="5"/>
      <w:r>
        <w:rPr>
          <w:rFonts w:ascii="Times New Roman" w:hAnsi="Times New Roman"/>
          <w:b/>
          <w:color w:val="000000"/>
          <w:sz w:val="20"/>
        </w:rPr>
        <w:t>Item 1A. Ris</w:t>
      </w:r>
      <w:bookmarkStart w:id="6" w:name="item_1a_risk_factors"/>
      <w:bookmarkEnd w:id="6"/>
      <w:r>
        <w:rPr>
          <w:rFonts w:ascii="Times New Roman" w:hAnsi="Times New Roman"/>
          <w:b/>
          <w:color w:val="000000"/>
          <w:sz w:val="20"/>
        </w:rPr>
        <w:t>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Annual Report on Form 10-K,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net losses. Our net losses were $87.7 million for the year ended December 31, 2023 and $96.0 million for the year ended December 31, 2022. As of December 31, 2023, we had a total stockholders’ equity of $92.1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generated revenue from product sales and may never be profitable.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and nonclinical development of drug candidates and programs and identifying and developing new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marketing approvals for any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coverage and reimbursement by third-party payors for drug candidates that we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drug candidates that we develop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we closed a private placement, which resulted in gross proceeds of approximately $92 million, before deducting placement agent fees and expenses. As of December 31, 2023, we had cash, cash equivalents and investments of $135.7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primarily financed our operations through the sale of common stock, preferred stock and convertible notes.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November 2021, we also entered into a sales agreement (November 2021 Sales Agreement), with Jefferies LLC, as sales agent to sell shares of our common stock, from time to time, with aggregate gross sales proceeds of up to $75.0 million pursuant to the November 2021 Shelf Registration Statement as an “at-the-market” offering under the Securities Act (ATM Offering Program). In October 2023, we completed a private placement of 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and the macro-economic environment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other factors, many of which are beyond our control. For example, the current inflationary economic environment,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nonclinical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shelf registration statement effective and existing ATM Offering Program, however, our ability to raise capital under this registration statement and through the ATM Offering Program may be limited by, among other things, SEC rules and regulations impacting the eligibility of smaller companies to use Form S-3 for primary offerings of securities. Based on our public float, as of the date of the filing of this Annual Report on Form 10-K, we are only permitted to utilize a shelf registration statement, including the registration statements under which our ATM Offering Programs are operated,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 public and private transaction structures may be available, these may require additional time and cost, may impose operational restrictions on us, and may not be available on attractive terms.</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will make it difficult for us to predict our future results. These fluctuations may occur due to a variety of factors, many of which are outside of our control and may be difficult to predict,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as well as building out our supply chain, which may vary depending on the quantity produced,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any milestone, royalty or other payments due under any current or future collaboration or license agreement, including our existing license agreements with Emory University (Emory) and KU Leuven;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any future approved products,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to establish a sales, marketing, medical affairs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in 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accounting principles or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satisfy Nasdaq’s continued listing requirements, including, among other things, a minimum closing bid price of $1.00 per share and timely filing of all periodic financial reports, or risk delisting, which would have a material adverse effect on our business. 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5, 2023, we received a letter from Nasdaq indicating that, for the last 30 consecutive business days, the bid price for our common stock had closed below the minimum $1.00 per share required for continued inclusion on the Nasdaq Global Select Market under the Nasdaq Listing Rules. The notice had no immediate effect on the listing or trading of our common stock. On March 6, 2024, our common stock began trading on the Nasdaq Capital Market, making us eligible for an additional compliance period that ends on September 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Nasdaq Listing Rule 5810(c)(3)(A), if the closing bid price of our Common Shares is at or above $1.00 for a minimum of 10 consecutive business days by September 3, 2024, we would regain compliance with the minimum bid price requirement and our Common Shares would continue to be eligible for listing on the Nasdaq Capital Market, absent noncompliance with any other requirement for continued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monitor the closing bid price of our common stock and consider our available options if the closing bid price of our common stock remains below $1.00 per share. There can be no assurance that we will be able to regain compliance with the minimum bid price requirement during the 180-day compliance period with respect to the minimum bid price requirement, maintain compliance with the other listing requirements, or maintain the listing of our common stock on Nasdaq.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Delisting from Nasdaq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current clinical trial and planned clinical trials may be affected by any future public health pandemics or epidemics. Site initiation and patient enrollment may be delayed due to prioritization of hospital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product development and regulatory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STOPSTM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Finally, for our siRNA drug candidate targeting HBsAg production, ALG</w:t>
        <w:noBreakHyphen/>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partnership which may not come to fruition.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organization, and substantial investment and significant marketing efforts before we generate any revenues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current and future drug candidates will depend on many factors,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nonclinical studies and clinical trials, and our ability to raise any additional required capital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successfully utilize our drug discovery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investigational new drug applications (INDs), clinical trial applications (CTAs) and/or similar applications in other jurisdictions for our planned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required by the FDA or a comparable foreign regulatory agency to conduct additional clinical trials or other studies beyond those planned to support approval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data from our clinical program that supports an acceptable risk-benefit profile of our drug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agreements with third-party manufacturers for clinical supply for our clinical trials and commercial manufacturing, if our drug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our drug candidates in select indications or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exclusivity for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launching commercial sales of our drug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drug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drug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failure by us or third parties to comply with regulatory requirements, including the requirements of good laboratory practice (GLP);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nonclinical or other in vivo or in vitro data to support the initiation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and obtaining regulatory authorization to commence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sufficient quantities of our drug candidates for use in nonclinical studies and clinical trials from third-party suppliers on a timely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due to other global-scale potentially catastrophic events, including other public health pandemics or epidemics, terrorism, war, and climate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drug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or comparable foreign regulatory authorities that a drug candidate is safe or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drug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our interpretation of data from clinical trials or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drug candidates may not be sufficient to support the submission of an NDA to the FDA or other submission or to obtain regulatory approval in the United States, the European Union (EU)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log10 IU/mL HBsAg reduction level that we had previously defined as necessary to advance the program. As another example, in March 2022, we discontinued further development of our ASO drug candidate for CHB, ALG</w:t>
        <w:noBreakHyphen/>
        <w:t>020572, due to an unanticipated serious adverse event involving significant increase in ALT in one CHB subject and several other subjects experiencing ALT flares in the same study. Finally, for our siRNA drug candidate targeting HBsAg production, ALG</w:t>
        <w:noBreakHyphen/>
        <w:t xml:space="preserve">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partnership which may not come to fruition.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prospective trial sites and prospective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materials for drug candidates we develop or other materials necessary to conduct clinical trials may be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disruptions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should we experience another pandemic or epidemic outbreak on a similar if not greater scale as the COVID-19 outbreak, the clinical trial sites for our current drug trials, including for ALG</w:t>
        <w:noBreakHyphen/>
        <w:t>055009, ALG-000184, ALG-097558 and ALG-125755,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jeopardized, which could result in the delay or rejection of any applications we submit. Any such delay or rejection could prevent or delay us from commercializing our current or future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 </w:t>
      </w:r>
    </w:p>
    <w:p>
      <w:pPr>
        <w:pStyle w:val="TextBody"/>
        <w:bidi w:val="0"/>
        <w:spacing w:before="120" w:after="283"/>
        <w:jc w:val="left"/>
        <w:rPr>
          <w:rFonts w:ascii="Times New Roman" w:hAnsi="Times New Roman"/>
          <w:sz w:val="20"/>
        </w:rPr>
      </w:pPr>
      <w:r>
        <w:rPr>
          <w:rFonts w:ascii="Times New Roman" w:hAnsi="Times New Roman"/>
          <w:b/>
          <w:i/>
          <w:color w:val="000000"/>
          <w:sz w:val="20"/>
        </w:rPr>
        <w:t>Our pursuit of potential treatments for MASH is at an early stage and we may be unable to produce a therapy that successfully treats MASH.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and will continue to invest, a significant portion of our time and financial resources in the pursuit of a treatment for MASH, including ALG-055009, our THR</w:t>
        <w:noBreakHyphen/>
        <w:t xml:space="preserve">ß agonist which is currently in a Phase 1 trial. If we cannot successfully develop, obtain regulatory approval for and commercialize our drug candidates for the treatment of MASH, our business may be harmed. The mechanism of action of our MASH drug candidates is complex, and we do not know the degree to which it will translate into a therapeutic benefit, if any, in MASH or any other indication, and we do not know the degree to which the complex mechanism of action may contribute to long-term safety issues or adverse events when our drug candidates are taken for prolonged periods, as is inherent in the treatment of MASH.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MASH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and any of our drug candidates are approved for the treatment of MASH, our drug candidates will likely compete with products that may be approved for the treatment of MASH prior to our drug candidates and/or that have greater efficacy than our drug candidates, either alone or in combination. Behavioral modifications, such as diet and exercise, can also decrease or eliminate the demand for our potential MASH treatments. </w:t>
      </w:r>
    </w:p>
    <w:p>
      <w:pPr>
        <w:pStyle w:val="TextBody"/>
        <w:bidi w:val="0"/>
        <w:spacing w:before="120" w:after="283"/>
        <w:jc w:val="left"/>
        <w:rPr>
          <w:rFonts w:ascii="Times New Roman" w:hAnsi="Times New Roman"/>
          <w:sz w:val="20"/>
        </w:rPr>
      </w:pPr>
      <w:r>
        <w:rPr>
          <w:rFonts w:ascii="Times New Roman" w:hAnsi="Times New Roman"/>
          <w:b/>
          <w:i/>
          <w:color w:val="000000"/>
          <w:sz w:val="20"/>
        </w:rPr>
        <w:t>Our pursuit of potential therapies for COVID-19 is at an early stage.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pathways for our drug candidates targeting SARS-CoV-2, the virus that causes COVID-19, are continually evolving, and may result in unexpected or unforeseen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Furthermore, the FDA may revoke an EUA based on a determination that the product no longer satisfies the criteria for issuance of an EUA - 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results of nonclinical studies and early-stage clinical trials may not be predictive of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may differ materially from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disclose interim data from our clinical trials, including candidates ALG</w:t>
        <w:noBreakHyphen/>
        <w:t xml:space="preserve">055009, ALG-000184, ALG-097558 and ALG-125755.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for participation in our clinical trials and, where appropriate, biopsies for future patient enrichment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remain in the trial through the completion of evaluation;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clinical trials, which could prevent completion of these trials and adversely affect our ability to advance the development of our drug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methods of drug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toxicities or other undesirable side effects arise in the development of any of our current or future drug candidates, we could suspend or terminate our trials, or the FDA or comparable foreign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drug candidates receives marketing approval and we or others later identify undesirable side effects caused by such products, a number of potentially significant negative consequences could occur,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Risk Evaluation and Mitigation Strategy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adoption of a companion diagnostic and/or complementary diagnostic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sz w:val="20"/>
        </w:rPr>
      </w:pPr>
      <w:r>
        <w:rPr>
          <w:rFonts w:ascii="Times New Roman" w:hAnsi="Times New Roman"/>
          <w:b/>
          <w:i/>
          <w:color w:val="000000"/>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therapies in our therapeutic areas of focus are unsafe, whether related to our therapies or those of our competitors, our products may not be accepted by the general public or the medical community.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 </w:t>
      </w:r>
    </w:p>
    <w:p>
      <w:pPr>
        <w:pStyle w:val="TextBody"/>
        <w:bidi w:val="0"/>
        <w:spacing w:before="120" w:after="283"/>
        <w:jc w:val="left"/>
        <w:rPr>
          <w:rFonts w:ascii="Times New Roman" w:hAnsi="Times New Roman"/>
          <w:sz w:val="20"/>
        </w:rPr>
      </w:pPr>
      <w:r>
        <w:rPr>
          <w:rFonts w:ascii="Times New Roman" w:hAnsi="Times New Roman"/>
          <w:b/>
          <w:i/>
          <w:color w:val="000000"/>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other regulatory authorities to approve pending applications or supplements to approved applications we filed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the product;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obtain and maintain approval for our drug candidates from the FDA, we may never obtain approval outside the United States, which would limit our market opportunities.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clinical trials conducted in one country may not be accepted by regulatory authorities in other countries. For example, we are conducting our initial clinical trials for ALG-055009, ALG-000184, ALG-097558 and ALG-125755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Risks associated with our international operations, including seeking and obtaining approval to commercialize our drug candidates in foreign jurisdictions,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drug candidates in foreign countries, including challenging processes for marketing biopharmaceutical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and enforcement of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heightened or different data privacy and information security laws, regulations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including earthquakes, typhoons, floods and fires;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resulting from the impact of public health pandemics or epidemics (including, for example, the COVID-19 pandemic).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are complex regulatory, tax, labor and other legal requirements imposed by many of the individual countries in which we may operate, with which we will need to comply.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If the market opportunities for our drug candidates are smaller than we believe or any approval we obtain is based on a narrower definition of the patient population,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market opportunities for our drug candidates are smaller than we estimate, it could have an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 </w:t>
      </w:r>
    </w:p>
    <w:p>
      <w:pPr>
        <w:pStyle w:val="TextBody"/>
        <w:bidi w:val="0"/>
        <w:spacing w:before="120" w:after="283"/>
        <w:jc w:val="left"/>
        <w:rPr>
          <w:rFonts w:ascii="Times New Roman" w:hAnsi="Times New Roman"/>
          <w:sz w:val="20"/>
        </w:rPr>
      </w:pPr>
      <w:r>
        <w:rPr>
          <w:rFonts w:ascii="Times New Roman" w:hAnsi="Times New Roman"/>
          <w:b/>
          <w:i/>
          <w:color w:val="000000"/>
          <w:sz w:val="20"/>
        </w:rPr>
        <w:t>We intend to develop our current drug candidates, and expect to develop other future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there are companies developing or marketing treatments for MASH,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Smaller and other early stage companies may also prove to be significant competitors. In addition, academic research departments and public and private research institutions may be conducting research on compounds that could prove to be competitive.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biopharmaceutical industry is characterized by rapid technological change. If we fail to keep pace with technological change, we may be unable to compete effectively. Technological advances or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developed by our competitors may render our drug candidates obsolete, less competitive or not economical, thereby adversely affecting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w:t>
        <w:noBreakHyphen/>
        <w:t xml:space="preserve">055009, ALG-000184, ALG-097558 and ALG-125755.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 in a therapeutic area in which it would have been more advantageous to enter into a partnering arrangement.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Orphan Drug Designation for drug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required to make significant payments under our license agreements with Emory University, KU Leuven, and Luxna Biotech Co., Ltd.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License Agreement with Emory in June 2018 (the Emory License Agreement), a Research, Licensing and Commercialization Agreement with KU Leuven in June 2020 and an amendment in July 2023 and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this report.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 </w:t>
      </w:r>
    </w:p>
    <w:p>
      <w:pPr>
        <w:pStyle w:val="TextBody"/>
        <w:bidi w:val="0"/>
        <w:spacing w:before="12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approved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payments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effects to our results of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drug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or at all to protect against potential product liability claims could prevent or inhibit the commercialization of products we develop, alone or with collaboration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beginning January 1, 2024. The rebate was previously capped at 100% of a drug's average manufacturer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and abroad.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operate in countries outside of the United States, including Belgium,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from January 1, 2021, we have to comply with the United Kingdom GDPR (UK GDPR), which, together, with the amended Data Protection Act 2018, retains the GDPR in UK national law (collectively, the “UK GDPR”), and imposes separate but similar obligations to those under the GDPR and comparable penalties, including fines up to the greater of £17.5 million or 4% of global turnover of the annual global revenues of the noncompliant undertaking.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 on approved data transfer mechanisms such as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and operations may suffer in the event that our information technology systems, or those used by our CROs or other contractors or consultants, fail or suffer security breaches.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w:t>
      </w:r>
      <w:r>
        <w:rPr>
          <w:rFonts w:ascii="Times New Roman" w:hAnsi="Times New Roman"/>
          <w:strike/>
          <w:color w:val="000000"/>
          <w:sz w:val="20"/>
        </w:rPr>
        <w:t>-</w:t>
      </w:r>
      <w:r>
        <w:rPr>
          <w:rFonts w:ascii="Times New Roman" w:hAnsi="Times New Roman"/>
          <w:color w:val="000000"/>
          <w:sz w:val="20"/>
        </w:rPr>
        <w:t xml:space="preserve">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collaborating with third parties to develop certain of our potential drug candidates. For example, we are collaborating with Merck with respect to the discovery, research and development of oligonucleotides against a MASH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current and future drug candidates may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(if any) or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restricted under future collaboration agreements from entering into additional agreements on certain terms with potential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have been a significant number of recent business combinations among large pharmaceutical companies that have resulted in a reduced number of potential future collaborators.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noBreakHyphen/>
        <w:t>055009, ALG</w:t>
        <w:noBreakHyphen/>
        <w:t xml:space="preserve">000184, ALG-097558 and ALG-125755,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testing and clinical trials of that drug candidate may be delayed or infeasible, and regulatory approval or commercial launch of that drug candidate may be delayed or not obtained, which could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delayed if we need to change the manufacturing process used by a third party. Further, if we change an approved manufacturing process, then we may be delayed if the FDA or a comparable foreign authority needs to review the new manufacturing process before it may be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MASH programs, we do not own or in-license any issued patents with claims that specifically recite our ALG-125755 or ALG-097558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our proprietary positions by, among other things, filing patent applications in the United States and abroad related to our current drug candidates and other drug candidates that we may identify. Obtaining,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necessary to continue our research programs or clinical trials.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technology and processes of one party infringe intellectual property of the other party that are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transfer or assign the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this report.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this report. Any of the foregoing could harm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certain third-party issued patents and pending patent applications, including those of our competitors, that, if issued with their current claim scope, may be construed to cover our drug candidates, including ALG</w:t>
        <w:noBreakHyphen/>
        <w:t xml:space="preserve">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establish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of our owned or licensed patents at risk of being invalidated, held unenforceable or interpreted narrowly. We may find it impractical or undesirable to enforce our intellectual property against some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distraction to management and other employees. Any of the foregoing could have a material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if any,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intellectual property rights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directed to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harm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66 full-time employees, including 52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and enhancing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could result in substantial losses for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and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nonclinical studies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drug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and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COVID-19 pandemic or future public health pandemics or epidemics;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our initial public offering in October 2020, there was no public market for shares of our common stock and an active trading market for our shares may not be sustained. In the absence of an active trading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our common stock, investors may not be able to sell their common stock at a price or at the time that they would like to sell.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inactive market may also impair our ability to raise capital by selling shares and may impair our ability to acquire other drug candidates, businesses, or technologies using our shares as consideration.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 </w:t>
      </w:r>
    </w:p>
    <w:p>
      <w:pPr>
        <w:pStyle w:val="TextBody"/>
        <w:bidi w:val="0"/>
        <w:spacing w:before="120" w:after="283"/>
        <w:jc w:val="left"/>
        <w:rPr>
          <w:rFonts w:ascii="Times New Roman" w:hAnsi="Times New Roman"/>
          <w:sz w:val="20"/>
        </w:rPr>
      </w:pPr>
      <w:r>
        <w:rPr>
          <w:rFonts w:ascii="Times New Roman" w:hAnsi="Times New Roman"/>
          <w:b/>
          <w:i/>
          <w:color w:val="000000"/>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our executive officers, directors and their affiliates beneficially own, in the aggregate, approximately 60.4% of our outstanding common stock (assuming all shares of non-voting common stock are converted into voting common stock in accordance with the terms of our amended and restated certificate of incorporation), and 27.1% of our outstanding common stock (assuming all shares of non-voting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converted to voting common stock and all pre-funded warrants are exercised in full on a cash exercise basis). In addition, in our October 2023 private placement, certain of the holders of 5% or more of our capital stock acquired pre-funded warrants to purchase shares of our common stock (which are immediately exercisable and have an exercise price of $0.0001 per share) and common warrants to purchase shares of our common stock (which are immediately exercisable and have an exercise price of $0.7568 per share).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delaying, deferring or preventing a change of control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impeding a merger, consolidation, takeover or other business combination involving us;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discouraging a potential acquirer from making a tender offer or otherwise attempting to obtain control of us. </w:t>
      </w:r>
    </w:p>
    <w:p>
      <w:pPr>
        <w:pStyle w:val="TextBody"/>
        <w:bidi w:val="0"/>
        <w:spacing w:before="120" w:after="283"/>
        <w:jc w:val="left"/>
        <w:rPr>
          <w:rFonts w:ascii="Times New Roman" w:hAnsi="Times New Roman"/>
          <w:sz w:val="20"/>
        </w:rPr>
      </w:pPr>
      <w:r>
        <w:rPr>
          <w:rFonts w:ascii="Times New Roman" w:hAnsi="Times New Roman"/>
          <w:b/>
          <w:i/>
          <w:color w:val="000000"/>
          <w:sz w:val="20"/>
        </w:rPr>
        <w:t>The dual class structure of our common stock may limit the ability to influence corporate matters and may limit the visibility with respect to certain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December 31, 2023,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 </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approximately 12.5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holders of approximately 75.1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 </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 of Sarbanes-Oxley, our management is required to report upon the effectiveness of our internal control over financial reporting for our fiscal year ended December 31, 2023.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120" w:after="283"/>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120" w:after="283"/>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 provisions to reduce our indemnification obligations to directors, officers, employees and agents.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including due to the current inflationary economic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continuing impact of "Brexit" may have a negative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engineer certain aspects of our drug candidates that we consider proprietary. Monitoring unauthorized uses and disclosures is difficult, and we do not know whether the steps we have taken to protect our proprietary information will be effective.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w:t>
      </w:r>
    </w:p>
    <w:p>
      <w:pPr>
        <w:pStyle w:val="TextBody"/>
        <w:bidi w:val="0"/>
        <w:spacing w:before="120" w:after="283"/>
        <w:jc w:val="left"/>
        <w:rPr>
          <w:rFonts w:ascii="Times New Roman" w:hAnsi="Times New Roman"/>
          <w:sz w:val="20"/>
        </w:rPr>
      </w:pPr>
      <w:r>
        <w:rPr>
          <w:rFonts w:ascii="Times New Roman" w:hAnsi="Times New Roman"/>
          <w:b/>
          <w:i/>
          <w:color w:val="000000"/>
          <w:sz w:val="20"/>
        </w:rPr>
        <w:t>Public health pandemics or epidemics, political instability, terrorist attacks, other acts of violence or war, or other unexpected events could materially and adversely impact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States and worldwide financial markets and economy. They also could result in or prolong an economic recession in the United States. Any of these occurrences could materially and adversely affect us.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or future litigation or administrative proceedings could have a material adverse effect on our business, our financial condition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is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fluctuations in our tax obligations and effective tax rate, which could materially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shares outstanding and resulting market valuation do not reflect shares of our common stock issuable upon the exercise of pre-funded warrants and common warrants that are exercisable at the discretion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holders of such warrants. If we sell shares of our common stock in future financings, stockholders may experience immediate dilution and, as a result, our stock price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we closed a private placement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before="360" w:after="283"/>
        <w:jc w:val="left"/>
        <w:rPr>
          <w:rFonts w:ascii="Times New Roman" w:hAnsi="Times New Roman"/>
          <w:sz w:val="20"/>
        </w:rPr>
      </w:pPr>
      <w:bookmarkStart w:id="7" w:name="item_1b_unresolved_staff_comments"/>
      <w:bookmarkEnd w:id="7"/>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8" w:name="toc_page"/>
      <w:bookmarkStart w:id="9" w:name="item_1c_security"/>
      <w:bookmarkEnd w:id="8"/>
      <w:bookmarkEnd w:id="9"/>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developed and implemented a cybersecurity risk management program intended to protect the confidentiality, integrity, and availability of our critical systems and information. Our cybersecurity risk management program includes a cybersecurity incident response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program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services, and our broader enterprise IT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team principally responsible for managing (1) our cybersecurity risk assessment processes, (2) our security controls, and (3) our response to cybersecurity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external service providers, where appropriate, to assess, test or otherwise assist with aspects of our security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awareness training of our employees, incident response personnel, and senior management;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cybersecurity incident response plan that includes procedures for responding to cybersecurity incidents;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third-party risk management process for service providers, suppliers, and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identified risks from known cybersecurity threats, including as a result of any prior cybersecurity incidents, that have materially affected or are reasonably likely to materially affect us, including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strategy, results of operations, or financial condition. For more information , see the section titled “Risk Factor— Risks related to product development and regulatory process—Our business and operations may suffer in the event that our information technology systems, or those used by our CROs or other contractors or consultants, fail or suffer security breaches.”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Cybersecurity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 The Committee receives reports from management on our cybersecurity risks, at a minimum annually and as needed. In addition, management updates the Committee, as necessary, regarding any material cybersecurity incidents, as well as any incidents with lesser impact potential. The Committee reports to the full Board regarding its activities, including those related to cybersecurity.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lead by our Executive Director, Information Technology, is responsible for assessing and managing our material risks from cybersecurity threats. The team has primary responsibility for our overall cybersecurity risk management program and supervises our retained external cybersecurity consultants. Our management team’s experience includes a combined 25 years of experience in managing IT environments including assessing the overall risk management program and material risks, as well as building our cybersecurity framework over the past six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supervises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the IT environment.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10" w:name="item_2_properties"/>
      <w:bookmarkEnd w:id="10"/>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are located in South San Francisco, California, where we lease and occupy space in two separate buildings. The total amount of space leased across both buildings equals approximately 51,000 square feet of office and laboratory space. The current term of each of our two South San Francisco leases expires in March 2027 and July 2027, with options to extend the terms through March 2035 and July 2032,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have an office in Leuven, Belgium, where we lease and occupy approximately 8,100 square feet of office and laboratory space. The current term of our Leuven, Belgium lease expires in August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lease all of our facilities and do not own any real property.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 </w:t>
      </w:r>
    </w:p>
    <w:p>
      <w:pPr>
        <w:pStyle w:val="TextBody"/>
        <w:bidi w:val="0"/>
        <w:spacing w:before="120" w:after="283"/>
        <w:jc w:val="left"/>
        <w:rPr>
          <w:rFonts w:ascii="Times New Roman" w:hAnsi="Times New Roman"/>
          <w:sz w:val="20"/>
        </w:rPr>
      </w:pPr>
      <w:bookmarkStart w:id="11" w:name="item_3_legal_proceedings"/>
      <w:bookmarkEnd w:id="11"/>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the former President and a former Director of the Company. The Complaint alleged breach of contract by Lawrence M. Blatt and Leonid Beigelman and tortious interference with contract by the Company and sought declaratory judgment of ownership of certain intellectual property by the Company, among other claims.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Complaint stated that Janssen is seeking injunctive relief, assignment of certain intellectual property from us to Janssen and monetary damages.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2022, the Company filed counterclaims against Janssen alleging Janssen had engaged in unfair competition and promissory fraud, and on August 22, 2022, the Company filed its response to the Complaint.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16, 2023, the Company entered into a settlement agreement with Janssen that provides for the resolution of the action brought by Janssen alleging breach of contract by Lawrence M. Blatt, and Leonid Beigelman, and tortious interference with contract by the Company and seeking declaratory judgment of ownership of certain intellectual property by the Company, among other claims. Pursuant to the settlement agreement, Janssen agreed to dismiss the action and released the Company, Dr. Blatt and Dr. Beigelman from the claims alleged. In addition, pursuant to the Settlement Agreement, the Company agreed to dismiss the counterclaims against Janssen alleging unfair competition and promissory fraud and released Janssen from the alleged counterclaims. </w:t>
      </w:r>
    </w:p>
    <w:p>
      <w:pPr>
        <w:pStyle w:val="TextBody"/>
        <w:bidi w:val="0"/>
        <w:spacing w:before="120" w:after="283"/>
        <w:jc w:val="left"/>
        <w:rPr>
          <w:rFonts w:ascii="Times New Roman" w:hAnsi="Times New Roman"/>
          <w:b/>
          <w:color w:val="000000"/>
          <w:sz w:val="20"/>
        </w:rPr>
      </w:pPr>
      <w:bookmarkStart w:id="12" w:name="item_4_mine_safety_disclosures"/>
      <w:bookmarkEnd w:id="1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
      <w:bookmarkEnd w:id="13"/>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4" w:name="item_5_market_for_registrants_common_equ"/>
      <w:bookmarkEnd w:id="14"/>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was listed on The Nasdaq Global Select Market under the symbol “ALGS” from October 20, 2020 to March 5, 2024 and has been listed on The Nasdaq Capital Market since March 6, 2024. Prior to October 20, 2020, there was no public trading market for our common stock.</w:t>
      </w:r>
    </w:p>
    <w:p>
      <w:pPr>
        <w:pStyle w:val="TextBody"/>
        <w:bidi w:val="0"/>
        <w:spacing w:before="120" w:after="283"/>
        <w:jc w:val="left"/>
        <w:rPr>
          <w:rFonts w:ascii="Times New Roman" w:hAnsi="Times New Roman"/>
          <w:sz w:val="20"/>
        </w:rPr>
      </w:pPr>
      <w:r>
        <w:rPr>
          <w:rFonts w:ascii="Times New Roman" w:hAnsi="Times New Roman"/>
          <w:b/>
          <w:color w:val="000000"/>
          <w:sz w:val="20"/>
        </w:rPr>
        <w:t>Holders of Record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8, 2024, there were 46 holders of record of our common stock, which consist of 44 holders of record of our voting common stock and two holders of record of our non-voting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120" w:after="283"/>
        <w:jc w:val="left"/>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do not expect to declare or pay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5" w:name="item6"/>
      <w:bookmarkEnd w:id="15"/>
      <w:r>
        <w:rPr>
          <w:rFonts w:ascii="Times New Roman" w:hAnsi="Times New Roman"/>
          <w:b/>
          <w:color w:val="000000"/>
          <w:sz w:val="20"/>
        </w:rPr>
        <w:t xml:space="preserve">Item 6. </w:t>
      </w:r>
      <w:bookmarkStart w:id="16" w:name="item_6_selected_financial_data"/>
      <w:bookmarkEnd w:id="16"/>
      <w:r>
        <w:rPr>
          <w:rFonts w:ascii="Times New Roman" w:hAnsi="Times New Roman"/>
          <w:b/>
          <w:color w:val="000000"/>
          <w:sz w:val="20"/>
        </w:rPr>
        <w:t>[Reserved].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7_managements_discussion_analysis_f"/>
      <w:bookmarkEnd w:id="17"/>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“Special Note Regarding Forward-Looking Statements” and “Risk Factors” and elsewhere in this Annual Report on Form 10-K. Our fiscal year ends on December 31 each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focused on developing novel therapeutics to address unmet medical needs in liver diseases and viral infections, including in the areas of metabolic dysfunction associated steatohepatitis (MASH), chronic hepatitis B (CHB) and coronavirus (e.g., SARS-CoV-2 and related infections). We utilize our proprietary small molecule and oligonucleotide platforms to develop pharmacologically optimized drug candidates designed to achieve improved treatment outcomes.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area of focus is MASH, a complex, chronic liver disease where combination regimens may prove beneficial. Our most advanced drug candidate for MASH is ALG</w:t>
        <w:noBreakHyphen/>
        <w:t>055009, a small molecule thyroid hormone receptor beta (THR</w:t>
        <w:noBreakHyphen/>
        <w:t>ß) agonist. This drug candidate recently completed evaluation in a Phase 1 study in healthy volunteers (HVs) (oral single ascending doses (SAD)) and in subjects with hyperlipidemia (14 oral daily doses). Clinical data after single doses up to 4 mg and multiple doses up to 1 mg showed that ALG</w:t>
        <w:noBreakHyphen/>
        <w:t>055009 was well tolerated, had dose proportional pharmacokinetics (PK) with low intersubject variability, and demonstrated expected thyromimetic effects (i.e., generally dose proportional increases in sex hormone binding globulin and decreases in various atherogenic lipids and thyroid hormones). In this same study, we have also evaluated relative bioavailability where we have shown the soft gelatin capsules to be used on Phase 2 studies, delivers similar exposures compared to the solution used in Phase 1 studies; we observed low intersubject PK variability and there was no evidence of a meaningful food effect. Currently, we are initiating a Phase 2a proof of concept study (HERALD) under an amendment to an open investigational new drug application (IND). The study’s design is a 12-week randomized, placebo-controlled trial evaluating 4 doses of ALG-055009 vs. placebo in approximately 100 subjects with presumed liver fibrosis stage 1-3 (F1-F3) MASH. In addition to collecting safety and PK data, this study is also designed to assess multiple efficacy biomarkers, which include MRI-PDFF and other non-invasive tests previously shown to be impacted by treatment with THR</w:t>
        <w:noBreakHyphen/>
        <w:t>ß agonists. We anticipate dosing to begin in the second quarter of 2024 and with topline safety and 12 week MRI-PDFF data from this study in the fourth quarter of 2024. We believe ALG</w:t>
        <w:noBreakHyphen/>
        <w:t>055009 has the potential to become a best</w:t>
        <w:noBreakHyphen/>
        <w:t>in</w:t>
        <w:noBreakHyphen/>
        <w:t>class THR</w:t>
        <w:noBreakHyphen/>
        <w:t>ß agonist and could play an integral role in future MASH combination regimens based on its enhanced potency, beta selectivity, and its PK profile versus other THR</w:t>
        <w:noBreakHyphen/>
        <w:t>ß drugs in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small molecule THR</w:t>
        <w:noBreakHyphen/>
        <w:t>ß program, we are also progressing oligonucleotide projects for MASH, including the collaboration with Merck. The programs are currently progressing through preclinical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area of focus seeks to enhance the viral suppression and rate of functional cure for CHB, which often results in life-threatening conditions such as cirrhosis, end-stage liver disease and, the most common form of liver cancer, hepatocellular carcinoma (HCC). To achieve this, we are developing a portfolio of differentiated CHB drug candidates, including a small molecule Capsid Assembly Modulator that results in the production of empty viral capsids (CAM-E) and small molecule inhibitors of the Programmed Cell Death Ligand 1 (PD</w:t>
        <w:noBreakHyphen/>
        <w:t xml:space="preserve">1/PD-L1) interaction.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the initial Phase 1a study in HVs for our CAM-E, ALG</w:t>
        <w:noBreakHyphen/>
        <w:t>000184, and a Phase 1b dose ranging study evaluating the safety, PK and antiviral activity of 10-300 mg doses of ALG</w:t>
        <w:noBreakHyphen/>
        <w:t>000184 for 28 days among untreated HBV e-antigen (HBeAg) positive/negative CHB subjects. For these studies, ALG</w:t>
        <w:noBreakHyphen/>
        <w:t>000184 was found to be well tolerated with a favorable PK profile and demonstrated potentially best-in-class substantial HBV DNA and RNA reductions at all doses tested, as well as HBV surface antigen (HBsAg) reductions in a subset of HBeAg positive subjects receiving 300 mg ALG</w:t>
        <w:noBreakHyphen/>
        <w:t>000184 (Hou et. al, AASLD 2022). Based on the favorable profile after dosing up to 300 mg ALG</w:t>
        <w:noBreakHyphen/>
        <w:t>000184 x 28 days, additional Phase 1b cohorts are currently ongoing and evaluating the risk-benefit profile of up to 300 mg doses of ALG</w:t>
        <w:noBreakHyphen/>
        <w:t xml:space="preserve">000184 with or without entecavir (ETV) therapy for up to 96 weeks in HBeAg positive/negative CHB subjects. Preliminary data have been presented for several of these cohorts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(Hou et al., EASL 2023, Yuen et al., AASLD 2023) and indicate that ALG</w:t>
        <w:noBreakHyphen/>
        <w:t>000184 dosed for up to 48 weeks has shown to be well tolerated with a favorable PK profile and potentially best-in-class antiviral activity. Specifically, antiviral activity data in subjects dosed with 300 mg ALG</w:t>
        <w:noBreakHyphen/>
        <w:t xml:space="preserve">000184 </w:t>
      </w:r>
      <w:r>
        <w:rPr>
          <w:rFonts w:ascii="Times New Roman" w:hAnsi="Times New Roman"/>
          <w:color w:val="000000"/>
          <w:sz w:val="20"/>
          <w:u w:val="single"/>
        </w:rPr>
        <w:t>+</w:t>
      </w:r>
      <w:r>
        <w:rPr>
          <w:rFonts w:ascii="Times New Roman" w:hAnsi="Times New Roman"/>
          <w:color w:val="000000"/>
          <w:sz w:val="20"/>
        </w:rPr>
        <w:t xml:space="preserve"> ETV for up to 48 weeks are available in cohorts (Part 4 Cohorts 2 and B) of HBeAg positive subjects with normal/elevated baseline ALT. In these cohorts, we observed mean DNA reductions of 6.8 log</w:t>
      </w:r>
      <w:r>
        <w:rPr>
          <w:rFonts w:ascii="Times New Roman" w:hAnsi="Times New Roman"/>
          <w:color w:val="000000"/>
          <w:sz w:val="13"/>
        </w:rPr>
        <w:t>10</w:t>
      </w:r>
      <w:r>
        <w:rPr>
          <w:rFonts w:ascii="Times New Roman" w:hAnsi="Times New Roman"/>
          <w:color w:val="000000"/>
          <w:sz w:val="20"/>
        </w:rPr>
        <w:t xml:space="preserve"> IU/mL. Notably, subjects in these cohorts who initially received ETV x 12 weeks had more modest reductions in HBV DNA as compared to subjects receiving ALG</w:t>
        <w:noBreakHyphen/>
        <w:t>000184 + ETV over the same time period. In addition, subjects initially receiving ETV only then experienced further reductions in HBV DNA levels once they started receiving the combination of ETV and ALG</w:t>
        <w:noBreakHyphen/>
        <w:t>000184, and their HBV DNA levels also reached levels exceeding 6 log</w:t>
      </w:r>
      <w:r>
        <w:rPr>
          <w:rFonts w:ascii="Times New Roman" w:hAnsi="Times New Roman"/>
          <w:color w:val="000000"/>
          <w:sz w:val="13"/>
        </w:rPr>
        <w:t>10</w:t>
      </w:r>
      <w:r>
        <w:rPr>
          <w:rFonts w:ascii="Times New Roman" w:hAnsi="Times New Roman"/>
          <w:color w:val="000000"/>
          <w:sz w:val="20"/>
        </w:rPr>
        <w:t xml:space="preserve"> IU/mL, indicating an additive antiviral effect of ALG-000184 with ETV. Further, as of February 28, 2024, subjects receiving 300 mg ALG</w:t>
        <w:noBreakHyphen/>
        <w:t>000184 monotherapy had similar DNA reductions as subjects receiving 300 mg ALG</w:t>
        <w:noBreakHyphen/>
        <w:t xml:space="preserve">000184 </w:t>
      </w:r>
      <w:r>
        <w:rPr>
          <w:rFonts w:ascii="Times New Roman" w:hAnsi="Times New Roman"/>
          <w:color w:val="000000"/>
          <w:sz w:val="20"/>
          <w:u w:val="single"/>
        </w:rPr>
        <w:t>+</w:t>
      </w:r>
      <w:r>
        <w:rPr>
          <w:rFonts w:ascii="Times New Roman" w:hAnsi="Times New Roman"/>
          <w:color w:val="000000"/>
          <w:sz w:val="20"/>
        </w:rPr>
        <w:t xml:space="preserve"> ETV and no subject has experienced viral breakthroughs. This indicates ETV is not meaningfully contributing to observed antiviral activity and there is no evidence of emergence of resistance after dosing with ALG</w:t>
        <w:noBreakHyphen/>
        <w:t xml:space="preserve">000184 monotherapy for up to 48 weeks, the last time point studied to date. We have also observed in subjects dosed with either 100 or 300 mg of ALG-000184 </w:t>
      </w:r>
      <w:r>
        <w:rPr>
          <w:rFonts w:ascii="Times New Roman" w:hAnsi="Times New Roman"/>
          <w:color w:val="000000"/>
          <w:sz w:val="20"/>
          <w:u w:val="single"/>
        </w:rPr>
        <w:t>+</w:t>
      </w:r>
      <w:r>
        <w:rPr>
          <w:rFonts w:ascii="Times New Roman" w:hAnsi="Times New Roman"/>
          <w:color w:val="000000"/>
          <w:sz w:val="20"/>
        </w:rPr>
        <w:t xml:space="preserve"> ETV that mean blood levels of all the three major viral antigens (HBsAg, HBeAg, and HBV core-related antigen (HBcrAg)) all declined by at least 1.2 log</w:t>
      </w:r>
      <w:r>
        <w:rPr>
          <w:rFonts w:ascii="Times New Roman" w:hAnsi="Times New Roman"/>
          <w:color w:val="000000"/>
          <w:sz w:val="13"/>
        </w:rPr>
        <w:t>10</w:t>
      </w:r>
      <w:r>
        <w:rPr>
          <w:rFonts w:ascii="Times New Roman" w:hAnsi="Times New Roman"/>
          <w:color w:val="000000"/>
          <w:sz w:val="20"/>
        </w:rPr>
        <w:t xml:space="preserve"> units and these declines were dose related. Maximum individual declines of these antigens ranged from 2.0-2.5 log</w:t>
      </w:r>
      <w:r>
        <w:rPr>
          <w:rFonts w:ascii="Times New Roman" w:hAnsi="Times New Roman"/>
          <w:color w:val="000000"/>
          <w:sz w:val="13"/>
        </w:rPr>
        <w:t>10</w:t>
      </w:r>
      <w:r>
        <w:rPr>
          <w:rFonts w:ascii="Times New Roman" w:hAnsi="Times New Roman"/>
          <w:color w:val="000000"/>
          <w:sz w:val="20"/>
        </w:rPr>
        <w:t xml:space="preserve"> units over this time period. By comparison, no meaningful change in any of these antigen levels was observed in subjects dosed with ETV alone. Dosing of HBeAg positive/negative subjects with ALG</w:t>
        <w:noBreakHyphen/>
        <w:t xml:space="preserve">000184 </w:t>
      </w:r>
      <w:r>
        <w:rPr>
          <w:rFonts w:ascii="Times New Roman" w:hAnsi="Times New Roman"/>
          <w:color w:val="000000"/>
          <w:sz w:val="20"/>
          <w:u w:val="single"/>
        </w:rPr>
        <w:t>+</w:t>
      </w:r>
      <w:r>
        <w:rPr>
          <w:rFonts w:ascii="Times New Roman" w:hAnsi="Times New Roman"/>
          <w:color w:val="000000"/>
          <w:sz w:val="20"/>
        </w:rPr>
        <w:t xml:space="preserve"> ETV in ongoing cohorts will continue throughout 2024 and interim safety, PK, and antiviral activity data will be presented at scientific conferences throughout the year. We believe that our CAM</w:t>
        <w:noBreakHyphen/>
        <w:t>E, ALG</w:t>
        <w:noBreakHyphen/>
        <w:t>000184, can lead to greater rates of viral suppression and, in combination with other mechanisms of action such as those in our CHB portfolio, also may lead to higher rates of functional cure.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siRNA drug candidate targeting HBsAg production, ALG</w:t>
        <w:noBreakHyphen/>
        <w:t xml:space="preserve">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available data indicated evidence of HBsAg lowering at all 3 dose levels evaluated. We plan to seek additional external funding to further advance this drug candidate in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exploring ways to boost immune responses via small molecule inhibitors of the Programmed Cell Death Ligand 1 (PD-L1) transmembrane protein and its interaction with Programmed Cell Death Protein 1 (PD-1). We have rationally designed these T cell activating drug candidates to partition preferentially to the liver and thereby potentially mitigate systemic toxicity in an effort to develop better tolerated PD-1/PD-L1 inhibitors for CHB patients. Lead molecules developed to date show similar in vivo efficacy in tumor models to approved PD-1/PD-L1 antibodies. Our small molecule lead compounds also demonstrate greater PD-L1 target occupancy at a lower dose in a humanized PD-L1 subcutaneous tumor model compared to competitor small molecule PD-L1 inhibitors. We have recently selected two lead molecules and have initiated scale-up to enable further advancement towards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KU Leuven, the Center for Innovation and Stimulation of Drug Discovery (CISTIM) and the CD3. Our lead candidate, ALG</w:t>
        <w:noBreakHyphen/>
        <w:t>097558, has been shown to be at least 6-fold more potent than nirmatrelvir and other PIs in clinical development in cell-based assays against a panel of SARS-CoV-2 variants (including Omicron). It also has demonstrated broad pan-coronavirus activity, and based on emerging Phase 1 clinical data, is not expected to require ritonavir boosting. Evaluation of ALG</w:t>
        <w:noBreakHyphen/>
        <w:t>097558 in the hamster SARS-CoV-2 infection model has shown that, when dosed prior to infection or up to 24 hours post-infection, the compound caused a significant reduction in the levels of infectious virus in the lungs. ALG</w:t>
        <w:noBreakHyphen/>
        <w:t xml:space="preserve">097558 also appeared to better maintain its antiviral activity against certain resistant mutants compared to other PIs in development based on publicly available data. The safety and PK properties of ALG-097558 are currently being assessed in an ongoing Phase 1 study in HVs. To date, single doses up to 2000 mg have been well tolerated with dose related increase in PK. Additionally, in the on-going multiple ascending dose cohort, it is well tolerated at the 350 mg BID dose for 7 days with additional multiple dose cohorts planned to be conducted in the first and second quarters of 2024. We expect to share topline data from this study at a scientific conference in the second quarter of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plan to conduct the clinical pharmacology studies in the second half of 2024 through the end of 2025 as part of this NIAID contract. We expect to receive approximately $11.0 million in funds across these two NIH awards and contracts to support these activities. We are also presently seeking additional external funding (e.g., from governmental agencies) to support future studies (e.g., Phase 2) as we advance ALG-097558 for the treatment of COVID-19 and future coronavirus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we completed a follow-on offering and issued 4,400,000 shares of our common stock at a price to the public of $19.00 per share for net proceeds of $77.7 million, after deducting underwriting discounts and commissions and offering expenses payable by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a private investment in public equity (PIPE) offering and entered into a securities purchase agreement (the “Securities Purchase Agreement”) pursuant to which we agreed to issue 31,429,266 shares of our common stock, par value $0.001 per share, pre-funded warrants to purchase an aggregate of 81,054,686 shares of our common stock (the “2023 Pre-Funded Warrants”), and common warrants to purchase an aggregate of 56,241,973 shares of our common stock (the “Common Warrants,” and together with the 2023 Pre-Funded Warrants, the "Warrants"). Each Warrant is exercisable for one share of common stock. The Company received gross proceeds of approximately $92.1 million, and after deducting the placement agent fees and expenses and offering costs, net proceeds were approximately $86.2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and negative cash flows from operations in each year since our formation in February 2018. Our net losses were $87.7 million and $96.0 million for the years ended December 31, 2023 and 2022, respectively. We have had no revenue from product sales. As of December 31, 2023, we had an accumulated deficit of $486.8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since inception have consisted solely of research and development costs and general and administrative costs.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substantially on third parties to conduct our discovery activities, nonclinical studies, clinical trials and manufacturing. We primarily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benefits and other employee-related costs, including stock-based compensation expense,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including their fees, and related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in-process research and development, including license fees and milestones paid to third-party collaborators for technologies with no alternative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production of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collaborators that perform nonclinical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 costs, depreciation, and other expenses, which include direct and allocated expenses for rent and maintenance of facilities, insurance, and other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track direct external research and development expenses on a program-specific basis (CHB, coronaviruses, MASH and early-stage programs). The following table summarizes these research and development costs, in thousands:</w:t>
      </w:r>
    </w:p>
    <w:p>
      <w:pPr>
        <w:pStyle w:val="TextBody"/>
        <w:bidi w:val="0"/>
        <w:spacing w:before="120" w:after="283"/>
        <w:jc w:val="left"/>
        <w:rPr/>
      </w:pPr>
      <w:r>
        <w:rPr/>
        <w:t> </w:t>
      </w:r>
    </w:p>
    <w:tbl>
      <w:tblPr>
        <w:tblW w:w="8503" w:type="dxa"/>
        <w:jc w:val="left"/>
        <w:tblInd w:w="0" w:type="dxa"/>
        <w:tblLayout w:type="fixed"/>
        <w:tblCellMar>
          <w:top w:w="28" w:type="dxa"/>
          <w:left w:w="28" w:type="dxa"/>
          <w:bottom w:w="28" w:type="dxa"/>
          <w:right w:w="28" w:type="dxa"/>
        </w:tblCellMar>
      </w:tblPr>
      <w:tblGrid>
        <w:gridCol w:w="5801"/>
        <w:gridCol w:w="146"/>
        <w:gridCol w:w="216"/>
        <w:gridCol w:w="692"/>
        <w:gridCol w:w="149"/>
        <w:gridCol w:w="216"/>
        <w:gridCol w:w="692"/>
        <w:gridCol w:w="591"/>
      </w:tblGrid>
      <w:tr>
        <w:trPr/>
        <w:tc>
          <w:tcPr>
            <w:tcW w:w="5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8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Direct research and development expenses by development program:</w:t>
            </w:r>
          </w:p>
        </w:tc>
        <w:tc>
          <w:tcPr>
            <w:tcW w:w="146" w:type="dxa"/>
            <w:tcBorders/>
            <w:shd w:fill="CFF0FC" w:val="clear"/>
            <w:vAlign w:val="center"/>
          </w:tcPr>
          <w:p>
            <w:pPr>
              <w:pStyle w:val="TableContents"/>
              <w:bidi w:val="0"/>
              <w:spacing w:before="0" w:after="283"/>
              <w:jc w:val="left"/>
              <w:rPr/>
            </w:pPr>
            <w:r>
              <w:rPr/>
              <w:t> </w:t>
            </w:r>
          </w:p>
        </w:tc>
        <w:tc>
          <w:tcPr>
            <w:tcW w:w="908" w:type="dxa"/>
            <w:gridSpan w:val="2"/>
            <w:tcBorders/>
            <w:shd w:fill="CFF0FC" w:val="clear"/>
            <w:vAlign w:val="center"/>
          </w:tcPr>
          <w:p>
            <w:pPr>
              <w:pStyle w:val="TableContents"/>
              <w:bidi w:val="0"/>
              <w:spacing w:before="0" w:after="283"/>
              <w:jc w:val="center"/>
              <w:rPr/>
            </w:pPr>
            <w:r>
              <w:rPr/>
              <w:t> </w:t>
            </w:r>
          </w:p>
        </w:tc>
        <w:tc>
          <w:tcPr>
            <w:tcW w:w="149" w:type="dxa"/>
            <w:tcBorders/>
            <w:shd w:fill="CFF0FC" w:val="clear"/>
            <w:vAlign w:val="center"/>
          </w:tcPr>
          <w:p>
            <w:pPr>
              <w:pStyle w:val="TableContents"/>
              <w:bidi w:val="0"/>
              <w:spacing w:before="0" w:after="283"/>
              <w:jc w:val="center"/>
              <w:rPr/>
            </w:pPr>
            <w:r>
              <w:rPr/>
              <w:t> </w:t>
            </w:r>
          </w:p>
        </w:tc>
        <w:tc>
          <w:tcPr>
            <w:tcW w:w="908"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300"/>
              <w:jc w:val="center"/>
              <w:rPr/>
            </w:pPr>
            <w:r>
              <w:rPr/>
              <w:t> </w:t>
            </w:r>
          </w:p>
        </w:tc>
      </w:tr>
      <w:tr>
        <w:trPr/>
        <w:tc>
          <w:tcPr>
            <w:tcW w:w="58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Metabolic dysfunction-associated steatohepatitis program</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7,899</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591" w:type="dxa"/>
            <w:tcBorders/>
            <w:shd w:fill="FFFFFF" w:val="clear"/>
            <w:vAlign w:val="center"/>
          </w:tcPr>
          <w:p>
            <w:pPr>
              <w:pStyle w:val="TableContents"/>
              <w:bidi w:val="0"/>
              <w:spacing w:before="0" w:after="283"/>
              <w:ind w:left="0" w:right="0" w:firstLine="300"/>
              <w:jc w:val="left"/>
              <w:rPr/>
            </w:pPr>
            <w:r>
              <w:rPr/>
              <w:t> </w:t>
            </w:r>
          </w:p>
        </w:tc>
      </w:tr>
      <w:tr>
        <w:trPr/>
        <w:tc>
          <w:tcPr>
            <w:tcW w:w="580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Chronic Hepatitis B program</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20,681</w:t>
            </w:r>
          </w:p>
        </w:tc>
        <w:tc>
          <w:tcPr>
            <w:tcW w:w="591" w:type="dxa"/>
            <w:tcBorders/>
            <w:shd w:fill="CFF0FC" w:val="clear"/>
            <w:vAlign w:val="center"/>
          </w:tcPr>
          <w:p>
            <w:pPr>
              <w:pStyle w:val="TableContents"/>
              <w:bidi w:val="0"/>
              <w:spacing w:before="0" w:after="283"/>
              <w:ind w:left="0" w:right="0" w:firstLine="300"/>
              <w:jc w:val="left"/>
              <w:rPr/>
            </w:pPr>
            <w:r>
              <w:rPr/>
              <w:t> </w:t>
            </w:r>
          </w:p>
        </w:tc>
      </w:tr>
      <w:tr>
        <w:trPr/>
        <w:tc>
          <w:tcPr>
            <w:tcW w:w="58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Coronaviruses program</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591" w:type="dxa"/>
            <w:tcBorders/>
            <w:shd w:fill="FFFFFF" w:val="clear"/>
            <w:vAlign w:val="center"/>
          </w:tcPr>
          <w:p>
            <w:pPr>
              <w:pStyle w:val="TableContents"/>
              <w:bidi w:val="0"/>
              <w:spacing w:before="0" w:after="283"/>
              <w:ind w:left="0" w:right="0" w:firstLine="300"/>
              <w:jc w:val="left"/>
              <w:rPr/>
            </w:pPr>
            <w:r>
              <w:rPr/>
              <w:t> </w:t>
            </w:r>
          </w:p>
        </w:tc>
      </w:tr>
      <w:tr>
        <w:trPr/>
        <w:tc>
          <w:tcPr>
            <w:tcW w:w="580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early-stage programs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9,213</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direct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32,879</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indirect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40,161</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73,040</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comprises interest income, net and other income (expense), net. Interest income, net primarily consists of interest earned on our cash, cash equivalents, and investments. Other income (expense), net consists primarily of foreign currency exchange gains and losses. </w:t>
      </w:r>
    </w:p>
    <w:p>
      <w:pPr>
        <w:pStyle w:val="TextBody"/>
        <w:bidi w:val="0"/>
        <w:spacing w:before="120" w:after="283"/>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in 2018, we have not recorded any U.S. federal or state income tax benefits for the net losses we have incurred in any year or for our earned research and development tax credits, due to our uncertainty of realizing a benefit from those items. As of December 31, 2023, we had federal net operating loss (NOL) carryforwards of $3.7 million available to reduce taxable income and these NOLs can be carried forward indefinitely. We have state NOL carryforwards of $12.7 million as of December 31, 2023, available to reduce future state taxable income, which expire at various dates beginning in 2038. As of December 31, 2023, we also had federal and state research and development tax credit carryforwards of $0.2 million and $0.2 million, respectively. The federal research and development tax credit carryforwards begin to expire in 2043, while the state research and development tax credit carryforwards can be carried forward indefinitely. The Company had $6.0 million of Australian NOL carryforwards and $0.7 million of Australian research and development tax credit carryforwards available. The Australian NOL and research and development tax credits have no expiration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Sections 382 and 383 of the Code, and corresponding provisions of state law, if a corporation undergoes an “ownership change” (generally defined as a greater than 50 percentage point change (by value) in its equity ownership over a rolling three-year period), our ability to use our pre-change NOL carryforwards and other pre-change tax attributes to offset its post-change income may be limited. We performed a Code Section 382 analysis in 2023 and determined there was an ownership change that resulted in Section 382 limitations. As of the ownership change, $288.6 million and $407.1 million of federal and state net operating losses, respectively, and $9.7 million and $4.8 million of research and development credit carryforwards were written off.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additional ownership changes as a result of subsequent shifts in our stock ownership, some of which may be outside of our control.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 In addition, under current tax law, federal NOL carryforwards generated in periods after December 31, 2017, may be carried forward indefinitely but, may only be used to offset 80% of our taxable income. </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years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operating expenses for the years ended December 31, 2023 and 2022: </w:t>
      </w:r>
    </w:p>
    <w:p>
      <w:pPr>
        <w:pStyle w:val="TextBody"/>
        <w:bidi w:val="0"/>
        <w:spacing w:before="120" w:after="283"/>
        <w:jc w:val="left"/>
        <w:rPr/>
      </w:pPr>
      <w:r>
        <w:rPr/>
        <w:t> </w:t>
      </w:r>
    </w:p>
    <w:tbl>
      <w:tblPr>
        <w:tblW w:w="8463" w:type="dxa"/>
        <w:jc w:val="left"/>
        <w:tblInd w:w="0" w:type="dxa"/>
        <w:tblLayout w:type="fixed"/>
        <w:tblCellMar>
          <w:top w:w="28" w:type="dxa"/>
          <w:left w:w="28" w:type="dxa"/>
          <w:bottom w:w="28" w:type="dxa"/>
          <w:right w:w="28" w:type="dxa"/>
        </w:tblCellMar>
      </w:tblPr>
      <w:tblGrid>
        <w:gridCol w:w="3256"/>
        <w:gridCol w:w="146"/>
        <w:gridCol w:w="146"/>
        <w:gridCol w:w="211"/>
        <w:gridCol w:w="781"/>
        <w:gridCol w:w="166"/>
        <w:gridCol w:w="146"/>
        <w:gridCol w:w="211"/>
        <w:gridCol w:w="781"/>
        <w:gridCol w:w="166"/>
        <w:gridCol w:w="146"/>
        <w:gridCol w:w="211"/>
        <w:gridCol w:w="736"/>
        <w:gridCol w:w="166"/>
        <w:gridCol w:w="146"/>
        <w:gridCol w:w="146"/>
        <w:gridCol w:w="586"/>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and other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from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collaborations was $9.3 million for the year ended December 31, 2023, compared to $13.9 million for the year ended December 31, 2022, a decrease of $4.6 million. This is due to the completion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Original Agreement with Merck in the first quarter of 2023, leaving the Amended collaboration agreement with Merck to continue in the year ended December 2023. </w:t>
      </w:r>
    </w:p>
    <w:p>
      <w:pPr>
        <w:pStyle w:val="TextBody"/>
        <w:bidi w:val="0"/>
        <w:spacing w:before="120" w:after="283"/>
        <w:jc w:val="left"/>
        <w:rPr>
          <w:rFonts w:ascii="Times New Roman" w:hAnsi="Times New Roman"/>
          <w:sz w:val="20"/>
        </w:rPr>
      </w:pPr>
      <w:r>
        <w:rPr>
          <w:rFonts w:ascii="Times New Roman" w:hAnsi="Times New Roman"/>
          <w:i/>
          <w:color w:val="000000"/>
          <w:sz w:val="20"/>
        </w:rPr>
        <w:t>Revenue from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customers was $6.2 million for the year ended December 31, 2023 , primarily due to the agreement with Amoytop signed in 2023. Refer to footnote 12, Revenue from Contracts with Customers for further information. There was no revenue recognized from customers in the year ended December 31, 2022.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$73.0 million for the year ended December 31, 2023, compared to $85.1 million for the year ended December 31, 2022, a decrease of $12.0 million. This is due to a decrease of $9.5 million in third-party expenses mainly related to our discontinued STOPs and ASO programs in 2022, partially offset by increases in our ongoing activities and related expenditures associated with our CAM clinical trial activities and MASH program, as well as the milestone payment to Katholieke Universiteit Leuven (KU Leuven) under its collaboration agreement related to the coronaviruses and the dosing of the first patient in a Phase 1 clinical trial. There was also a decrease of $0.5 million in depreciation, and a decrease of $2.9 million in employee-related costs, of which $0.9 million related to stock-based compensation. This was partially offset by an increase of $0.9 million in facility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$30.6 million for the year ended December 31, 2023, compared to $26.4 million for the year ended December 31, 2022, an increase of $4.2 million. This is due to an increase of $6.5 million of third-party expenses primarily due to higher legal and patent attorney costs, partially offset by a decrease of $0.5 million of employee-related costs, of which $0.8 million related to stock-based compensation (partially offset by other immaterial items), a decrease of $0.2 million in depreciation and recruiting costs, and a decrease of $1.5 million in facility expenses.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net increased to $4.3 million for the year ended December 31, 2023 from $1.5 million for the year ended December 31, 2022, an increase of approximately $2.8 million, primarily due to an increase in market interest rates. </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an expense, net of $3.1 million for the year ended December 31, 2023 compared to income, net of $0.1 million for the year ended December 31, 2022, a difference of $3.2 million. The difference was due primarily to fair value of Common Warrants and issuance costs recognized associated with the Securities Purchase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since inception. We have not generated any revenue from product sales and have incurred significant operating losses. We have not yet commercialized any products and we do not expect to generate revenue from sales of any drug candidates for at least several years,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been financed primarily by net proceeds from the sale and issuance of our convertible preferred stock, net proceeds from our IPO, and the issuance of convertible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we completed a follow-on offering and issued 4,400,000 shares of our common stock at a price to the public of $19.00 per share for net proceeds of $77.7 million, after deducting underwriting discounts and commissions and estimated offering expenses payable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completed a PIPE offering and issued 31,429,266 shares of common stock, pre-funded warrants to purchase an aggregate of 81,054,686 shares of Common Stock, and common warrants to purchase an aggregate of 56,241,973 shares of Common Stock. The Company received gross proceeds of approximately $92.1 million, and after deducting the placement agent fees and expenses and offering costs, net proceeds were approximately $86.2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cash, cash equivalents and investments of $135.7 million.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MASH drug candidate ALG-055009, which we have initiated clinical trials, as well as our research and development of our other drug candidates within our coronavirus and CHB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continue to incur additional costs associated with operating as a public company following our IPO in October 2020. We expect that our expenses will increase substantially to the extent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current and future clinical trials, and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continue research and nonclinical and clinical development of other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marketing approvals for any of our drug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larger quantities of our drug candidates for clinical development and potentially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clinical, quality control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milestones triggering payments by us under our current and potential future licensing and/or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out or expand existing facilities to support our ongoing development activity;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product revenues, if any, will be derived from sales of drugs that we do not expect to be commercially available for many years, if ever. Accordingly, we will need to obtain substantial additional funds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w:t>
      </w:r>
    </w:p>
    <w:p>
      <w:pPr>
        <w:pStyle w:val="TextBody"/>
        <w:bidi w:val="0"/>
        <w:spacing w:before="160" w:after="283"/>
        <w:jc w:val="left"/>
        <w:rPr/>
      </w:pPr>
      <w:r>
        <w:rPr/>
        <w:t> </w:t>
      </w:r>
    </w:p>
    <w:tbl>
      <w:tblPr>
        <w:tblW w:w="8279" w:type="dxa"/>
        <w:jc w:val="left"/>
        <w:tblInd w:w="0" w:type="dxa"/>
        <w:tblLayout w:type="fixed"/>
        <w:tblCellMar>
          <w:top w:w="28" w:type="dxa"/>
          <w:left w:w="28" w:type="dxa"/>
          <w:bottom w:w="28" w:type="dxa"/>
          <w:right w:w="28" w:type="dxa"/>
        </w:tblCellMar>
      </w:tblPr>
      <w:tblGrid>
        <w:gridCol w:w="5611"/>
        <w:gridCol w:w="146"/>
        <w:gridCol w:w="211"/>
        <w:gridCol w:w="736"/>
        <w:gridCol w:w="166"/>
        <w:gridCol w:w="146"/>
        <w:gridCol w:w="211"/>
        <w:gridCol w:w="841"/>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shd w:fill="FFFFFF" w:val="clear"/>
            <w:vAlign w:val="center"/>
          </w:tcPr>
          <w:p>
            <w:pPr>
              <w:pStyle w:val="TableContents"/>
              <w:bidi w:val="0"/>
              <w:spacing w:before="0" w:after="283"/>
              <w:jc w:val="center"/>
              <w:rPr/>
            </w:pPr>
            <w:r>
              <w:rPr/>
              <w:t> </w:t>
            </w:r>
          </w:p>
        </w:tc>
      </w:tr>
      <w:tr>
        <w:trPr/>
        <w:tc>
          <w:tcPr>
            <w:tcW w:w="5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5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2023, operating activities used $79.0 million of cash, primarily resulting from our net loss of $87.7 million and cash used as a result of changes in our operating assets and liabilities of $9.5 million, partially offset by non-cash charges of $18.2 million. Net cash used as a result of changes in our operating assets and liabilities of $9.5 million consisted of a increase in accrued liabilities of $0.9 million, an increase of $0.5 million in deferred revenue from customers, and a decrease in other current assets of $2.3 million, offset by a decrease of $2.4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million in operating lease liabilities, a decrease of $2.2 million in accounts payable, and a decrease of $8.7 million in deferred revenue from collaborations.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in deferred revenue from collaborations was a result of our recognition of revenue from collaborations due to progress towards the completion of the projects. The increase in our deferred revenue from customers was a result of our agreement with Amoytop (refer to Note 12 Revenue from Contracts with Customers, for details). Operating lease liabilities decreased due to contractual lease payments, and the increase in accrued liabilities was due primarily due to our ongoing activities and related expenditures associated with our CAM clinical trial activities and MASH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2022, operating activities used $79.4 million of cash, primarily resulting from our net loss of $96.0 million and cash used as a result of changes in our operating assets and liabilities of $1.6 million, partially offset by non-cash charges of $18.2 million. Net cash used as a result of changes in our operating assets and liabilities of $1.6 million consisted of a decrease in accrued liabilities of $9.1 million, an increase of $0.3 million in right of use assets, a decrease of $1.8 million in operating lease liabilities, and a decrease of $0.1 million in other liabilities, partially offset by a decrease in other current assets of $5.6 million, an increase of $1.7 million in accounts payable, and an increase of $2.5 million in deferred revenue from collaborations.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other assets resulted from reduced costs due to the discontinuation of our STOPS and ASO programs including deposits for manufacturing slot reservation fees. The increase in deferred revenue from collaborations was a result of our collaboration agreements (refer to Note 10 License and collaboration agreements, for details), partially offset by the recognition of revenue from collaborations due to progress towards the completion of the projects. Operating lease liabilities decreased due to contractual lease payments, and the decrease in accrued liabilities was due primarily due to a slowdown in manufacturing activities for various drug compounds that are expected to be consumed in future clinical trials.</w:t>
      </w:r>
    </w:p>
    <w:p>
      <w:pPr>
        <w:pStyle w:val="TextBody"/>
        <w:bidi w:val="0"/>
        <w:spacing w:before="12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Fiscal 2023, investing activities provided $45.0 million of cash, consisting primarily of investment maturities.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2022, investing activities used $26.3 million of cash, consisting primarily of $104.3 million of investment purchases, and $0.9 million of purchases of property and equipment, partially offset by $78.9 million of investment maturities.</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2023, net cash provided by financing activities was $88.3 million, consisting primarily of $87.9 million from the issuance of common stock, common warrants and pre-funded warrants in the PIPE, the issuance of shares through our employee stock purchase plan, partially offset by payments of our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2022, net cash provided by financing activities was $0.2 million, consisting primarily of $0.2 million from the issuance of common stock from the exercise of employee stock options and the issuance of shares through our employee stock purchase plan, partially offset by payments of our finance leases.</w:t>
      </w:r>
    </w:p>
    <w:p>
      <w:pPr>
        <w:pStyle w:val="TextBody"/>
        <w:bidi w:val="0"/>
        <w:spacing w:before="12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commitments consist of obligations under our operating leases for office space in South San Francisco, California, and Belgium, and finance lease commitments representing obligations related to vehicle leases for employees and a lease for lab equipment. All of our finance leases are for assets in Belgium. We do not have any material purchase commitments for contracts with fixed or minimum service requirements. We also enter into contracts in the normal course of business with various vendors that generally provide for contract termination following a certain notice period. The Company enters into contracts in the normal course of business that includes arrangements with clinical research organizations, vendors for preclinical research and vendors for manufacturing. These agreements generally allow for cancellation with notice. As of December 31, 2023, the Company had no material non-cancellable purchase commitments.</w:t>
      </w:r>
    </w:p>
    <w:p>
      <w:pPr>
        <w:pStyle w:val="TextBody"/>
        <w:bidi w:val="0"/>
        <w:spacing w:before="12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 and future performance, as these policies relate to the more significant areas involving management’s judgments and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accrued expenses for estimated costs of our research and development activities conducted by third-party service providers, which include the conduct of clinical trials and nonclinical studies. We record the estimated costs of research and development activities based upon the estimated amount of services provided but not yet invoiced and include these costs in accrued liabilities in the Consolidated Balance Sheets and within research and development expense in the Consolidated Statements of Operations and Comprehensive Loss. These expenses are a significant component of our research and development costs. We record accrued expenses for these costs based on factors such as estimates of the work completed and in accordance with agreements established with these third-party service providers. Any payments made in advance of services provided are recorded as prepaid expenses and other assets, which are expensed as the contracted services are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could vary from actuals and result in us reporting amounts that are too high or too low in any particular period. Our accrued expenses are dependent, in part, upon the receipt of timely and accurate reporting from clinical research organizations and other third-party service providers. For the periods presented, we have experienced no material differences between our accrued expenses and actual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as incurred. Acquired intangible assets are expensed as research and development if, at the time of payment, the technology is under development; is not approved by the U.S. Food and Drug Administration or other regulatory agencies for marketing; has not reached technical feasibility; or otherwise has no foreseeable alternative future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expensed as incurred. 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stock options and other stock-based awards granted to employees, directors and other service providers based on their fair value on the date of grant and recognize compensation expense of those awards over the requisite service period, which is generally the vesting period of the respective award. We recognize the impact of forfeitures on stock-based compensation expense as forfeitures occur. We apply the straight-line method of expense recognition to all awards with only service-based vesting conditions. During the years ended December 31, 2023 and 2022, we did not grant any stock-based awards with performance-based vesting conditions. We recognize compensation expense related to such awards when it is determined that satisfying the performance conditions is probable using the accelerated attribution method over the requisite service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estimate the fair value of each stock option grant on the date of grant using the Black-Scholes option-pricing model, which requires the use of highly subjective assumptions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 - We have opted to use the “simplified method” for estimating the expected term of plain-vanilla options, whereby the expected term equals the arithmetic average of the vesting term and the original contractual term of the option (generally 10 years). We estimated the expected term of performance-based vesting options based on the expected life of the options to remain outstanding, which is estimated to be materially consistent with time-vesting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 - The risk-free rate assumption is based on the U.S. Treasury instruments with maturities similar to the expected term of our stock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dividend - We have not issued any dividends and do not anticipate to issue dividends on our common stock. As a result, we have estimated the dividend yield to be zero.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volatility - Due to our limited operating history and a lack of company-specific historical 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2012, the Jumpstart Our Business Startups Act of 2012 (the JOBS Act), was enacted. Section 107 of the JOBS Act provides that an “emerging growth company”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have elected to use the extended transition period for any new or revised accounting standards during the period in which we remain an EGC; however, we may adopt certain new or revised accounting standards early.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EGC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intend to rely on the other exemptions and reduced reporting requirements provided to EGCs by the JOBS Act. Subject to certain conditions set forth in the JOBS Act, as an EGC,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or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consolidated financial statements.</w:t>
      </w:r>
    </w:p>
    <w:p>
      <w:pPr>
        <w:pStyle w:val="TextBody"/>
        <w:bidi w:val="0"/>
        <w:spacing w:before="120" w:after="283"/>
        <w:jc w:val="left"/>
        <w:rPr>
          <w:rFonts w:ascii="Times New Roman" w:hAnsi="Times New Roman"/>
          <w:sz w:val="20"/>
        </w:rPr>
      </w:pPr>
      <w:bookmarkStart w:id="18" w:name="item_7a_quantitative_qualitative_disclos"/>
      <w:bookmarkEnd w:id="18"/>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cash equivalents and investments of $135.7 million as of December 31, 2023, consist of bank deposits, money market funds, certificates of deposit and US Treasury available-for-sale securities. We are exposed to market risk related to changes in interest rates applicable to our investment portfolio of cash equivalents and short-term and long-term investments.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As of December 31, 2023, we estimate that a hypothetical 100 basis point adverse movement would not result in a material impact on our financial position or results of operations or cash flows.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8_financial_statements_supplementar"/>
      <w:bookmarkEnd w:id="19"/>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Index to Financial Statements</w:t>
      </w:r>
    </w:p>
    <w:p>
      <w:pPr>
        <w:pStyle w:val="TextBody"/>
        <w:bidi w:val="0"/>
        <w:jc w:val="left"/>
        <w:rPr/>
      </w:pPr>
      <w:r>
        <w:rPr/>
        <w:t> </w:t>
      </w:r>
    </w:p>
    <w:tbl>
      <w:tblPr>
        <w:tblW w:w="7612" w:type="dxa"/>
        <w:jc w:val="left"/>
        <w:tblInd w:w="0" w:type="dxa"/>
        <w:tblLayout w:type="fixed"/>
        <w:tblCellMar>
          <w:top w:w="28" w:type="dxa"/>
          <w:left w:w="28" w:type="dxa"/>
          <w:bottom w:w="28" w:type="dxa"/>
          <w:right w:w="28" w:type="dxa"/>
        </w:tblCellMar>
      </w:tblPr>
      <w:tblGrid>
        <w:gridCol w:w="6656"/>
        <w:gridCol w:w="956"/>
      </w:tblGrid>
      <w:tr>
        <w:trPr/>
        <w:tc>
          <w:tcPr>
            <w:tcW w:w="66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656" w:type="dxa"/>
            <w:tcBorders/>
            <w:vAlign w:val="center"/>
          </w:tcPr>
          <w:p>
            <w:pPr>
              <w:pStyle w:val="TableContents"/>
              <w:bidi w:val="0"/>
              <w:spacing w:before="0" w:after="283"/>
              <w:ind w:left="490" w:right="0" w:firstLine="490"/>
              <w:jc w:val="left"/>
              <w:rPr/>
            </w:pPr>
            <w:hyperlink w:anchor="report_independent_registered_public_acc">
              <w:r>
                <w:rPr>
                  <w:rStyle w:val="InternetLink"/>
                  <w:rFonts w:ascii="Times New Roman" w:hAnsi="Times New Roman"/>
                  <w:color w:val="0563C1"/>
                  <w:sz w:val="20"/>
                  <w:u w:val="single"/>
                </w:rPr>
                <w:t>Report of Independent Registered Public Accounting Firm (PCAOB ID 42)</w:t>
              </w:r>
            </w:hyperlink>
          </w:p>
        </w:tc>
        <w:tc>
          <w:tcPr>
            <w:tcW w:w="956" w:type="dxa"/>
            <w:tcBorders/>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109</w:t>
            </w:r>
          </w:p>
        </w:tc>
      </w:tr>
      <w:tr>
        <w:trPr/>
        <w:tc>
          <w:tcPr>
            <w:tcW w:w="6656" w:type="dxa"/>
            <w:tcBorders/>
            <w:vAlign w:val="center"/>
          </w:tcPr>
          <w:p>
            <w:pPr>
              <w:pStyle w:val="TableContents"/>
              <w:bidi w:val="0"/>
              <w:spacing w:before="0" w:after="283"/>
              <w:ind w:left="490" w:right="0" w:firstLine="490"/>
              <w:jc w:val="left"/>
              <w:rPr/>
            </w:pPr>
            <w:hyperlink w:anchor="consolidated_balance_sheets">
              <w:r>
                <w:rPr>
                  <w:rStyle w:val="InternetLink"/>
                  <w:rFonts w:ascii="Times New Roman" w:hAnsi="Times New Roman"/>
                  <w:color w:val="0563C1"/>
                  <w:sz w:val="20"/>
                  <w:u w:val="single"/>
                </w:rPr>
                <w:t>Consolidated Balance Sheets</w:t>
              </w:r>
            </w:hyperlink>
          </w:p>
        </w:tc>
        <w:tc>
          <w:tcPr>
            <w:tcW w:w="956" w:type="dxa"/>
            <w:tcBorders/>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110</w:t>
            </w:r>
          </w:p>
        </w:tc>
      </w:tr>
      <w:tr>
        <w:trPr/>
        <w:tc>
          <w:tcPr>
            <w:tcW w:w="6656" w:type="dxa"/>
            <w:tcBorders/>
            <w:vAlign w:val="center"/>
          </w:tcPr>
          <w:p>
            <w:pPr>
              <w:pStyle w:val="TableContents"/>
              <w:bidi w:val="0"/>
              <w:spacing w:before="0" w:after="283"/>
              <w:ind w:left="490" w:right="0" w:firstLine="490"/>
              <w:jc w:val="left"/>
              <w:rPr/>
            </w:pPr>
            <w:hyperlink w:anchor="consolidated_statements_operations_compr">
              <w:r>
                <w:rPr>
                  <w:rStyle w:val="InternetLink"/>
                  <w:rFonts w:ascii="Times New Roman" w:hAnsi="Times New Roman"/>
                  <w:color w:val="0563C1"/>
                  <w:sz w:val="20"/>
                  <w:u w:val="single"/>
                </w:rPr>
                <w:t>Consolidated Statements of Operations and Comprehensive Loss</w:t>
              </w:r>
            </w:hyperlink>
          </w:p>
        </w:tc>
        <w:tc>
          <w:tcPr>
            <w:tcW w:w="956" w:type="dxa"/>
            <w:tcBorders/>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111</w:t>
            </w:r>
          </w:p>
        </w:tc>
      </w:tr>
      <w:tr>
        <w:trPr/>
        <w:tc>
          <w:tcPr>
            <w:tcW w:w="6656" w:type="dxa"/>
            <w:tcBorders/>
            <w:vAlign w:val="center"/>
          </w:tcPr>
          <w:p>
            <w:pPr>
              <w:pStyle w:val="TableContents"/>
              <w:bidi w:val="0"/>
              <w:spacing w:before="0" w:after="283"/>
              <w:ind w:left="490" w:right="0" w:firstLine="490"/>
              <w:jc w:val="left"/>
              <w:rPr/>
            </w:pPr>
            <w:hyperlink w:anchor="consolidated_statements_changes_in_redee">
              <w:r>
                <w:rPr>
                  <w:rStyle w:val="InternetLink"/>
                  <w:rFonts w:ascii="Times New Roman" w:hAnsi="Times New Roman"/>
                  <w:color w:val="0563C1"/>
                  <w:sz w:val="20"/>
                  <w:u w:val="single"/>
                </w:rPr>
                <w:t>Consolidated Statements of Changes in Stockholders’ Equity</w:t>
              </w:r>
            </w:hyperlink>
            <w:hyperlink w:anchor="consolidated_statements_changes_in_redee">
              <w:r>
                <w:rPr>
                  <w:rStyle w:val="InternetLink"/>
                  <w:rFonts w:ascii="Times New Roman" w:hAnsi="Times New Roman"/>
                  <w:color w:val="0563C1"/>
                  <w:sz w:val="20"/>
                </w:rPr>
                <w:t xml:space="preserve"> </w:t>
              </w:r>
            </w:hyperlink>
          </w:p>
        </w:tc>
        <w:tc>
          <w:tcPr>
            <w:tcW w:w="956" w:type="dxa"/>
            <w:tcBorders/>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112</w:t>
            </w:r>
          </w:p>
        </w:tc>
      </w:tr>
      <w:tr>
        <w:trPr/>
        <w:tc>
          <w:tcPr>
            <w:tcW w:w="6656" w:type="dxa"/>
            <w:tcBorders/>
            <w:vAlign w:val="center"/>
          </w:tcPr>
          <w:p>
            <w:pPr>
              <w:pStyle w:val="TableContents"/>
              <w:bidi w:val="0"/>
              <w:spacing w:before="0" w:after="283"/>
              <w:ind w:left="490" w:right="0" w:firstLine="490"/>
              <w:jc w:val="left"/>
              <w:rPr/>
            </w:pPr>
            <w:hyperlink w:anchor="consolidated_statements_cash_flows">
              <w:r>
                <w:rPr>
                  <w:rStyle w:val="InternetLink"/>
                  <w:rFonts w:ascii="Times New Roman" w:hAnsi="Times New Roman"/>
                  <w:color w:val="0563C1"/>
                  <w:sz w:val="20"/>
                  <w:u w:val="single"/>
                </w:rPr>
                <w:t>Consolidated Statements of Cash Flows</w:t>
              </w:r>
            </w:hyperlink>
          </w:p>
        </w:tc>
        <w:tc>
          <w:tcPr>
            <w:tcW w:w="956" w:type="dxa"/>
            <w:tcBorders/>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113</w:t>
            </w:r>
          </w:p>
        </w:tc>
      </w:tr>
      <w:tr>
        <w:trPr/>
        <w:tc>
          <w:tcPr>
            <w:tcW w:w="6656" w:type="dxa"/>
            <w:tcBorders/>
            <w:vAlign w:val="center"/>
          </w:tcPr>
          <w:p>
            <w:pPr>
              <w:pStyle w:val="TableContents"/>
              <w:bidi w:val="0"/>
              <w:spacing w:before="0" w:after="283"/>
              <w:ind w:left="490" w:right="0" w:firstLine="490"/>
              <w:jc w:val="left"/>
              <w:rPr/>
            </w:pPr>
            <w:hyperlink w:anchor="notes_to_consolidated_financial_statemen">
              <w:r>
                <w:rPr>
                  <w:rStyle w:val="InternetLink"/>
                  <w:rFonts w:ascii="Times New Roman" w:hAnsi="Times New Roman"/>
                  <w:color w:val="0563C1"/>
                  <w:sz w:val="20"/>
                  <w:u w:val="single"/>
                </w:rPr>
                <w:t>Notes to Consolidated Financial Statements</w:t>
              </w:r>
            </w:hyperlink>
          </w:p>
        </w:tc>
        <w:tc>
          <w:tcPr>
            <w:tcW w:w="95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report_independent_registered_public_acc"/>
      <w:bookmarkEnd w:id="20"/>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Stockholders and the Board of Directors of Aligos Therapeutics,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Aligos Therapeutics, Inc. (the Company) as of December 31, 2023 and 2022, the related Consolidated Statements of Operations and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San Mateo, California</w:t>
      </w:r>
    </w:p>
    <w:p>
      <w:pPr>
        <w:pStyle w:val="TextBody"/>
        <w:bidi w:val="0"/>
        <w:jc w:val="left"/>
        <w:rPr>
          <w:rFonts w:ascii="Times New Roman" w:hAnsi="Times New Roman"/>
          <w:color w:val="000000"/>
          <w:sz w:val="20"/>
        </w:rPr>
      </w:pPr>
      <w:r>
        <w:rPr>
          <w:rFonts w:ascii="Times New Roman" w:hAnsi="Times New Roman"/>
          <w:color w:val="000000"/>
          <w:sz w:val="20"/>
        </w:rPr>
        <w:t>March 12,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fin31402_2"/>
      <w:bookmarkEnd w:id="21"/>
      <w:r>
        <w:rPr>
          <w:rFonts w:ascii="Times New Roman" w:hAnsi="Times New Roman"/>
          <w:b/>
          <w:color w:val="000000"/>
          <w:sz w:val="20"/>
        </w:rPr>
        <w:t xml:space="preserve">Consolidated </w:t>
      </w:r>
      <w:bookmarkStart w:id="22" w:name="consolidated_balance_sheets"/>
      <w:bookmarkEnd w:id="22"/>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8"/>
        <w:gridCol w:w="146"/>
        <w:gridCol w:w="213"/>
        <w:gridCol w:w="850"/>
        <w:gridCol w:w="166"/>
        <w:gridCol w:w="146"/>
        <w:gridCol w:w="213"/>
        <w:gridCol w:w="850"/>
        <w:gridCol w:w="593"/>
      </w:tblGrid>
      <w:tr>
        <w:trPr/>
        <w:tc>
          <w:tcPr>
            <w:tcW w:w="7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3"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w:t>
            </w:r>
          </w:p>
        </w:tc>
        <w:tc>
          <w:tcPr>
            <w:tcW w:w="593" w:type="dxa"/>
            <w:tcBorders/>
            <w:shd w:fill="FFFFFF" w:val="clear"/>
            <w:vAlign w:val="center"/>
          </w:tcPr>
          <w:p>
            <w:pPr>
              <w:pStyle w:val="TableContents"/>
              <w:bidi w:val="0"/>
              <w:spacing w:before="0" w:after="283"/>
              <w:jc w:val="left"/>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593" w:type="dxa"/>
            <w:tcBorders/>
            <w:shd w:fill="CFF0FC" w:val="clear"/>
            <w:vAlign w:val="center"/>
          </w:tcPr>
          <w:p>
            <w:pPr>
              <w:pStyle w:val="TableContents"/>
              <w:bidi w:val="0"/>
              <w:spacing w:before="0" w:after="283"/>
              <w:jc w:val="left"/>
              <w:rPr/>
            </w:pPr>
            <w:r>
              <w:rPr/>
              <w:t> </w:t>
            </w:r>
          </w:p>
        </w:tc>
      </w:tr>
      <w:tr>
        <w:trPr/>
        <w:tc>
          <w:tcPr>
            <w:tcW w:w="70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146,693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2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customers, current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collaborations, current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w:t>
            </w:r>
          </w:p>
        </w:tc>
        <w:tc>
          <w:tcPr>
            <w:tcW w:w="593" w:type="dxa"/>
            <w:tcBorders/>
            <w:shd w:fill="CFF0FC" w:val="clear"/>
            <w:vAlign w:val="center"/>
          </w:tcPr>
          <w:p>
            <w:pPr>
              <w:pStyle w:val="TableContents"/>
              <w:bidi w:val="0"/>
              <w:spacing w:before="0" w:after="283"/>
              <w:jc w:val="left"/>
              <w:rPr/>
            </w:pPr>
            <w:r>
              <w:rPr/>
              <w:t> </w:t>
            </w:r>
          </w:p>
        </w:tc>
      </w:tr>
      <w:tr>
        <w:trPr/>
        <w:tc>
          <w:tcPr>
            <w:tcW w:w="70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93" w:type="dxa"/>
            <w:tcBorders/>
            <w:shd w:fill="FFFFFF" w:val="clear"/>
            <w:vAlign w:val="center"/>
          </w:tcPr>
          <w:p>
            <w:pPr>
              <w:pStyle w:val="TableContents"/>
              <w:bidi w:val="0"/>
              <w:spacing w:before="0" w:after="283"/>
              <w:jc w:val="left"/>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customers, net of current portion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593" w:type="dxa"/>
            <w:tcBorders/>
            <w:shd w:fill="CFF0FC" w:val="clear"/>
            <w:vAlign w:val="center"/>
          </w:tcPr>
          <w:p>
            <w:pPr>
              <w:pStyle w:val="TableContents"/>
              <w:bidi w:val="0"/>
              <w:spacing w:before="0" w:after="283"/>
              <w:jc w:val="left"/>
              <w:rPr/>
            </w:pPr>
            <w:r>
              <w:rPr/>
              <w:t> </w:t>
            </w:r>
          </w:p>
        </w:tc>
      </w:tr>
      <w:tr>
        <w:trPr/>
        <w:tc>
          <w:tcPr>
            <w:tcW w:w="70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vAlign w:val="center"/>
          </w:tcPr>
          <w:p>
            <w:pPr>
              <w:pStyle w:val="TableContents"/>
              <w:bidi w:val="0"/>
              <w:spacing w:before="0" w:after="283"/>
              <w:jc w:val="left"/>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as of December 31, 2023 and December 31, 2022, respectively; no shares issued and outstanding as of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320,000,000 shares authorized as of December 31, 2023 and December 31, 2022, respectively; 75,096,906 and 42,922,980 shares issued and outstanding as of December 31,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502,613</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2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(399,118</w:t>
            </w:r>
          </w:p>
        </w:tc>
        <w:tc>
          <w:tcPr>
            <w:tcW w:w="59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2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146,693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consolidated_statements_operations_compr"/>
      <w:bookmarkEnd w:id="23"/>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tbl>
      <w:tblPr>
        <w:tblW w:w="8525" w:type="dxa"/>
        <w:jc w:val="left"/>
        <w:tblInd w:w="0" w:type="dxa"/>
        <w:tblLayout w:type="fixed"/>
        <w:tblCellMar>
          <w:top w:w="28" w:type="dxa"/>
          <w:left w:w="28" w:type="dxa"/>
          <w:bottom w:w="28" w:type="dxa"/>
          <w:right w:w="28" w:type="dxa"/>
        </w:tblCellMar>
      </w:tblPr>
      <w:tblGrid>
        <w:gridCol w:w="5056"/>
        <w:gridCol w:w="146"/>
        <w:gridCol w:w="146"/>
        <w:gridCol w:w="211"/>
        <w:gridCol w:w="916"/>
        <w:gridCol w:w="166"/>
        <w:gridCol w:w="146"/>
        <w:gridCol w:w="211"/>
        <w:gridCol w:w="916"/>
        <w:gridCol w:w="6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w:t>
            </w:r>
          </w:p>
        </w:tc>
        <w:tc>
          <w:tcPr>
            <w:tcW w:w="61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Gains on pension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basic and diluted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64,260,588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42,695,227</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fin31402_4"/>
      <w:bookmarkEnd w:id="24"/>
      <w:r>
        <w:rPr>
          <w:rFonts w:ascii="Times New Roman" w:hAnsi="Times New Roman"/>
          <w:b/>
          <w:color w:val="000000"/>
          <w:sz w:val="20"/>
        </w:rPr>
        <w:t>Consolidated Statements of Changes in</w:t>
      </w:r>
      <w:bookmarkStart w:id="25" w:name="consolidated_statements_changes_in_redee"/>
      <w:bookmarkEnd w:id="25"/>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67"/>
        <w:gridCol w:w="146"/>
        <w:gridCol w:w="146"/>
        <w:gridCol w:w="916"/>
        <w:gridCol w:w="146"/>
        <w:gridCol w:w="146"/>
        <w:gridCol w:w="345"/>
        <w:gridCol w:w="346"/>
        <w:gridCol w:w="146"/>
        <w:gridCol w:w="146"/>
        <w:gridCol w:w="196"/>
        <w:gridCol w:w="691"/>
        <w:gridCol w:w="166"/>
        <w:gridCol w:w="146"/>
        <w:gridCol w:w="217"/>
        <w:gridCol w:w="834"/>
        <w:gridCol w:w="166"/>
        <w:gridCol w:w="146"/>
        <w:gridCol w:w="416"/>
        <w:gridCol w:w="800"/>
        <w:gridCol w:w="166"/>
        <w:gridCol w:w="146"/>
        <w:gridCol w:w="231"/>
        <w:gridCol w:w="821"/>
        <w:gridCol w:w="213"/>
      </w:tblGrid>
      <w:tr>
        <w:trPr/>
        <w:tc>
          <w:tcPr>
            <w:tcW w:w="2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3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42,690,229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(303,072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184,731</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related </w:t>
              <w:br/>
              <w:t>   to ESPP 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13,540</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Vesting of early exercised </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(96,046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42,922,980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103,900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related </w:t>
              <w:br/>
              <w:t>   to ESPP 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in connection </w:t>
              <w:br/>
              <w:t>   with PIPE offering, net of offering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31,429,266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18,644</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pre-funded warrants in connection </w:t>
              <w:br/>
              <w:t>   with PIPE offering, net of offering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related to the PIPE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11,799</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purchases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Vesting of early exercised </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(87,679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75,096,906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92,080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consolidated_statements_cash_flows"/>
      <w:bookmarkEnd w:id="2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2"/>
        <w:gridCol w:w="146"/>
        <w:gridCol w:w="211"/>
        <w:gridCol w:w="781"/>
        <w:gridCol w:w="166"/>
        <w:gridCol w:w="146"/>
        <w:gridCol w:w="211"/>
        <w:gridCol w:w="841"/>
        <w:gridCol w:w="1011"/>
      </w:tblGrid>
      <w:tr>
        <w:trPr/>
        <w:tc>
          <w:tcPr>
            <w:tcW w:w="6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(96,046</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400"/>
              <w:jc w:val="righ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Accretion of discount on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right of 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right of 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including ESPP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600"/>
              <w:jc w:val="right"/>
              <w:rPr/>
            </w:pPr>
            <w:r>
              <w:rPr/>
              <w:t> </w:t>
            </w:r>
          </w:p>
        </w:tc>
      </w:tr>
      <w:tr>
        <w:trPr/>
        <w:tc>
          <w:tcPr>
            <w:tcW w:w="669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669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669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 from collaborations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669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 from customers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9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Activities in available-for-sale investments: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400"/>
              <w:jc w:val="right"/>
              <w:rPr/>
            </w:pPr>
            <w:r>
              <w:rPr/>
              <w:t> </w:t>
            </w:r>
          </w:p>
        </w:tc>
      </w:tr>
      <w:tr>
        <w:trPr/>
        <w:tc>
          <w:tcPr>
            <w:tcW w:w="66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78,915</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6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(104,265</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in connection with PIPE Offering, net of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pre-funded warrants in connection with PIPE Offering, net of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warrants in connection with PIPE Offering, net of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finance 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0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ESPP purchase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66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common stock option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9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9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(105,518</w:t>
            </w:r>
          </w:p>
        </w:tc>
        <w:tc>
          <w:tcPr>
            <w:tcW w:w="1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186,980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041" w:type="dxa"/>
        <w:jc w:val="left"/>
        <w:tblInd w:w="0" w:type="dxa"/>
        <w:tblLayout w:type="fixed"/>
        <w:tblCellMar>
          <w:top w:w="28" w:type="dxa"/>
          <w:left w:w="28" w:type="dxa"/>
          <w:bottom w:w="28" w:type="dxa"/>
          <w:right w:w="28" w:type="dxa"/>
        </w:tblCellMar>
      </w:tblPr>
      <w:tblGrid>
        <w:gridCol w:w="5956"/>
        <w:gridCol w:w="146"/>
        <w:gridCol w:w="265"/>
        <w:gridCol w:w="982"/>
        <w:gridCol w:w="183"/>
        <w:gridCol w:w="183"/>
        <w:gridCol w:w="265"/>
        <w:gridCol w:w="850"/>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to amounts on the Consolidated Balance Sheets: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135,704</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81,347</w:t>
            </w:r>
          </w:p>
        </w:tc>
        <w:tc>
          <w:tcPr>
            <w:tcW w:w="21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noncash financing and investing activities: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Receivable due from arrangement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1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 to market adjustment for available-for-sale investments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right of use asset through operating lease obligation</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Vesting of early exercised options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CFF0FC"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 in pension obligation</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Aligos Therapeutics, Inc.</w:t>
      </w:r>
    </w:p>
    <w:p>
      <w:pPr>
        <w:pStyle w:val="TextBody"/>
        <w:bidi w:val="0"/>
        <w:jc w:val="center"/>
        <w:rPr>
          <w:rFonts w:ascii="Times New Roman" w:hAnsi="Times New Roman"/>
          <w:sz w:val="20"/>
        </w:rPr>
      </w:pPr>
      <w:bookmarkStart w:id="27" w:name="fin31402_6"/>
      <w:bookmarkEnd w:id="27"/>
      <w:r>
        <w:rPr>
          <w:rFonts w:ascii="Times New Roman" w:hAnsi="Times New Roman"/>
          <w:b/>
          <w:color w:val="000000"/>
          <w:sz w:val="20"/>
        </w:rPr>
        <w:t xml:space="preserve">Notes to consolidated </w:t>
      </w:r>
      <w:bookmarkStart w:id="28" w:name="notes_to_consolidated_financial_statemen"/>
      <w:bookmarkEnd w:id="28"/>
      <w:r>
        <w:rPr>
          <w:rFonts w:ascii="Times New Roman" w:hAnsi="Times New Roman"/>
          <w:b/>
          <w:color w:val="000000"/>
          <w:sz w:val="20"/>
        </w:rPr>
        <w:t>financial statements</w:t>
      </w:r>
    </w:p>
    <w:p>
      <w:pPr>
        <w:pStyle w:val="TextBody"/>
        <w:bidi w:val="0"/>
        <w:jc w:val="center"/>
        <w:rPr/>
      </w:pPr>
      <w:r>
        <w:rPr/>
        <w:t> </w:t>
      </w:r>
    </w:p>
    <w:p>
      <w:pPr>
        <w:pStyle w:val="TextBody"/>
        <w:bidi w:val="0"/>
        <w:spacing w:before="180" w:after="283"/>
        <w:jc w:val="left"/>
        <w:rPr>
          <w:rFonts w:ascii="Times New Roman" w:hAnsi="Times New Roman"/>
          <w:sz w:val="20"/>
        </w:rPr>
      </w:pPr>
      <w:r>
        <w:rPr>
          <w:rFonts w:ascii="Times New Roman" w:hAnsi="Times New Roman"/>
          <w:i/>
          <w:color w:val="000000"/>
          <w:sz w:val="20"/>
        </w:rPr>
        <w:t>Unless otherwise indicated, financial information except share and per share data, including dollar values stated in the text of the notes to financial statements, is expressed in thousands of dollars.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Aligos Therapeutics, Inc. (Aligos-US) was incorporated in the state of Delaware on February 5, 2018 (inception). On September 10, 2018, the Company formed Aligos Belgium BVBA (the Subsidiary or Aligos-Belgium).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Aligos is a clinical-stage biopharmaceutical company focused on developing novel therapeutics to address unmet medical needs in liver diseases and viral infections, including in the areas of metabolic dysfunction associated steatohepatitis (MASH), chronic hepatitis B (CHB), and coronavirus (e.g., SARS-CoV-2 and related infections).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preclinical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losses and negative cash flows from operations since its inception. As of December 31, 2023 and 2022, the Company had an accumulated deficit of approximately $486.8 million and $399.1 million, respectively. Management expects to continue to incur additional substantial losses in the foreseeable future as a result of expanded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has cash, cash equivalent and investments of approximately $135.7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finance its cash needs through a combination of public or private equity offerings, debt financings, collaborations, strategic alliances, licensing arrangements and other marketing or distribution arrangements. Based on the Company’s research and development plans, it is expected that the Company’s existing cash, cash equivalents and investments, will enable the Company to fund its operations for at least 12 months following the date the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and the macro-economic environment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ability to raise additional funds will depend on financial, economic and other factors, many of which are beyond its control.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marketing capabilities or other activities that may be necessary to commercialize any future approved products, or reduce the Company’s flexibility in developing or maintaining its sales and marketing strategy. </w:t>
      </w:r>
    </w:p>
    <w:p>
      <w:pPr>
        <w:pStyle w:val="TextBody"/>
        <w:bidi w:val="0"/>
        <w:spacing w:before="12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on a basis that contemplates the continuity of operations, realization of assets and the satisfaction of liabilities and commitments in the normal course of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it is particularly difficult to estimate with certainty the Company’s future expenses given the dynamic nature of its business, and the macro-economic environment generally.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U.S. generally accepted accounting principles (U.S. GAAP) and include all adjustments necessary for the fair presentation of the Company’s financial position for the periods presented. Any reference in these notes to applicable accounting guidance is meant to refer to the authoritative U.S. GAAP included in the Accounting Standards Codification (ASC), and Accounting Standards Update (ASU) issued by the Financial Accounting Standards Board (the FASB). </w:t>
      </w:r>
    </w:p>
    <w:p>
      <w:pPr>
        <w:pStyle w:val="TextBody"/>
        <w:bidi w:val="0"/>
        <w:spacing w:before="12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Aligos-US and its wholly owned subsidiaries Aligos-Belgium, Aligos-Australia and Aligos-Shanghai. All intercompany balances and transactions have been eliminated. </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consolidated financial statements in conformity with U.S. GAAP generally requires management to make certain estimates and assumptions that affect the reported amounts in the consolidated financial statements and accompanying notes. The Company regularly evaluates estimates and assumptions related to assets and liabilities, at the dates of the consolidated financial statements and the reported amounts of expenses during the reporting period. Areas where management uses subjective judgments include, but are not limited to, right-of-use assets, lease obligations, impairment of long-lived assets, stock-based compensation, accrued research and development costs, revenue from collaborations, revenue from contracts with customers, deferred revenue, common stock warrants liability, income taxes and pension liabilities in the accompanying consolidated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 </w:t>
      </w:r>
    </w:p>
    <w:p>
      <w:pPr>
        <w:pStyle w:val="TextBody"/>
        <w:bidi w:val="0"/>
        <w:spacing w:before="120" w:after="283"/>
        <w:jc w:val="left"/>
        <w:rPr>
          <w:rFonts w:ascii="Times New Roman" w:hAnsi="Times New Roman"/>
          <w:sz w:val="20"/>
        </w:rPr>
      </w:pPr>
      <w:r>
        <w:rPr>
          <w:rFonts w:ascii="Times New Roman" w:hAnsi="Times New Roman"/>
          <w:b/>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loss was recognized during the year ended December 31, 2023 of $45.7 thousand, and a re-measurement loss was recognized during the year ended December 31, 2022 of $42.0 thousand, and are reflected within interest and other income, net on the Consolidated Statements of Operations and Comprehensive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that the Chief Executive Officer is its Chief Operating Decision Maker. The Company’s Chief Executive Officer reviews financial information presented on a consolidated basis for the purposes of assessing the performance and making decisions on how to allocate resources. Accordingly, the Company has determined that it operates in a single reportable segment. No product revenue has been generated since inception.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$2.9 million and $0.3 million of fixed assets in Aligos-US and Aligos-Belgium, respectively, as of December 31, 2023 and $4.1 million and $0.7 million of fixed assets in Aligos-US and Aligos</w:t>
        <w:noBreakHyphen/>
        <w:t xml:space="preserve">Belgium, respectively as of December 31, 2022. </w:t>
      </w:r>
    </w:p>
    <w:p>
      <w:pPr>
        <w:pStyle w:val="TextBody"/>
        <w:bidi w:val="0"/>
        <w:spacing w:before="120" w:after="283"/>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original maturities of 90 days or less at acquisition to be cash equivalents. </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and 2022, the restricted cash balance was $0.1 million and $0.1 million, respectively, and was used primarily to secure letters of credit in relation to the Company’s operating leases and deposits on rental assets (Note 6), as well as employee withholdings for the employee stock purchase plan.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invests its excess cash in money market funds and investment grade short-to-intermediate-term fixed income securities. Such investments are included in cash, cash equivalents, short-term and long-term investments on the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appropriate classification of short-term and long-term securities at the time of purchase and re-evaluates such designation as of each balance sheet date. Securities are classified as held-to-maturity when the Company has the positive intent and ability to hold the securities to maturity, otherwise securities are classified as available-for sale. Held-to-maturity securities are carried at amortized cost. Available-for-sale debt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to investment income over the life of the underlying investment. The cost of securities sold is determined on a specific identification basis, and realized gains and losses are included in interest and other income (expense), net within the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both held-to-maturity and available-for-sale investments, the Company periodically reviews each individual security position that has an unrealized loss, or impairment, to determine if that impairment is other-than-temporary. If the Company believes an impairment of a security position is other than temporary, based on available quantitative and qualitative information as of the report date, the loss will be recognized as other income (expense), net, in the Company’s Consolidated Statements of Operations and Comprehensive Loss and a new cost basis in the investment is established. No impairment charges were recorded during the years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there were no investments on the Consolidated Balance Sheets. As of December 31, 2022, investments consisted of Certificates of Deposit and U.S. Treasury securities, with original maturities of up to 1.50 years. </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Concentrations of credit risk and significant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restricted cash and investments. 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generally invests its excess capital in money market funds, U.S. treasury bonds, U.S. treasury bills and certificates of deposit that are subject to minimal credit and market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dependent on various third parties to manufacture compounds for the Company to conduct research and studies for its programs. These programs would be adversely delayed by a significant interruption in the supply of active pharmaceutical ingredients. </w:t>
      </w:r>
    </w:p>
    <w:p>
      <w:pPr>
        <w:pStyle w:val="TextBody"/>
        <w:bidi w:val="0"/>
        <w:spacing w:before="120" w:after="283"/>
        <w:jc w:val="left"/>
        <w:rPr>
          <w:rFonts w:ascii="Times New Roman" w:hAnsi="Times New Roman"/>
          <w:sz w:val="20"/>
        </w:rPr>
      </w:pPr>
      <w:r>
        <w:rPr>
          <w:rFonts w:ascii="Times New Roman" w:hAnsi="Times New Roman"/>
          <w:b/>
          <w:i/>
          <w:color w:val="000000"/>
          <w:sz w:val="20"/>
        </w:rPr>
        <w:t>Accounting for Government Grants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the Company was awarded a grant of $1.1 million by the National Institute of Health (NIH) for research to target coronaviruses. The grant is for multiple years with the amount updated after each year of progress through 2025, subject to the annual reapplication and approval by the NIH. In 2023, the approved grant awarded was an additional $1.4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2023, the Company was awarded a contract of $8.5 million by the National Institute of Allergies and Infectious Diseases (NIAID) for research to target coronaviruses. This contract is for 2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GAAP does not contain authoritative accounting standards for grants or contracts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Accounting for Government Grants and Disclosure of Government Assistance. 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the Company analogized this to “probable” as defined in FASB ASC 450-20-20 under U.S. GAAP, which is the definition the Company has applied. The grants and contracts will be recognized in earnings as a reduction of the related research and development (R&amp;D) expenses. During the year ended December 31, 2023, $1.6 million was recognized as a reduction to R&amp;D expenses. There was none recognized in the year ended December 2022.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warrants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certain warrants as liabilities at fair value and adjusts the instruments to fair value at each reporting period. The Company determined that its outstanding warrants are freestanding derivative instruments. The warrants are subject to remeasurement at each balance sheet date until exercised, and any change in fair value is recognized as a component of interest and other income, net in the Consolidated Statements of Operations and Comprehensive Loss. The fair value of the warrants issued by the Company has been estimated and is revalued at the end of each reporting period using a probability weighted Black-Scholes option pricing model.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at the inception of the lease if an arrangement is a lease. Operating leases are included in operating lease right-of-use (ROU) assets and operating lease liabilities in the Consolidated Balance Sheets. Finance leases are included in property and equipment and finance lease liabilities in the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Right of Use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ASC 360, Property, Plant and Equipment, management reviews the Company’s right of use assets for impairment annually or whenever events or changes in circumstances indicate that the carrying amount of an asset may not be fully recoverable. Events relating to recoverability may include significant unfavorable changes in business conditions, recurring losses, or a forecasted inability to achieve break-even operating results over an extended period. The Company determines the extent to which an asset may be impaired based upon its expectation of the asset’s future usability, as well as on a reasonable assurance that the future cash flows associated with the asset will be in excess of its carrying amount. If the total of the expected undiscounted future cash flows is less than the carrying amount of the asset, a loss is recognized for the difference between fair value and the carrying value of the asset. During the year ended December 31, 2023, the Company vacated certain leased office space and as a result, the Company recorded an impairment charge against right of use assets of $0.7 million, recorded in the Consolidated Statements of Operations and Comprehensive Loss as general and administrative (G&amp;A) expenses. No impairments were recorded in the year ended December 31, 2022.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is stated at cost less accumulated depreciation, and is depreciated using the straight-line method over the estimated useful life of the asset, which are as follows: </w:t>
      </w:r>
    </w:p>
    <w:p>
      <w:pPr>
        <w:pStyle w:val="TextBody"/>
        <w:bidi w:val="0"/>
        <w:jc w:val="left"/>
        <w:rPr/>
      </w:pPr>
      <w:r>
        <w:rPr/>
        <w:t> </w:t>
      </w:r>
    </w:p>
    <w:tbl>
      <w:tblPr>
        <w:tblW w:w="5098" w:type="dxa"/>
        <w:jc w:val="left"/>
        <w:tblInd w:w="0" w:type="dxa"/>
        <w:tblLayout w:type="fixed"/>
        <w:tblCellMar>
          <w:top w:w="28" w:type="dxa"/>
          <w:left w:w="28" w:type="dxa"/>
          <w:bottom w:w="28" w:type="dxa"/>
          <w:right w:w="28" w:type="dxa"/>
        </w:tblCellMar>
      </w:tblPr>
      <w:tblGrid>
        <w:gridCol w:w="2641"/>
        <w:gridCol w:w="146"/>
        <w:gridCol w:w="23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vAlign w:val="center"/>
          </w:tcPr>
          <w:p>
            <w:pPr>
              <w:pStyle w:val="TableContents"/>
              <w:bidi w:val="0"/>
              <w:spacing w:before="0" w:after="283"/>
              <w:jc w:val="left"/>
              <w:rPr/>
            </w:pPr>
            <w:r>
              <w:rPr/>
              <w:t> </w:t>
            </w:r>
          </w:p>
        </w:tc>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CFF0FC" w:val="clear"/>
            <w:vAlign w:val="center"/>
          </w:tcPr>
          <w:p>
            <w:pPr>
              <w:pStyle w:val="TableContents"/>
              <w:bidi w:val="0"/>
              <w:spacing w:before="0" w:after="283"/>
              <w:jc w:val="left"/>
              <w:rPr/>
            </w:pPr>
            <w:r>
              <w:rPr/>
              <w:t> </w:t>
            </w:r>
          </w:p>
        </w:tc>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 years</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years</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the useful life or</w:t>
              <w:br/>
              <w:t>remaining lease term</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for repairs and maintenance of assets are charged to expense as incurred. Upon retirement or sale, the cost and related accumulated depreciation of assets disposed of are removed from the accounts and any resulting gain or loss is included in loss from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regularly reviews the carrying amount of its property, equipment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No impairment charges were recorded during the years ended December 31, 2023 or 2022.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deferred and capitalized.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Collaborative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Royalties and license payments are recorded as due.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When the Company enters into collaboration arrangements, the Company assesses whether the arrangement falls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based on whether the arrangement involves joint operating activities and whether both parties would be active 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upfront payments received during the years ended December 31, 2023 and 2022 were recorded on the Consolidated Balance Sheets as Deferred Revenue from Collaborations.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from contracts with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revenue arrangements with certain partners. Consideration under these contracts may include an upfront payment, development, regulatory, sales and other milestone payments. Contractual payments received for research and development activities performed are recognized on a gross basis in Revenue from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also perform research and development activities under the revenue agreements where the Company may be granted licenses from its partners. Contractual payments to the other party in revenue agreements and costs incurred by the Company are recognized on a gross basis in research and development expenses. Royalties and license payments are recorded as due.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When the Company enters into revenue arrangements, the Company assesses whether the arrangement first falls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based on whether the arrangement involves joint operating activities and whether both parties would be active participants and would be exposed to significant risks and rewards of the arrangement. If the arrangement does not fall into this literature, the Company then looks to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to see whether the partner is considered a customer. The upfront payments received during the years ended December 31, 2023 and 2022 were recorded on the Consolidated Balance Sheets as Deferred Revenue from Customers. </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—Unobservable inputs that are supported by little or no market activity that are significant to determining the fair value of the assets or liabilities, including pricing models, discounted cash flow methodologies and similar techniques.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stock-based awards consist of restricted stock awards and stock options. 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expense for awards with service-based vesting using the straight-line method. The Company accounts for forfeitures as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classifies stock-based compensation expense in its Consolidated Statements of Operations and Comprehensive Loss in the same manner in which the award recipient’s cash compensation costs are classified.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each restricted stock award is determined based on the number of shares granted and the value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expected stock volatility using a weighted-average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2020 Employee Stock Purchase Plan (the ESPP) is determined on the date the offering period begins using a Black-Scholes option-pricing model and similar assumptions for stock options as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9 for the assumptions used by the Company in determining the grant date fair value of stock-based awards granted, as well as a summary of the stock-based award activity under the Company’s stock-based compensation plan for years ended December 31, 2023 and 2022.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interest and penalties. </w:t>
      </w:r>
    </w:p>
    <w:p>
      <w:pPr>
        <w:pStyle w:val="TextBody"/>
        <w:bidi w:val="0"/>
        <w:spacing w:before="12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The weighted-average number of shares of common stock outstanding includes the shares subject to the pre-funded warrants as per ASC 260, shares issuable for little or no cash consideration upon the satisfaction of certain conditions, shall be considered outstanding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common stock subject to repurchase related to early exercise of stock options, unvested restricted stock subject to repurchase, common stock warrants and convertible notes are considered to be potentially dilutive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in periods in which the Company reports a net loss, diluted net loss per share is the same as basic net loss per share, since dilutive common shares are not assumed to have been issued if their effect is anti-dilutive.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established a defined contribution savings plan for its employees in Aligos-US under Section 401(k) of the Internal Revenue Code, and a defined benefits plan for its employees in Aligos-Belgium.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standard method for the recognition of the actuarial results as described in ASC 715. This means application of a 10% corridor and amortization over the expected average remaining working lives of the employees. The plan contains benefits to the plan participant on the normal plan retirement date and benefits to the partner after death of the plan participant. This plan is recognized under ASC 715.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2016, the FASB issued ASU No. 2016-13. </w:t>
      </w:r>
      <w:r>
        <w:rPr>
          <w:rFonts w:ascii="Times New Roman" w:hAnsi="Times New Roman"/>
          <w:i/>
          <w:color w:val="000000"/>
          <w:sz w:val="20"/>
        </w:rPr>
        <w:t xml:space="preserve">Financial Instruments—Credit Losses (Topic 326): Measurement of Credit Losses on Financial Instruments </w:t>
      </w:r>
      <w:r>
        <w:rPr>
          <w:rFonts w:ascii="Times New Roman" w:hAnsi="Times New Roman"/>
          <w:color w:val="000000"/>
          <w:sz w:val="20"/>
        </w:rPr>
        <w:t xml:space="preserve">(ASU 2016-13), which requires that financial assets measured at amortized cost be presented at the net amount expected to be collected. Currently, U.S. GAAP delays recognition of the full amount of credit losses until the loss is probable of occurring. Under this ASU, the income statement will reflect an entity’s current estimate of all expected credit losses. The measurement of expected credit losses will be based upon historical experience, current conditions, and reasonable and supportable forecasts that affect the collectability of the reported amount. In November 2018, the FASB issued ASU No. 2018-19, </w:t>
      </w:r>
      <w:r>
        <w:rPr>
          <w:rFonts w:ascii="Times New Roman" w:hAnsi="Times New Roman"/>
          <w:i/>
          <w:color w:val="000000"/>
          <w:sz w:val="20"/>
        </w:rPr>
        <w:t>Codification Improvements to Topic 326, Financial Instruments—Credit Losses</w:t>
      </w:r>
      <w:r>
        <w:rPr>
          <w:rFonts w:ascii="Times New Roman" w:hAnsi="Times New Roman"/>
          <w:color w:val="000000"/>
          <w:sz w:val="20"/>
        </w:rPr>
        <w:t xml:space="preserve"> (ASU 2018-19), which clarifies that receivables from operating leases are accounted for using the lease guidance and not as financial instruments. In April 2019, the FASB issued ASU No. 2019-04, </w:t>
      </w:r>
      <w:r>
        <w:rPr>
          <w:rFonts w:ascii="Times New Roman" w:hAnsi="Times New Roman"/>
          <w:i/>
          <w:color w:val="000000"/>
          <w:sz w:val="20"/>
        </w:rPr>
        <w:t>Codification Improvements to Topic 326, Financial Instruments—Credit Losses</w:t>
      </w:r>
      <w:r>
        <w:rPr>
          <w:rFonts w:ascii="Times New Roman" w:hAnsi="Times New Roman"/>
          <w:color w:val="000000"/>
          <w:sz w:val="20"/>
        </w:rPr>
        <w:t xml:space="preserve"> (ASU 2019-04), which clarifies the new expected credit loss methodology for loans, receivables and other financial assets, including recoveries and accrued interest on receivables. In November 2019, the FASB issued ASU No. 2019-11, </w:t>
      </w:r>
      <w:r>
        <w:rPr>
          <w:rFonts w:ascii="Times New Roman" w:hAnsi="Times New Roman"/>
          <w:i/>
          <w:color w:val="000000"/>
          <w:sz w:val="20"/>
        </w:rPr>
        <w:t>Codification Improvements to Topic 326</w:t>
      </w:r>
      <w:r>
        <w:rPr>
          <w:rFonts w:ascii="Times New Roman" w:hAnsi="Times New Roman"/>
          <w:color w:val="000000"/>
          <w:sz w:val="20"/>
        </w:rPr>
        <w:t xml:space="preserve">, </w:t>
      </w:r>
      <w:r>
        <w:rPr>
          <w:rFonts w:ascii="Times New Roman" w:hAnsi="Times New Roman"/>
          <w:i/>
          <w:color w:val="000000"/>
          <w:sz w:val="20"/>
        </w:rPr>
        <w:t xml:space="preserve">Financial Instruments—Credit Losses </w:t>
      </w:r>
      <w:r>
        <w:rPr>
          <w:rFonts w:ascii="Times New Roman" w:hAnsi="Times New Roman"/>
          <w:color w:val="000000"/>
          <w:sz w:val="20"/>
        </w:rPr>
        <w:t xml:space="preserve">(ASU 2019-11), which clarifies guidance around how to report expected recoveries. The standard is effective for fiscal years beginning after December 15, 2022, including interim periods within those fiscal years. Early adoption is permitted. The Company adopted this standard in fiscal year 2023 and there was not a material impact on its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2019, the FASB issued ASU No. 2019-12, </w:t>
      </w:r>
      <w:r>
        <w:rPr>
          <w:rFonts w:ascii="Times New Roman" w:hAnsi="Times New Roman"/>
          <w:i/>
          <w:color w:val="000000"/>
          <w:sz w:val="20"/>
        </w:rPr>
        <w:t>Income Taxes (Topic 740): Simplifying the Accounting for Income Taxes</w:t>
      </w:r>
      <w:r>
        <w:rPr>
          <w:rFonts w:ascii="Times New Roman" w:hAnsi="Times New Roman"/>
          <w:color w:val="000000"/>
          <w:sz w:val="20"/>
        </w:rPr>
        <w:t xml:space="preserve"> (ASU 2019-12). The guidance removes specific exceptions to the general principles in ASC 740, improves application of income tax-related guidance and reduces complexity related to the accounting for income taxes. The standard is effective for fiscal years beginning after December 15, 2020. Early adoption is permitted. The Company adopted this standard in fiscal year 2021 and there is not a material impact on its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components of property and equipment were as follows as of December 31, 2023 and 2022: </w:t>
      </w:r>
    </w:p>
    <w:tbl>
      <w:tblPr>
        <w:tblW w:w="5700" w:type="dxa"/>
        <w:jc w:val="left"/>
        <w:tblInd w:w="0" w:type="dxa"/>
        <w:tblLayout w:type="fixed"/>
        <w:tblCellMar>
          <w:top w:w="28" w:type="dxa"/>
          <w:left w:w="28" w:type="dxa"/>
          <w:bottom w:w="28" w:type="dxa"/>
          <w:right w:w="28" w:type="dxa"/>
        </w:tblCellMar>
      </w:tblPr>
      <w:tblGrid>
        <w:gridCol w:w="2641"/>
        <w:gridCol w:w="146"/>
        <w:gridCol w:w="244"/>
        <w:gridCol w:w="851"/>
        <w:gridCol w:w="166"/>
        <w:gridCol w:w="146"/>
        <w:gridCol w:w="260"/>
        <w:gridCol w:w="835"/>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4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4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under construction</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at cost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2023 and 2022, depreciation expense was $1.6 million and $2.3 million, respectively. Finance leases for vehicles and lab equipment are also included in property and equipment on the Consolidated Balance Sheets (Note 6). </w:t>
      </w:r>
    </w:p>
    <w:p>
      <w:pPr>
        <w:pStyle w:val="TextBody"/>
        <w:bidi w:val="0"/>
        <w:spacing w:before="120" w:after="283"/>
        <w:jc w:val="left"/>
        <w:rPr>
          <w:rFonts w:ascii="Times New Roman" w:hAnsi="Times New Roman"/>
          <w:sz w:val="20"/>
        </w:rPr>
      </w:pPr>
      <w:r>
        <w:rPr>
          <w:rFonts w:ascii="Times New Roman" w:hAnsi="Times New Roman"/>
          <w:b/>
          <w:color w:val="000000"/>
          <w:sz w:val="20"/>
        </w:rPr>
        <w:t>4.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2022, amortized cost, gross unrealized gains and losses, and estimated fair values of total fixed-maturity securities were as follows: </w:t>
      </w:r>
    </w:p>
    <w:p>
      <w:pPr>
        <w:pStyle w:val="TextBody"/>
        <w:bidi w:val="0"/>
        <w:spacing w:before="120" w:after="283"/>
        <w:jc w:val="left"/>
        <w:rPr/>
      </w:pPr>
      <w:r>
        <w:rPr/>
        <w:t> </w:t>
      </w:r>
    </w:p>
    <w:tbl>
      <w:tblPr>
        <w:tblW w:w="7325"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495"/>
        <w:gridCol w:w="391"/>
        <w:gridCol w:w="146"/>
        <w:gridCol w:w="146"/>
        <w:gridCol w:w="318"/>
        <w:gridCol w:w="568"/>
        <w:gridCol w:w="16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4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44,480</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no available for sale securities as of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fair value are related to changes in market interest rates. The Company expects to collect all contractual principal and interest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interest income of $4.3 million and $1.5 million, respectively, during the years ended December 31, 2023 and 2022, as a component of interest and other income, net on the Company’s Consolidated Statement of Operations and Comprehensive Loss. </w:t>
      </w:r>
    </w:p>
    <w:p>
      <w:pPr>
        <w:pStyle w:val="TextBody"/>
        <w:bidi w:val="0"/>
        <w:spacing w:before="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Accrued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as of December 31: </w:t>
      </w:r>
    </w:p>
    <w:p>
      <w:pPr>
        <w:pStyle w:val="TextBody"/>
        <w:bidi w:val="0"/>
        <w:jc w:val="left"/>
        <w:rPr/>
      </w:pPr>
      <w:r>
        <w:rPr/>
        <w:t> </w:t>
      </w:r>
    </w:p>
    <w:tbl>
      <w:tblPr>
        <w:tblW w:w="6730" w:type="dxa"/>
        <w:jc w:val="left"/>
        <w:tblInd w:w="0" w:type="dxa"/>
        <w:tblLayout w:type="fixed"/>
        <w:tblCellMar>
          <w:top w:w="28" w:type="dxa"/>
          <w:left w:w="28" w:type="dxa"/>
          <w:bottom w:w="28" w:type="dxa"/>
          <w:right w:w="28" w:type="dxa"/>
        </w:tblCellMar>
      </w:tblPr>
      <w:tblGrid>
        <w:gridCol w:w="3511"/>
        <w:gridCol w:w="146"/>
        <w:gridCol w:w="260"/>
        <w:gridCol w:w="835"/>
        <w:gridCol w:w="146"/>
        <w:gridCol w:w="146"/>
        <w:gridCol w:w="260"/>
        <w:gridCol w:w="835"/>
        <w:gridCol w:w="5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w:t>
            </w:r>
          </w:p>
        </w:tc>
        <w:tc>
          <w:tcPr>
            <w:tcW w:w="5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payables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5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for early exercised stock options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2023, there remains a $0.3 million accrual, included within Accrued Compensation for employee severance, none of which is expected to remain by the end of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operating and finance leases for corporate offices, research and development facilities, and certain vehicles and lab equipment. These leases have remaining lease terms of three to five years, some of which 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 calculation of lease payments. Differences between lease payments as measured at lease inception and variations in monthly payments will be recognized as operating expenses in the period in which the obligation is incurred. The Company entered into a 5-year lease in the fourth quarter of 2021. The lease is for approximately 12,000 square feet of office space in South San Francisco, with a renewal option for an additional 5-years, which we are not certain to renew at this time. The rental payments under the lease agreement are approximately $2.7 million over the lease term. During the year ended December 31, 2023, the Company vacated certain leased office space and as a result, the Company took an impairment charge against right of use assets of $0.7 million, recorded in the Consolidated Statements of Operations and Comprehensive Loss. No impairments were made in the year ended December 31,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Leases with an initial term of 12 months or less are not recorded on the balance sheet, and the Company recognizes lease expense for these leases on a straight-line basis over the lease terms. Leases with terms greater than 12 months are included in operating lease ROU assets and operating lease liabilities in the Company’s Consolidated Balance Sheets as of December 31, 2023 and 2022. Lease expense is recognized on a straight-line basis over the lease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Maturities of lease liabilities as of December 31, 2023, were as follows: </w:t>
      </w:r>
    </w:p>
    <w:p>
      <w:pPr>
        <w:pStyle w:val="TextBody"/>
        <w:bidi w:val="0"/>
        <w:jc w:val="left"/>
        <w:rPr/>
      </w:pPr>
      <w:r>
        <w:rPr/>
        <w:t> </w:t>
      </w:r>
    </w:p>
    <w:tbl>
      <w:tblPr>
        <w:tblW w:w="5638" w:type="dxa"/>
        <w:jc w:val="left"/>
        <w:tblInd w:w="0" w:type="dxa"/>
        <w:tblLayout w:type="fixed"/>
        <w:tblCellMar>
          <w:top w:w="28" w:type="dxa"/>
          <w:left w:w="28" w:type="dxa"/>
          <w:bottom w:w="28" w:type="dxa"/>
          <w:right w:w="28" w:type="dxa"/>
        </w:tblCellMar>
      </w:tblPr>
      <w:tblGrid>
        <w:gridCol w:w="3226"/>
        <w:gridCol w:w="146"/>
        <w:gridCol w:w="211"/>
        <w:gridCol w:w="676"/>
        <w:gridCol w:w="166"/>
        <w:gridCol w:w="146"/>
        <w:gridCol w:w="225"/>
        <w:gridCol w:w="451"/>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components of lease expense were as follows for the years ended December 31, 2023 and 2022: </w:t>
      </w:r>
    </w:p>
    <w:p>
      <w:pPr>
        <w:pStyle w:val="TextBody"/>
        <w:bidi w:val="0"/>
        <w:jc w:val="left"/>
        <w:rPr/>
      </w:pPr>
      <w:r>
        <w:rPr/>
        <w:t> </w:t>
      </w:r>
    </w:p>
    <w:tbl>
      <w:tblPr>
        <w:tblW w:w="5604" w:type="dxa"/>
        <w:jc w:val="left"/>
        <w:tblInd w:w="0" w:type="dxa"/>
        <w:tblLayout w:type="fixed"/>
        <w:tblCellMar>
          <w:top w:w="28" w:type="dxa"/>
          <w:left w:w="28" w:type="dxa"/>
          <w:bottom w:w="28" w:type="dxa"/>
          <w:right w:w="28" w:type="dxa"/>
        </w:tblCellMar>
      </w:tblPr>
      <w:tblGrid>
        <w:gridCol w:w="3011"/>
        <w:gridCol w:w="146"/>
        <w:gridCol w:w="211"/>
        <w:gridCol w:w="571"/>
        <w:gridCol w:w="146"/>
        <w:gridCol w:w="146"/>
        <w:gridCol w:w="211"/>
        <w:gridCol w:w="571"/>
        <w:gridCol w:w="5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100"/>
              <w:jc w:val="righ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finance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made payments of $3.6 million and $3.4 million during the years ended December 31, 2023 and 2022, respectively, which are included as cash flow from operations on the Consolidated Statements of Cash Flows.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and 2022, $0.7 million and $0.7 million of finance lease ROU assets, respectively, were presented as part of property and equipment on the Consolidated Balance Sheets with accumulated amortization of $0.4 million and $0.3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information related to the Company’s leases was as follows as of December 31: </w:t>
      </w:r>
    </w:p>
    <w:p>
      <w:pPr>
        <w:pStyle w:val="TextBody"/>
        <w:bidi w:val="0"/>
        <w:jc w:val="left"/>
        <w:rPr/>
      </w:pPr>
      <w:r>
        <w:rPr/>
        <w:t> </w:t>
      </w:r>
    </w:p>
    <w:tbl>
      <w:tblPr>
        <w:tblW w:w="7260" w:type="dxa"/>
        <w:jc w:val="left"/>
        <w:tblInd w:w="0" w:type="dxa"/>
        <w:tblLayout w:type="fixed"/>
        <w:tblCellMar>
          <w:top w:w="28" w:type="dxa"/>
          <w:left w:w="28" w:type="dxa"/>
          <w:bottom w:w="28" w:type="dxa"/>
          <w:right w:w="28" w:type="dxa"/>
        </w:tblCellMar>
      </w:tblPr>
      <w:tblGrid>
        <w:gridCol w:w="4116"/>
        <w:gridCol w:w="146"/>
        <w:gridCol w:w="261"/>
        <w:gridCol w:w="834"/>
        <w:gridCol w:w="271"/>
        <w:gridCol w:w="146"/>
        <w:gridCol w:w="261"/>
        <w:gridCol w:w="834"/>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7. 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20, 2020, the certificate of incorporation was amended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shares of voting common stock are entitled to one vote for each share of common stock at all meetings of stockholders.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and 2022, there were 10,000,000 shares of preferred stock authorized and no preferred stock issued. </w:t>
      </w:r>
    </w:p>
    <w:p>
      <w:pPr>
        <w:pStyle w:val="TextBody"/>
        <w:bidi w:val="0"/>
        <w:spacing w:before="240" w:after="283"/>
        <w:jc w:val="left"/>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8. Common Warrants and Pre 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entered into the Securities Purchase Agreement with certain institutional and accredited investors, pursuant to which the Company agreed to offer, issue and sell to these investors, in a private placement, 31,429,266 shares of common stock, par value $0.0001 per share (the "Common Stock"), 2023 Pre-Funded Warrants to purchase an aggregate of 81,054,686 shares of Common Stock,, and Common Warrants to purchase an aggregate of 56,241,973 shares of Common Stock. Each Pre-Funded Warrant has an exercise price of $0.0001 per share of common stock, was immediately exercisable and is exercisable until exercised in full. Each accompanying Common Warrant has an exercise price of $0.7568 per share of common stock, is immediately exercisable and will expire on October 25, 2030. The closing of the offering occurred on October 25, 2023. The Company received gross proceeds of approximately $92.1 million, and after deducting the placement agent fees and expenses and offering costs, net proceeds were approximately $86.2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measured the fair value of the Common Stock and the Pre-Funded Warrants based on the $0.7568 per share purchase price stated in the Securities Purchase Agreement. The Company measured the fair value of the 2023 Common Warrants using the Black-Scholes option pricing model.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used the with-and-without method to allocate the net proceeds received from the sale of the Common Stock, the Pre-Funded Warrants, and the Common Warrants on the Consolidated Balance Sheets as follows: </w:t>
      </w:r>
    </w:p>
    <w:p>
      <w:pPr>
        <w:pStyle w:val="TextBody"/>
        <w:bidi w:val="0"/>
        <w:spacing w:before="120" w:after="283"/>
        <w:jc w:val="left"/>
        <w:rPr/>
      </w:pPr>
      <w:r>
        <w:rPr/>
        <w:t> </w:t>
      </w:r>
    </w:p>
    <w:tbl>
      <w:tblPr>
        <w:tblW w:w="3953" w:type="dxa"/>
        <w:jc w:val="left"/>
        <w:tblInd w:w="0" w:type="dxa"/>
        <w:tblLayout w:type="fixed"/>
        <w:tblCellMar>
          <w:top w:w="28" w:type="dxa"/>
          <w:left w:w="28" w:type="dxa"/>
          <w:bottom w:w="28" w:type="dxa"/>
          <w:right w:w="28" w:type="dxa"/>
        </w:tblCellMar>
      </w:tblPr>
      <w:tblGrid>
        <w:gridCol w:w="1816"/>
        <w:gridCol w:w="146"/>
        <w:gridCol w:w="428"/>
        <w:gridCol w:w="1372"/>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October 25,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18,641</w:t>
            </w:r>
          </w:p>
        </w:tc>
        <w:tc>
          <w:tcPr>
            <w:tcW w:w="1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48,079</w:t>
            </w:r>
          </w:p>
        </w:tc>
        <w:tc>
          <w:tcPr>
            <w:tcW w:w="1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25,427</w:t>
            </w:r>
          </w:p>
        </w:tc>
        <w:tc>
          <w:tcPr>
            <w:tcW w:w="1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92,147</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Pre-Funded Warrants outstanding at December 31, 2023: </w:t>
      </w:r>
    </w:p>
    <w:p>
      <w:pPr>
        <w:pStyle w:val="TextBody"/>
        <w:bidi w:val="0"/>
        <w:jc w:val="left"/>
        <w:rPr/>
      </w:pPr>
      <w:r>
        <w:rPr/>
        <w:t> </w:t>
      </w:r>
    </w:p>
    <w:tbl>
      <w:tblPr>
        <w:tblW w:w="6233" w:type="dxa"/>
        <w:jc w:val="left"/>
        <w:tblInd w:w="0" w:type="dxa"/>
        <w:tblLayout w:type="fixed"/>
        <w:tblCellMar>
          <w:top w:w="28" w:type="dxa"/>
          <w:left w:w="28" w:type="dxa"/>
          <w:bottom w:w="28" w:type="dxa"/>
          <w:right w:w="28" w:type="dxa"/>
        </w:tblCellMar>
      </w:tblPr>
      <w:tblGrid>
        <w:gridCol w:w="2941"/>
        <w:gridCol w:w="146"/>
        <w:gridCol w:w="365"/>
        <w:gridCol w:w="2590"/>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Pre-funded warrant shares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2023</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2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81,054,686</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81,054,686</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2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81,054,686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summary of the activities of the Company’s warrant liability, which represents a recurring measurement that is classified with Level 3 of the fair value hierarchy wherein the fair value is estimated using significant unobservable inputs:</w:t>
      </w:r>
    </w:p>
    <w:p>
      <w:pPr>
        <w:pStyle w:val="TextBody"/>
        <w:bidi w:val="0"/>
        <w:spacing w:before="100" w:after="283"/>
        <w:jc w:val="left"/>
        <w:rPr/>
      </w:pPr>
      <w:r>
        <w:rPr/>
        <w:t> </w:t>
      </w:r>
    </w:p>
    <w:tbl>
      <w:tblPr>
        <w:tblW w:w="7073" w:type="dxa"/>
        <w:jc w:val="left"/>
        <w:tblInd w:w="0" w:type="dxa"/>
        <w:tblLayout w:type="fixed"/>
        <w:tblCellMar>
          <w:top w:w="28" w:type="dxa"/>
          <w:left w:w="28" w:type="dxa"/>
          <w:bottom w:w="28" w:type="dxa"/>
          <w:right w:w="28" w:type="dxa"/>
        </w:tblCellMar>
      </w:tblPr>
      <w:tblGrid>
        <w:gridCol w:w="4726"/>
        <w:gridCol w:w="146"/>
        <w:gridCol w:w="357"/>
        <w:gridCol w:w="1653"/>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warrant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liability as of January 1, 2023</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issued</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25,427</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liability as of December 31, 2023</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liability as of December 31, 2023</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common warrants was measured using the Black Scholes option pricing model and will be remeasured each reporting period, and the change in fair value will be recorded in earnings. The assumptions that the Company used to determine the fair value at issuance and the reporting date of the common warrants granted to participants were as follows: </w:t>
      </w:r>
    </w:p>
    <w:tbl>
      <w:tblPr>
        <w:tblW w:w="3938" w:type="dxa"/>
        <w:jc w:val="left"/>
        <w:tblInd w:w="0" w:type="dxa"/>
        <w:tblLayout w:type="fixed"/>
        <w:tblCellMar>
          <w:top w:w="28" w:type="dxa"/>
          <w:left w:w="28" w:type="dxa"/>
          <w:bottom w:w="28" w:type="dxa"/>
          <w:right w:w="28" w:type="dxa"/>
        </w:tblCellMar>
      </w:tblPr>
      <w:tblGrid>
        <w:gridCol w:w="2086"/>
        <w:gridCol w:w="146"/>
        <w:gridCol w:w="708"/>
        <w:gridCol w:w="807"/>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6.83 - 7.00</w:t>
            </w:r>
          </w:p>
        </w:tc>
        <w:tc>
          <w:tcPr>
            <w:tcW w:w="191" w:type="dxa"/>
            <w:tcBorders/>
            <w:shd w:fill="FFFFFF" w:val="clear"/>
            <w:vAlign w:val="center"/>
          </w:tcPr>
          <w:p>
            <w:pPr>
              <w:pStyle w:val="TableContents"/>
              <w:bidi w:val="0"/>
              <w:spacing w:before="0" w:after="283"/>
              <w:jc w:val="righ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 - 4.98%</w:t>
            </w:r>
          </w:p>
        </w:tc>
        <w:tc>
          <w:tcPr>
            <w:tcW w:w="191"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 - 82.80%</w:t>
            </w:r>
          </w:p>
        </w:tc>
        <w:tc>
          <w:tcPr>
            <w:tcW w:w="191"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Common Warrants outstanding at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tbl>
      <w:tblPr>
        <w:tblW w:w="6083" w:type="dxa"/>
        <w:jc w:val="left"/>
        <w:tblInd w:w="0" w:type="dxa"/>
        <w:tblLayout w:type="fixed"/>
        <w:tblCellMar>
          <w:top w:w="28" w:type="dxa"/>
          <w:left w:w="28" w:type="dxa"/>
          <w:bottom w:w="28" w:type="dxa"/>
          <w:right w:w="28" w:type="dxa"/>
        </w:tblCellMar>
      </w:tblPr>
      <w:tblGrid>
        <w:gridCol w:w="2941"/>
        <w:gridCol w:w="146"/>
        <w:gridCol w:w="346"/>
        <w:gridCol w:w="2459"/>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warrant shares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2023</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4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4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56,241,973</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4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56,241,973</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4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56,241,973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2018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2018 Equity Incentive Plan (the 2018 Plan) allows the Company to issue restricted stock awards and restricted stock units, and to grant incentive stock options or non-qualified stock options. Incentive stock options may be granted only to the Company’s employees including officers and members of the Board who are also employees. Restricted stock awards, restricted stock units and non-qualified stock options may be granted to employees, members of the Board, outside advisors, and consultants of the Company (the Participants). The Company is authorized to issue awards for 4,913,665 shares of Common Stock under the 2018 Plan. The Company has granted awards of common stock in the form of 4,279,693 shares as of December 31, 2023 with none remaining available for future grant. Following the Company’s IPO in October 2020, all remaining shares from the 2018 Plan will be available for issuance under the 2020 Plan (as defined below).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adopted the 2020 Incentive Award Plan (the 2020 Plan) effective October 15, 2020. The 2020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 The Company has granted 11,173,830 shares subject to awards as of December 31, 2023 with 1,992,349 remaining available for future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effectiveness of the 2020 Plan, the Company will not make any further grants under the 2018 Plan. However, the 2018 Plan will continue to govern the terms and conditions of the outstanding awards granted under this plan. Shares of common stock subject to awards granted under the 2018 Plan that are forfeited or lapse unexercised and which following the effective date of the 2020 Plan are not issued under the 2018 Plan will be available for issuance under the 2020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adopted the 2020 Employee Stock Purchase Plan (the 2020 ESPP) effective on October 15, 2020. The 2020 ESPP enables eligible employees of the Company to purchase shares of common stock at a discount to fair market value. The Company has initially reserved for issuance 368,901 shares of common stock pursuant to the 2020 ESPP. As of December 31, 2023, 993,016 grants of awards under this plan have been made. </w:t>
      </w:r>
    </w:p>
    <w:p>
      <w:pPr>
        <w:pStyle w:val="TextBody"/>
        <w:bidi w:val="0"/>
        <w:spacing w:before="120" w:after="283"/>
        <w:jc w:val="left"/>
        <w:rPr>
          <w:rFonts w:ascii="Times New Roman" w:hAnsi="Times New Roman"/>
          <w:sz w:val="20"/>
        </w:rPr>
      </w:pPr>
      <w:r>
        <w:rPr>
          <w:rFonts w:ascii="Times New Roman" w:hAnsi="Times New Roman"/>
          <w:color w:val="000000"/>
          <w:sz w:val="20"/>
        </w:rPr>
        <w:t>During the year ended December 31, 2023 and 2022, the Company's 2020 ESPP compensation expense was $0.9 million and $1.3 million, respectively. The assumptions that the Company used to determine the grant-date fair value of shares granted to participants were as follows, disclosed</w:t>
      </w:r>
      <w:r>
        <w:rPr>
          <w:rFonts w:ascii="Times New Roman" w:hAnsi="Times New Roman"/>
          <w:color w:val="000000"/>
          <w:sz w:val="24"/>
        </w:rPr>
        <w:t xml:space="preserve"> </w:t>
      </w:r>
      <w:r>
        <w:rPr>
          <w:rFonts w:ascii="Times New Roman" w:hAnsi="Times New Roman"/>
          <w:color w:val="000000"/>
          <w:sz w:val="20"/>
        </w:rPr>
        <w:t xml:space="preserve">on a grant date basis: </w:t>
      </w:r>
    </w:p>
    <w:p>
      <w:pPr>
        <w:pStyle w:val="TextBody"/>
        <w:bidi w:val="0"/>
        <w:spacing w:before="120" w:after="283"/>
        <w:jc w:val="left"/>
        <w:rPr/>
      </w:pPr>
      <w:r>
        <w:rPr/>
        <w:t> </w:t>
      </w:r>
    </w:p>
    <w:tbl>
      <w:tblPr>
        <w:tblW w:w="8385" w:type="dxa"/>
        <w:jc w:val="left"/>
        <w:tblInd w:w="0" w:type="dxa"/>
        <w:tblLayout w:type="fixed"/>
        <w:tblCellMar>
          <w:top w:w="28" w:type="dxa"/>
          <w:left w:w="28" w:type="dxa"/>
          <w:bottom w:w="28" w:type="dxa"/>
          <w:right w:w="28" w:type="dxa"/>
        </w:tblCellMar>
      </w:tblPr>
      <w:tblGrid>
        <w:gridCol w:w="4726"/>
        <w:gridCol w:w="146"/>
        <w:gridCol w:w="708"/>
        <w:gridCol w:w="807"/>
        <w:gridCol w:w="146"/>
        <w:gridCol w:w="146"/>
        <w:gridCol w:w="708"/>
        <w:gridCol w:w="807"/>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0.5 - 2.0 years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0.5 - 2.0 years</w:t>
            </w:r>
          </w:p>
        </w:tc>
        <w:tc>
          <w:tcPr>
            <w:tcW w:w="191" w:type="dxa"/>
            <w:tcBorders/>
            <w:shd w:fill="CFF0FC" w:val="clear"/>
            <w:vAlign w:val="center"/>
          </w:tcPr>
          <w:p>
            <w:pPr>
              <w:pStyle w:val="TableContents"/>
              <w:bidi w:val="0"/>
              <w:spacing w:before="0" w:after="283"/>
              <w:jc w:val="righ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 - 5.38%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 - 4.62%</w:t>
            </w:r>
          </w:p>
        </w:tc>
        <w:tc>
          <w:tcPr>
            <w:tcW w:w="191" w:type="dxa"/>
            <w:tcBorders/>
            <w:shd w:fill="FFFFFF" w:val="clear"/>
            <w:vAlign w:val="center"/>
          </w:tcPr>
          <w:p>
            <w:pPr>
              <w:pStyle w:val="TableContents"/>
              <w:bidi w:val="0"/>
              <w:spacing w:before="0" w:after="283"/>
              <w:jc w:val="righ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08"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 - 64.26%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 - 73.67%</w:t>
            </w:r>
          </w:p>
        </w:tc>
        <w:tc>
          <w:tcPr>
            <w:tcW w:w="191" w:type="dxa"/>
            <w:tcBorders/>
            <w:shd w:fill="FFFFFF" w:val="clear"/>
            <w:vAlign w:val="center"/>
          </w:tcPr>
          <w:p>
            <w:pPr>
              <w:pStyle w:val="TableContents"/>
              <w:bidi w:val="0"/>
              <w:spacing w:before="0" w:after="283"/>
              <w:jc w:val="righ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estimated fair value of purchase rights</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$0.16 - $2.43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$0.28 - $2.46</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price for incentive stock options is at least 100% of the fair market value on the date of grant for stockholders owning less than 10% of the voting power of all classes of stock, or at least 110% of the fair market value for stockholders owning more than 10% of the voting power of all classes of stock. Options generally expire in 10 years and vest over periods determined by the Board, generally 48 months. Certain stock options referred to as “early exercise stock options” permit the holders to exercise the option in whole or in part prior to the full vesting of the option in exchange for unvested shares of Restricted Stock with respect to any unvested portion of the option so exercised.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2023 and December 31, 2022, the Company’s stock option compensation expense was approximately $11.8 million and $13.5 million, respectively, and there was no recognized tax benefit in either year. As of December 31, 2023, the unamortized expense balance was $9.4 million, to be amortized over a weighted-average period of 1.37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assumptions that the Company used to determine the grant-date fair value of stock options granted to Participants were as follows, presented on a weighted-average basis: </w:t>
      </w:r>
    </w:p>
    <w:p>
      <w:pPr>
        <w:pStyle w:val="TextBody"/>
        <w:bidi w:val="0"/>
        <w:jc w:val="left"/>
        <w:rPr/>
      </w:pPr>
      <w:r>
        <w:rPr/>
        <w:t> </w:t>
      </w:r>
    </w:p>
    <w:tbl>
      <w:tblPr>
        <w:tblW w:w="4399" w:type="dxa"/>
        <w:jc w:val="left"/>
        <w:tblInd w:w="0" w:type="dxa"/>
        <w:tblLayout w:type="fixed"/>
        <w:tblCellMar>
          <w:top w:w="28" w:type="dxa"/>
          <w:left w:w="28" w:type="dxa"/>
          <w:bottom w:w="28" w:type="dxa"/>
          <w:right w:w="28" w:type="dxa"/>
        </w:tblCellMar>
      </w:tblPr>
      <w:tblGrid>
        <w:gridCol w:w="2086"/>
        <w:gridCol w:w="146"/>
        <w:gridCol w:w="146"/>
        <w:gridCol w:w="571"/>
        <w:gridCol w:w="271"/>
        <w:gridCol w:w="146"/>
        <w:gridCol w:w="146"/>
        <w:gridCol w:w="571"/>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16"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 option activity during the year ended December 31, 2023 and 2022 was as follows: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823"/>
        <w:gridCol w:w="146"/>
        <w:gridCol w:w="146"/>
        <w:gridCol w:w="1036"/>
        <w:gridCol w:w="166"/>
        <w:gridCol w:w="146"/>
        <w:gridCol w:w="230"/>
        <w:gridCol w:w="626"/>
        <w:gridCol w:w="146"/>
        <w:gridCol w:w="146"/>
        <w:gridCol w:w="238"/>
        <w:gridCol w:w="763"/>
        <w:gridCol w:w="146"/>
        <w:gridCol w:w="146"/>
        <w:gridCol w:w="263"/>
        <w:gridCol w:w="845"/>
        <w:gridCol w:w="193"/>
      </w:tblGrid>
      <w:tr>
        <w:trPr/>
        <w:tc>
          <w:tcPr>
            <w:tcW w:w="4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8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2021</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center"/>
              <w:rPr/>
            </w:pPr>
            <w:r>
              <w:rPr/>
              <w:t> </w:t>
            </w:r>
          </w:p>
        </w:tc>
      </w:tr>
      <w:tr>
        <w:trPr/>
        <w:tc>
          <w:tcPr>
            <w:tcW w:w="48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3" w:type="dxa"/>
            <w:tcBorders/>
            <w:shd w:fill="CFF0FC" w:val="clear"/>
            <w:vAlign w:val="center"/>
          </w:tcPr>
          <w:p>
            <w:pPr>
              <w:pStyle w:val="TableContents"/>
              <w:bidi w:val="0"/>
              <w:spacing w:before="0" w:after="283"/>
              <w:jc w:val="left"/>
              <w:rPr/>
            </w:pPr>
            <w:r>
              <w:rPr/>
              <w:t> </w:t>
            </w:r>
          </w:p>
        </w:tc>
      </w:tr>
      <w:tr>
        <w:trPr/>
        <w:tc>
          <w:tcPr>
            <w:tcW w:w="48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48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48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48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6,049,770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stock options granted was $0.82 per share during the year ended December 31, 2023. The weighted-average grant date fair value of stock options granted was $1.80 per share during the year ended December 31,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2023 and 2022 the Company did not issue shares for unvested stock options. As of December 31, 2022, there were 28,711 shares of Common Stock, respectively, held by employees subject to repurchase at an aggregate price of $0.1 million, respectively. A corresponding liability was recorded and included in accrued expenses on the Consolidated Balance Sheets as of December 31, 2022. As of December 31, 2023, there were no shares of Common Stock held by employees subject to repurchase. </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grant restricted stock purchase awards to the Participants to purchase restricted stock under the Company’s Plan, which are subject to vesting conditions. The purchase prices of the restricted stock are determined by the Board. The Company has a right to repurchase the shares if the Participant’s service period is not fulfilled or upon termination of service at the original per share issuance price. The right of repurchase lapses over a service period which is typically four years with 25% vesting on the first anniversary of the vesting commencement date and 1/48 each month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the adoption of the Company’s Plan, the Company granted 502,964 restricted stock awards to employees and founders. These restricted stock awards have similar characteristics to the restricted stock awards granted under the Company’s Plan, other than the right of repurchase, which typically lapses over three years with 33% vesting on the first anniversary of the vesting commencement date and 1/36 each month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2023 and 2022, the Company recorded a total stock-based compensation expense of $31.0 thousand and $0.1 million, respectively, related to the restricted stock awards. As of December 31, 2023, there was $0.1 million unrecognized stock-based compensation costs related to outstanding unvested restricted stock awards that are expected to vest over 1.14 years. As of December 31, 2022, there was no unrecognized stock-based compensation costs related to outstanding unvested restricted stock awards that are expected to vest.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restricted common stock activity for years ended December 31, 2023 and 2022: </w:t>
      </w:r>
    </w:p>
    <w:p>
      <w:pPr>
        <w:pStyle w:val="TextBody"/>
        <w:bidi w:val="0"/>
        <w:spacing w:before="120" w:after="283"/>
        <w:jc w:val="left"/>
        <w:rPr/>
      </w:pPr>
      <w:r>
        <w:rPr/>
        <w:t> </w:t>
      </w:r>
    </w:p>
    <w:tbl>
      <w:tblPr>
        <w:tblW w:w="7754" w:type="dxa"/>
        <w:jc w:val="left"/>
        <w:tblInd w:w="0" w:type="dxa"/>
        <w:tblLayout w:type="fixed"/>
        <w:tblCellMar>
          <w:top w:w="28" w:type="dxa"/>
          <w:left w:w="28" w:type="dxa"/>
          <w:bottom w:w="28" w:type="dxa"/>
          <w:right w:w="28" w:type="dxa"/>
        </w:tblCellMar>
      </w:tblPr>
      <w:tblGrid>
        <w:gridCol w:w="3796"/>
        <w:gridCol w:w="146"/>
        <w:gridCol w:w="146"/>
        <w:gridCol w:w="781"/>
        <w:gridCol w:w="166"/>
        <w:gridCol w:w="146"/>
        <w:gridCol w:w="293"/>
        <w:gridCol w:w="652"/>
        <w:gridCol w:w="146"/>
        <w:gridCol w:w="146"/>
        <w:gridCol w:w="342"/>
        <w:gridCol w:w="783"/>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93" w:type="dxa"/>
            <w:tcBorders/>
            <w:shd w:fill="CFF0FC" w:val="clear"/>
            <w:vAlign w:val="center"/>
          </w:tcPr>
          <w:p>
            <w:pPr>
              <w:pStyle w:val="TableContents"/>
              <w:bidi w:val="0"/>
              <w:spacing w:before="0" w:after="283"/>
              <w:jc w:val="lef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expense was allocated as follows for the years ended December 31, 2023 and December 31, 2022: </w:t>
      </w:r>
    </w:p>
    <w:p>
      <w:pPr>
        <w:pStyle w:val="TextBody"/>
        <w:bidi w:val="0"/>
        <w:spacing w:before="40" w:after="283"/>
        <w:jc w:val="left"/>
        <w:rPr/>
      </w:pPr>
      <w:r>
        <w:rPr/>
        <w:t> </w:t>
      </w:r>
    </w:p>
    <w:tbl>
      <w:tblPr>
        <w:tblW w:w="5260"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5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3"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3"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w:t>
            </w:r>
          </w:p>
        </w:tc>
        <w:tc>
          <w:tcPr>
            <w:tcW w:w="146" w:type="dxa"/>
            <w:tcBorders/>
            <w:shd w:fill="CFF0FC"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fair value of the Company’s financial instruments that are measured or disclosed at fair value on a recurring basis: </w:t>
      </w:r>
    </w:p>
    <w:p>
      <w:pPr>
        <w:pStyle w:val="TextBody"/>
        <w:bidi w:val="0"/>
        <w:jc w:val="left"/>
        <w:rPr/>
      </w:pPr>
      <w:r>
        <w:rPr/>
        <w:t> </w:t>
      </w:r>
    </w:p>
    <w:tbl>
      <w:tblPr>
        <w:tblW w:w="5431" w:type="dxa"/>
        <w:jc w:val="left"/>
        <w:tblInd w:w="0" w:type="dxa"/>
        <w:tblLayout w:type="fixed"/>
        <w:tblCellMar>
          <w:top w:w="28" w:type="dxa"/>
          <w:left w:w="28" w:type="dxa"/>
          <w:bottom w:w="28" w:type="dxa"/>
          <w:right w:w="28" w:type="dxa"/>
        </w:tblCellMar>
      </w:tblPr>
      <w:tblGrid>
        <w:gridCol w:w="1841"/>
        <w:gridCol w:w="146"/>
        <w:gridCol w:w="211"/>
        <w:gridCol w:w="781"/>
        <w:gridCol w:w="146"/>
        <w:gridCol w:w="146"/>
        <w:gridCol w:w="352"/>
        <w:gridCol w:w="278"/>
        <w:gridCol w:w="146"/>
        <w:gridCol w:w="146"/>
        <w:gridCol w:w="211"/>
        <w:gridCol w:w="736"/>
        <w:gridCol w:w="291"/>
      </w:tblGrid>
      <w:tr>
        <w:trPr/>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vAlign w:val="center"/>
          </w:tcPr>
          <w:p>
            <w:pPr>
              <w:pStyle w:val="TableContents"/>
              <w:bidi w:val="0"/>
              <w:spacing w:before="0" w:after="283"/>
              <w:jc w:val="left"/>
              <w:rPr/>
            </w:pPr>
            <w:r>
              <w:rPr/>
              <w:t> </w:t>
            </w:r>
          </w:p>
        </w:tc>
      </w:tr>
      <w:tr>
        <w:trPr/>
        <w:tc>
          <w:tcPr>
            <w:tcW w:w="1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8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bonds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License and collaboration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Agreements with Merck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2020, the Company and Merck Sharp &amp; Dohme Corp. (Merck), a subsidiary of Merck &amp; Co., Inc., entered into an exclusive License and Research Collaboration Agreement (Original Agreement) under which Merck and the Company agreed to apply the Company’s oligonucleotide platform technology to discover, research, optimize and develop oligonucleotides directed against a MASH target and up to one additional liver-targeted cardiometabolic and/or fibrosis target. Under the terms of the Original Agreement, the Company received an upfront payment of $12 million from Merck. With respect to the collaboration target, the Company is eligible to receive up to $458.0 million in development and commercialization milestones as well as tiered royalties on net sales of licensed products.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2022, the Company and Merck entered into an amendment to the exclusive License and Research Collaboration Agreement (the First Amendment, together with the Original Agreement, the Expanded Arrangement). As a result of the First Amendment, our collaboration with Merck was expanded to include our grant of rights to Merck of an early-stage program with respect to a second undisclosed MASH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 million from Merck for our grant of rights to the program directed at a second undisclosed MASH target. Moreover, the Company may receive an additional payment of $15 million from Merck if Merck elects to designate a third target for collaboration. With respect to the second target in the collaboration, the Company is eligible to receive up to approximately $460.0 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Merck provided to the Company written notice of termination for one of the targets in the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 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20" w:after="283"/>
        <w:jc w:val="left"/>
        <w:rPr>
          <w:rFonts w:ascii="Times New Roman" w:hAnsi="Times New Roman"/>
          <w:sz w:val="20"/>
        </w:rPr>
      </w:pPr>
      <w:r>
        <w:rPr>
          <w:rFonts w:ascii="Times New Roman" w:hAnsi="Times New Roman"/>
          <w:b/>
          <w:i/>
          <w:color w:val="000000"/>
          <w:sz w:val="20"/>
        </w:rPr>
        <w:t>Agreement with Emory University (Emory)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In connection with the research plan, the Company will provide Emory funding up to $0.3 million per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agreed to pay Emory up to an aggregate of $125.0 million upon the achievement of specified development, regulatory, and commercial milestones, and all ongoing patent costs. During the twelve months ended December 31, 2023 and 2022,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twelve months ended December 31, 2023 and 2022, the Company made no payments associated with royalties but did recognize general expenses of $0.4 million and $0.2 million,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Agreement with Luxna Biotech Co., Ltd. (Luxna)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obligated to make payments to Luxna, in aggregate, totaling up to but no more than $55.5 million upon the achievement of specified development, regulatory, and commercial milestones. During the twelve months ended December 31, 2023 and 2022, the Company recognized no expenses related to milestone payments. The Company is also required to pay Luxna a low-single digit royalty percentage on net sale of applicable products, if any. During the twelve months ended December 31, 2023 and 2022, the Company made no payments associated with royalties.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 with Katholieke Universiteit Leuven (KU Leuven)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2020, the Company entered into a Research, Licensing and Commercialization Agreement (KU Leuven Agreement) with KU Leuven, under which the Company is collaborating with KU Leuven’s Rega Institute for Medical Research, as well as its CD3,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share of upfront transaction consideration received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year ended December 31, 2023, we recognized and paid $2.0 million related to milestone payments due to the first dosing of the first patient in a Phase 1 clinical trial. No milestone payments were made in the year ended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twelve months ended December 31, 2023 and 2022, the Company recognized $9.3 million and $13.9 million in revenue from collaborative arrangements related to upfront payments. During the twelve months ended December 31, 2023 and 2022, the Company recognized no revenue from collaborative arrangements related to milestone payments. The unrecognized portion of the upfront payments received during the twelve months ended December 31, 2023 and 2022 is recorded on the Consolidated Balance Sheets as “Deferred revenue from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deferred revenue balances arose as a result of the Company recognizing the following revenue from collaborative arrangements during the periods below (in thousands):</w:t>
      </w:r>
    </w:p>
    <w:p>
      <w:pPr>
        <w:pStyle w:val="TextBody"/>
        <w:bidi w:val="0"/>
        <w:jc w:val="left"/>
        <w:rPr/>
      </w:pPr>
      <w:r>
        <w:rPr/>
        <w:t> </w:t>
      </w:r>
    </w:p>
    <w:p>
      <w:pPr>
        <w:pStyle w:val="TextBody"/>
        <w:bidi w:val="0"/>
        <w:jc w:val="left"/>
        <w:rPr/>
      </w:pPr>
      <w:r>
        <w:rPr/>
        <w:t> </w:t>
      </w:r>
    </w:p>
    <w:tbl>
      <w:tblPr>
        <w:tblW w:w="7124" w:type="dxa"/>
        <w:jc w:val="left"/>
        <w:tblInd w:w="0" w:type="dxa"/>
        <w:tblLayout w:type="fixed"/>
        <w:tblCellMar>
          <w:top w:w="28" w:type="dxa"/>
          <w:left w:w="28" w:type="dxa"/>
          <w:bottom w:w="28" w:type="dxa"/>
          <w:right w:w="28" w:type="dxa"/>
        </w:tblCellMar>
      </w:tblPr>
      <w:tblGrid>
        <w:gridCol w:w="4666"/>
        <w:gridCol w:w="146"/>
        <w:gridCol w:w="211"/>
        <w:gridCol w:w="631"/>
        <w:gridCol w:w="166"/>
        <w:gridCol w:w="146"/>
        <w:gridCol w:w="211"/>
        <w:gridCol w:w="736"/>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collaborations as of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received in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15,009</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 recognized in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collaborations as of December 31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Revenue from contracts with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Agreement with ADCT</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that the ADC Therapeutics (ADCT) agreement falls within the scope of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Agreement with Amoytop</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2023, the Company and Amoytop Biotech Co., Ltd (Amoytop) entered into an exclusive Development Agreement and Research 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 of $7.0 million, less withholding taxes of $1.1 million from Amoytop. With respect to the agreement, the Company will be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that the Amoytop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twelve months ended December 31, 2023, the Company recognized $6.2 million in revenue from customers related to upfront payments. There was no revenue recognized from customers in the twelve months ended December 31, 2022. During the twelve months ended December 31, 2023 and 2022, the Company recognized no revenue from customers related to milestone payments. The unrecognized portion of the upfront payments received during the twelve months ended December 31, 2023 and 2022 is recorded on the Consolidated Balance Sheets as “Deferred revenue from customers”.</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deferred revenue balances arose as a result of the Company recognizing the following revenue from customers during the periods below (in thousands): </w:t>
      </w:r>
    </w:p>
    <w:p>
      <w:pPr>
        <w:pStyle w:val="TextBody"/>
        <w:bidi w:val="0"/>
        <w:jc w:val="left"/>
        <w:rPr/>
      </w:pPr>
      <w:r>
        <w:rPr/>
        <w:t> </w:t>
      </w:r>
    </w:p>
    <w:tbl>
      <w:tblPr>
        <w:tblW w:w="6429" w:type="dxa"/>
        <w:jc w:val="left"/>
        <w:tblInd w:w="0" w:type="dxa"/>
        <w:tblLayout w:type="fixed"/>
        <w:tblCellMar>
          <w:top w:w="28" w:type="dxa"/>
          <w:left w:w="28" w:type="dxa"/>
          <w:bottom w:w="28" w:type="dxa"/>
          <w:right w:w="28" w:type="dxa"/>
        </w:tblCellMar>
      </w:tblPr>
      <w:tblGrid>
        <w:gridCol w:w="4306"/>
        <w:gridCol w:w="146"/>
        <w:gridCol w:w="211"/>
        <w:gridCol w:w="631"/>
        <w:gridCol w:w="166"/>
        <w:gridCol w:w="146"/>
        <w:gridCol w:w="211"/>
        <w:gridCol w:w="421"/>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customers as of January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received in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 recognized in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customers as of December 31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13.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components of the current provision for income taxes were as follows for the years ended December 31, 2023 and 2022: </w:t>
      </w:r>
    </w:p>
    <w:p>
      <w:pPr>
        <w:pStyle w:val="TextBody"/>
        <w:bidi w:val="0"/>
        <w:jc w:val="left"/>
        <w:rPr/>
      </w:pPr>
      <w:r>
        <w:rPr/>
        <w:t> </w:t>
      </w:r>
    </w:p>
    <w:tbl>
      <w:tblPr>
        <w:tblW w:w="5523" w:type="dxa"/>
        <w:jc w:val="left"/>
        <w:tblInd w:w="0" w:type="dxa"/>
        <w:tblLayout w:type="fixed"/>
        <w:tblCellMar>
          <w:top w:w="28" w:type="dxa"/>
          <w:left w:w="28" w:type="dxa"/>
          <w:bottom w:w="28" w:type="dxa"/>
          <w:right w:w="28" w:type="dxa"/>
        </w:tblCellMar>
      </w:tblPr>
      <w:tblGrid>
        <w:gridCol w:w="3576"/>
        <w:gridCol w:w="211"/>
        <w:gridCol w:w="421"/>
        <w:gridCol w:w="146"/>
        <w:gridCol w:w="146"/>
        <w:gridCol w:w="211"/>
        <w:gridCol w:w="421"/>
        <w:gridCol w:w="391"/>
      </w:tblGrid>
      <w:tr>
        <w:trPr/>
        <w:tc>
          <w:tcPr>
            <w:tcW w:w="3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CFF0FC"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5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5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5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6" w:type="dxa"/>
            <w:tcBorders/>
            <w:shd w:fill="FFFFFF" w:val="clear"/>
            <w:vAlign w:val="center"/>
          </w:tcPr>
          <w:p>
            <w:pPr>
              <w:pStyle w:val="TableContents"/>
              <w:bidi w:val="0"/>
              <w:spacing w:before="0" w:after="283"/>
              <w:ind w:left="100" w:right="0" w:firstLine="100"/>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5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5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5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deferred 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did not have any deferred provision for income taxes for the years ended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expected income tax (benefit) computed using the federal statutory income tax rate to the Company’s effective income tax rate is as follows for the years ended December 31, 2023 and 2022: </w:t>
      </w:r>
    </w:p>
    <w:p>
      <w:pPr>
        <w:pStyle w:val="TextBody"/>
        <w:bidi w:val="0"/>
        <w:jc w:val="left"/>
        <w:rPr/>
      </w:pPr>
      <w:r>
        <w:rPr/>
        <w:t> </w:t>
      </w:r>
    </w:p>
    <w:tbl>
      <w:tblPr>
        <w:tblW w:w="5669" w:type="dxa"/>
        <w:jc w:val="left"/>
        <w:tblInd w:w="0" w:type="dxa"/>
        <w:tblLayout w:type="fixed"/>
        <w:tblCellMar>
          <w:top w:w="28" w:type="dxa"/>
          <w:left w:w="28" w:type="dxa"/>
          <w:bottom w:w="28" w:type="dxa"/>
          <w:right w:w="28" w:type="dxa"/>
        </w:tblCellMar>
      </w:tblPr>
      <w:tblGrid>
        <w:gridCol w:w="3781"/>
        <w:gridCol w:w="901"/>
        <w:gridCol w:w="146"/>
        <w:gridCol w:w="841"/>
      </w:tblGrid>
      <w:tr>
        <w:trPr/>
        <w:tc>
          <w:tcPr>
            <w:tcW w:w="37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3781"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computed at federal statutory rate</w:t>
            </w:r>
          </w:p>
        </w:tc>
        <w:tc>
          <w:tcPr>
            <w:tcW w:w="9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21.00%</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21.00%</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9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6.71%</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6.95%</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credit carryovers</w:t>
            </w:r>
          </w:p>
        </w:tc>
        <w:tc>
          <w:tcPr>
            <w:tcW w:w="9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6.35%</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9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86.68%</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-26.32%</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9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9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-0.63%</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382 limitation</w:t>
            </w:r>
          </w:p>
        </w:tc>
        <w:tc>
          <w:tcPr>
            <w:tcW w:w="9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-117.98%</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components of the deferred tax assets and liabilities were as follows at December 31: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08" w:type="dxa"/>
        <w:jc w:val="left"/>
        <w:tblInd w:w="0" w:type="dxa"/>
        <w:tblLayout w:type="fixed"/>
        <w:tblCellMar>
          <w:top w:w="28" w:type="dxa"/>
          <w:left w:w="28" w:type="dxa"/>
          <w:bottom w:w="28" w:type="dxa"/>
          <w:right w:w="28" w:type="dxa"/>
        </w:tblCellMar>
      </w:tblPr>
      <w:tblGrid>
        <w:gridCol w:w="2786"/>
        <w:gridCol w:w="211"/>
        <w:gridCol w:w="736"/>
        <w:gridCol w:w="166"/>
        <w:gridCol w:w="146"/>
        <w:gridCol w:w="211"/>
        <w:gridCol w:w="841"/>
        <w:gridCol w:w="611"/>
      </w:tblGrid>
      <w:tr>
        <w:trPr/>
        <w:tc>
          <w:tcPr>
            <w:tcW w:w="2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 carryforward</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82,775</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27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credits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27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accruals and reserves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27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Sec 174 costs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27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8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112,728</w:t>
            </w:r>
          </w:p>
        </w:tc>
        <w:tc>
          <w:tcPr>
            <w:tcW w:w="6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786" w:type="dxa"/>
            <w:tcBorders/>
            <w:shd w:fill="FFFFFF" w:val="clear"/>
            <w:vAlign w:val="center"/>
          </w:tcPr>
          <w:p>
            <w:pPr>
              <w:pStyle w:val="TableContents"/>
              <w:bidi w:val="0"/>
              <w:spacing w:before="0" w:after="283"/>
              <w:ind w:left="400" w:right="0" w:firstLine="400"/>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27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 of use assets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27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vAlign w:val="center"/>
          </w:tcPr>
          <w:p>
            <w:pPr>
              <w:pStyle w:val="TableContents"/>
              <w:bidi w:val="0"/>
              <w:spacing w:before="0" w:after="283"/>
              <w:ind w:left="400" w:right="0" w:firstLine="400"/>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7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income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Management believes that, based on a number of factors, including the Company’s historical operating performance and accumulated deficit, it is more likely than not that the deferred tax assets will not be utilized, such that a full valuation allowance has been recorded against the Company’s deferred tax assets. In assessing the reliability of deferred tax assets, management considers whether it is more likely than not that some portion or all of the deferred tax assets will not be realized on a jurisdiction by jurisdiction basis. The ultimate realization of deferred tax assets is dependent upon the generation of future taxable income during the periods in which those temporary differences become deductible. The valuation allowance decreased by $75.3 million during the year ended December 31, 2023, and increased by $25.3 million during the year ended December 31,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$3.7 million of federal and $12.7 million of state net operating loss (NOL) carryforwards available to offset future taxable income. The Company’s federal NOL carryforwards can be carried forward indefinitely while state NOL carryforwards, if not utilized, will begin expiring in 2043. As of December 31, 2023, the Company had research and development credit carryforwards of $0.2 million and $0.2 million available to reduce future taxable income, if any, for federal and state income tax purposes, respectively. If not utilized, the federal credit carryforwards will begin expiring in 2043. The California credit carryforwards have no expiration date. The Company had $6.0 million of Australian NOL carryforwards and $0.7 million of Australian research and development tax credit carryforwards available. The Australian NOL and research and development tax credits have no expiration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Sections 382 and 383 of the Code, and corresponding provisions of state law, if a corporation undergoes an “ownership change” (generally defined as a greater than 50 percentage point change (by value) in its equity ownership over a rolling three-year period), the Company’s ability to use its pre-change NOL carryforwards and other pre-change tax attributes to offset its post-change income may be limited. The Company performed a Code Section 382 analysis in 2023 and determined there was an ownership change that resulted in Section 382 limitations. As of the ownership change, $288.6 million and $407.1 million of federal and state net operating losses, respectively, and $9.7 million and $4.8 million of research and development credit carryforwards were written off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additional ownership changes as a result of subsequent shifts in our stock ownership, some of which may be outside of our control.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 In addition, under current tax law, federal NOL carryforwards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generated in periods after December 31, 2017, may be carried forward indefinitely but, may only be used to offset 80% of our taxable income.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adopted the provisions of FASB Accounting Standards Codification (ASC) 740-10, </w:t>
      </w:r>
      <w:r>
        <w:rPr>
          <w:rFonts w:ascii="Times New Roman" w:hAnsi="Times New Roman"/>
          <w:i/>
          <w:color w:val="000000"/>
          <w:sz w:val="20"/>
        </w:rPr>
        <w:t>Accounting for Uncertainty in Income Taxes</w:t>
      </w:r>
      <w:r>
        <w:rPr>
          <w:rFonts w:ascii="Times New Roman" w:hAnsi="Times New Roman"/>
          <w:color w:val="000000"/>
          <w:sz w:val="20"/>
        </w:rPr>
        <w:t xml:space="preserve">, upon the date of incorporation. ASC 740-10 prescribes a comprehensive model for the recognition, measurement, presentation and disclosure in financial statements of any uncertain tax positions that have been taken or expected to be taken on a tax return. It is the Company’s policy to include penalties and interest expense related to income taxes as a component of other expense and interest expense, respectively, as necessary. During the years ended December 31, 2023 and 2022, the Company had not recognized any tax-related penalties or interest. No liability related to uncertain tax positions is recorded on the financial statements related to uncertain tax positions. </w:t>
      </w:r>
    </w:p>
    <w:p>
      <w:pPr>
        <w:pStyle w:val="TextBody"/>
        <w:bidi w:val="0"/>
        <w:spacing w:before="240" w:after="283"/>
        <w:jc w:val="left"/>
        <w:rPr/>
      </w:pPr>
      <w:r>
        <w:rPr/>
        <w:t> </w:t>
      </w:r>
    </w:p>
    <w:tbl>
      <w:tblPr>
        <w:tblW w:w="6623" w:type="dxa"/>
        <w:jc w:val="left"/>
        <w:tblInd w:w="0" w:type="dxa"/>
        <w:tblLayout w:type="fixed"/>
        <w:tblCellMar>
          <w:top w:w="28" w:type="dxa"/>
          <w:left w:w="28" w:type="dxa"/>
          <w:bottom w:w="28" w:type="dxa"/>
          <w:right w:w="28" w:type="dxa"/>
        </w:tblCellMar>
      </w:tblPr>
      <w:tblGrid>
        <w:gridCol w:w="4376"/>
        <w:gridCol w:w="211"/>
        <w:gridCol w:w="631"/>
        <w:gridCol w:w="166"/>
        <w:gridCol w:w="146"/>
        <w:gridCol w:w="211"/>
        <w:gridCol w:w="571"/>
        <w:gridCol w:w="311"/>
      </w:tblGrid>
      <w:tr>
        <w:trPr/>
        <w:tc>
          <w:tcPr>
            <w:tcW w:w="4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3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beginning of the period</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3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(Decrease) Increase related to prior year positions</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3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 (Decrease) related to current year positions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end of the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income tax returns in the United States, including California and Texas, Australia, Belgium, and China. The Company is not currently under examination by income tax authorities in federal, state or other jurisdictions. All income tax returns will remain open for examination by the federal, state and foreign authorities for three or four years, from the date of utilization of any NOLs or credits.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2018, the FASB released guidance on the accounting for tax on the global intangible low-taxed income (GILTI) provisions of the Tax Cuts and Jobs Act of 2017. The GILTI provisions impose a tax on foreign income in excess of a deemed return on tangible assets of foreign corporations. The guidance allows companies to make an accounting policy election to either (i) account for GILTI as a component of tax expense in the period in which they are subject to the rules (the period cost method), or (ii) account for GILTI in the Company’s measurement of deferred taxes (the deferred method). After completing the analysis of the GILTI provisions, the Company elected to account for GILTI using the period cost method.</w:t>
      </w:r>
    </w:p>
    <w:p>
      <w:pPr>
        <w:pStyle w:val="TextBody"/>
        <w:bidi w:val="0"/>
        <w:spacing w:before="120" w:after="283"/>
        <w:jc w:val="left"/>
        <w:rPr>
          <w:rFonts w:ascii="Times New Roman" w:hAnsi="Times New Roman"/>
          <w:sz w:val="20"/>
        </w:rPr>
      </w:pPr>
      <w:r>
        <w:rPr>
          <w:rFonts w:ascii="Times New Roman" w:hAnsi="Times New Roman"/>
          <w:b/>
          <w:color w:val="000000"/>
          <w:sz w:val="20"/>
        </w:rPr>
        <w:t>14.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December 31, 2023 and December 31, 2022. The Company enters into contracts in the normal course of business that includes arrangements with clinical research organizations, vendors for preclinical research and vendors for manufacturing. These agreements generally allow for cancellation with notice. As of December 31, 2023, the Company had no material non-cancellable purchase commitments.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the former President and a former Director of the Company. The Complaint alleged breach of contract by Lawrence M. Blatt and Leonid Beigelman and tortious interference with contract by the Company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sought declaratory judgment of ownership of certain intellectual property by the Company, among other claims. The Complaint stated that Janssen was seeking injunctive relief, assignment of certain intellectual property from the Company to Janssen and monetary damages.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2022, the Company filed counterclaims against Janssen alleging Janssen had engaged in unfair competition and promissory fraud, and on August 22, 2022, the Company filed its response to the Complaint.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16, 2023, the Company entered into a settlement agreement with Janssen that provided for the resolution of the action brought by Janssen alleging breach of contract by Lawrence M. Blatt, and Leonid Beigelman, and tortious interference with contract by the Company and seeking declaratory judgment of ownership of certain intellectual property by the Company, among other claims. Pursuant to the settlement agreement, Janssen agreed to dismiss the action and released the Company, Dr. Blatt and Dr. Beigelman from the claims alleged. In addition, pursuant to the Settlement Agreement, the Company agreed to dismiss the counterclaims against Janssen alleging unfair competition and promissory fraud and released Janssen from the alleged counterclaims. </w:t>
      </w:r>
    </w:p>
    <w:p>
      <w:pPr>
        <w:pStyle w:val="TextBody"/>
        <w:bidi w:val="0"/>
        <w:spacing w:before="2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15.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Defined contribution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The Company made matching contributions of $0.8 million and $0.9 million to the plan during the years ended December 31, 2023 and 2022, respectively. </w:t>
      </w:r>
    </w:p>
    <w:p>
      <w:pPr>
        <w:pStyle w:val="TextBody"/>
        <w:bidi w:val="0"/>
        <w:spacing w:before="120" w:after="283"/>
        <w:jc w:val="left"/>
        <w:rPr>
          <w:rFonts w:ascii="Times New Roman" w:hAnsi="Times New Roman"/>
          <w:sz w:val="20"/>
        </w:rPr>
      </w:pPr>
      <w:r>
        <w:rPr>
          <w:rFonts w:ascii="Times New Roman" w:hAnsi="Times New Roman"/>
          <w:b/>
          <w:i/>
          <w:color w:val="000000"/>
          <w:sz w:val="20"/>
        </w:rPr>
        <w:t>Defined benefit plans—regular pension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Topic 715, </w:t>
      </w:r>
      <w:r>
        <w:rPr>
          <w:rFonts w:ascii="Times New Roman" w:hAnsi="Times New Roman"/>
          <w:i/>
          <w:color w:val="000000"/>
          <w:sz w:val="20"/>
        </w:rPr>
        <w:t>Compensation—Retirement Benefits</w:t>
      </w:r>
      <w:r>
        <w:rPr>
          <w:rFonts w:ascii="Times New Roman" w:hAnsi="Times New Roman"/>
          <w:color w:val="000000"/>
          <w:sz w:val="20"/>
        </w:rPr>
        <w:t xml:space="preserve">,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and (c) recognize changes in the funded status of a defined benefit post retirement plan in the year in which the changes occur. Accordingly, the Company is required to report changes in its funded status on its Consolidated Statement of Changes in Stockholders’ Equity and Consolidated Statement of Operations and Comprehensive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Aligos-Belgium offers its employees a regular pension plan in the form of a defined contribution plan (the Regular Pension Plan), which contains a 1.75% legally required minimum rate of return for the participants. The Regular Pension Plan does not meet all the requirements that are needed for recognition of the plans as a defined contribution plan. The Company therefore recognizes the Regular Pension Plan as a defined benefit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the fair value of the Regular Plan assets by using Level 3 inputs, unobservable inputs that are supported by little or no market activity that are significant to determining the fair value of assets, including pricing models, discounted cash flow methodologies and similar techniques.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periodic benefit cost of the Pension Plan was $0.2 million and $0.3 million, and is recognized in accrued liabilities on the Consolidated Balance Sheets as of December 31, 2023 and 2022, respectively. As of December 31, 2023, the projected benefit obligation was $1.2 million, the plan assets were $1.2 million and the net pension liability was $0.1 million. As of December 31, 2022, the projected benefit obligation was $1.1 million, the plan assets were $1.0 million, and the net pension liability was $0.1 million. The Company has recorded the unfunded amount as a liability in its Consolidated Balance Sheets at December 31, 2023 and 2022, under the accrued liabilities caption. The unrealized actuarial gain and loss on pension benefits, net of tax, at December 31, 2023 and 2022 was $40.0 thousand and $101.0 thousand, respectively. These amounts were reflected in other comprehensive loss under the caption gain (loss) on pension plans. The Company expects to make contributions to the Pension Plan of approximately $0.1 million during 2024. The Company estimates future benefit payments from 2025 to 2028 to be $0.3 million, and from 2029 thereafter to be $0.8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Defined benefit plans—Top Hat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Aligos-Belgium, the Company established a pension bonus complementary plan (the Top Hat Plan), where the bonus payments to each participant are added to the Top Hat Plan. The annual contributions to this plan are based on performance and determined on a discretionary basis by the Company. The Top Hat Plan contains a legal yield guarantee of 1.75%. The Top Hat Plan became effective as of January 1, 2019. </w:t>
      </w:r>
    </w:p>
    <w:p>
      <w:pPr>
        <w:pStyle w:val="TextBody"/>
        <w:bidi w:val="0"/>
        <w:spacing w:before="120" w:after="283"/>
        <w:jc w:val="left"/>
        <w:rPr>
          <w:rFonts w:ascii="Times New Roman" w:hAnsi="Times New Roman"/>
          <w:sz w:val="20"/>
        </w:rPr>
      </w:pPr>
      <w:r>
        <w:rPr>
          <w:rFonts w:ascii="Times New Roman" w:hAnsi="Times New Roman"/>
          <w:color w:val="000000"/>
          <w:sz w:val="20"/>
        </w:rPr>
        <w:t>In 2019, the Company accounted for the Top Hat Plan in accordance with ASC 715—</w:t>
      </w:r>
      <w:r>
        <w:rPr>
          <w:rFonts w:ascii="Times New Roman" w:hAnsi="Times New Roman"/>
          <w:i/>
          <w:color w:val="000000"/>
          <w:sz w:val="20"/>
        </w:rPr>
        <w:t>Compensation—Retirement Benefits</w:t>
      </w:r>
      <w:r>
        <w:rPr>
          <w:rFonts w:ascii="Times New Roman" w:hAnsi="Times New Roman"/>
          <w:color w:val="000000"/>
          <w:sz w:val="20"/>
        </w:rPr>
        <w:t xml:space="preserve">, once it became effective. The Top Hat Plan does not meet all the requirements that are needed for recognition as a defined contribution plan. The Company therefore recognizes the Top Hat Plan as a defined benefit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periodic benefit cost of the Top Hat Plan was $0.2 million and $0.2 million, and is recognized in accrued liabilities on the Consolidated Balance Sheets as of December 31, 2023 and 2022, respectively. As of December 31, 2023, the projected benefit obligation was $2.0 million, the plan assets were $1.8 million and the net pension liability was $0.2 million. As of December 31, 2022, the projected benefit obligation was $1.7 million, the plan assets were $1.5 million, and the net pension liability was $0.2 million. The Company has recorded the unfunded amount as a liability in its Consolidated Balance Sheets at December 31, 2023 and 2022, under the accrued liabilities caption. The unrealized actuarial gain and loss on pension benefits, net of tax, at December 31, 2023 and 2022 was $3.0 thousand and $60.0 thousand, respectively. These amounts were reflected in other comprehensive loss under the caption gain (loss) on pension plans. The Company expects to make contributions to the Pension Plan of approximately $0.2 million during 2024. The Company estimates future benefit payments from 2025 to 2028 to be $0.5 million, and from 2029 thereafter to be $1.1 million.</w:t>
      </w:r>
    </w:p>
    <w:p>
      <w:pPr>
        <w:pStyle w:val="TextBody"/>
        <w:bidi w:val="0"/>
        <w:jc w:val="left"/>
        <w:rPr/>
      </w:pPr>
      <w:r>
        <w:rPr/>
        <w:t> </w:t>
      </w:r>
    </w:p>
    <w:p>
      <w:pPr>
        <w:pStyle w:val="TextBody"/>
        <w:bidi w:val="0"/>
        <w:spacing w:before="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16.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per share of the Company: </w:t>
      </w:r>
    </w:p>
    <w:p>
      <w:pPr>
        <w:pStyle w:val="TextBody"/>
        <w:bidi w:val="0"/>
        <w:jc w:val="left"/>
        <w:rPr/>
      </w:pPr>
      <w:r>
        <w:rPr/>
        <w:t> </w:t>
      </w:r>
    </w:p>
    <w:tbl>
      <w:tblPr>
        <w:tblW w:w="6314" w:type="dxa"/>
        <w:jc w:val="left"/>
        <w:tblInd w:w="0" w:type="dxa"/>
        <w:tblLayout w:type="fixed"/>
        <w:tblCellMar>
          <w:top w:w="28" w:type="dxa"/>
          <w:left w:w="28" w:type="dxa"/>
          <w:bottom w:w="28" w:type="dxa"/>
          <w:right w:w="28" w:type="dxa"/>
        </w:tblCellMar>
      </w:tblPr>
      <w:tblGrid>
        <w:gridCol w:w="3421"/>
        <w:gridCol w:w="146"/>
        <w:gridCol w:w="196"/>
        <w:gridCol w:w="916"/>
        <w:gridCol w:w="166"/>
        <w:gridCol w:w="146"/>
        <w:gridCol w:w="196"/>
        <w:gridCol w:w="916"/>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1" w:type="dxa"/>
            <w:tcBorders/>
            <w:shd w:fill="FFFFFF"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(96,046</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 average common stock outstanding, </w:t>
              <w:br/>
              <w:t>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64,260,588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42,695,227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potentially dilutive securities, which include options to purchase common stock, unvested restricted stock and warrants to purchase common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 </w:t>
      </w:r>
    </w:p>
    <w:p>
      <w:pPr>
        <w:pStyle w:val="TextBody"/>
        <w:bidi w:val="0"/>
        <w:jc w:val="left"/>
        <w:rPr/>
      </w:pPr>
      <w:r>
        <w:rPr/>
        <w:t> </w:t>
      </w:r>
    </w:p>
    <w:tbl>
      <w:tblPr>
        <w:tblW w:w="5704" w:type="dxa"/>
        <w:jc w:val="left"/>
        <w:tblInd w:w="0" w:type="dxa"/>
        <w:tblLayout w:type="fixed"/>
        <w:tblCellMar>
          <w:top w:w="28" w:type="dxa"/>
          <w:left w:w="28" w:type="dxa"/>
          <w:bottom w:w="28" w:type="dxa"/>
          <w:right w:w="28" w:type="dxa"/>
        </w:tblCellMar>
      </w:tblPr>
      <w:tblGrid>
        <w:gridCol w:w="2701"/>
        <w:gridCol w:w="146"/>
        <w:gridCol w:w="146"/>
        <w:gridCol w:w="916"/>
        <w:gridCol w:w="146"/>
        <w:gridCol w:w="146"/>
        <w:gridCol w:w="146"/>
        <w:gridCol w:w="826"/>
        <w:gridCol w:w="5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701"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3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10,376,838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9,840,127</w:t>
            </w:r>
          </w:p>
        </w:tc>
        <w:tc>
          <w:tcPr>
            <w:tcW w:w="53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restricted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3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56,241,973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66,752,931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9,840,127</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17. Subsequent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Option Exchange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January 2024, the Company commenced a stock option exchange program (the "Exchange Offer") pursuant to which eligible employees were provided the opportunity to exchange eligible stock options for a number of new replacement option grants at the exchange ratio of 1 replacement option for every 1.4 eligible options tendered for those priced between $2.10 to $11.85, and 1 replacement option for every 3.4 eligible options tendered for those priced over $11.86. The Exchange Offer was concluded in February 2024.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connection with the Exchange Offer, the Company canceled 3,880,332 eligible options and granted 1,906,153 replacement options. The exchange of these options was accounted for as a modification of share-based compensation awards. Accordingly, the Company will recognize the unamortized compensation cost related to the canceled options as well as the incremental compensation cost associated with the replacement options over their one year vesting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9" w:name="item_9_changes_in_disagreements_with_acc"/>
      <w:bookmarkEnd w:id="29"/>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30" w:name="item_9a_controls_procedures"/>
      <w:bookmarkEnd w:id="30"/>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evaluated, with the participation of our Chief Executive Officer and Chief Financial Officer, our principal executive officer and principal financial officer, respectively, the effectiveness of our disclosure controls and procedures (as defined in Rules 13a-15(e) and 15d-15(e) under the Securities Exchange Act of 1934, as amended) as of the end of the period covered by this Annual Report on Form 10</w:t>
        <w:noBreakHyphen/>
        <w:t>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2023, our disclosure controls and procedures were effective at the reasonable assurance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fiscal quarter ended December 31, 2023 that has materially affected, or is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Inherent limitation on the effectiveness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120" w:after="283"/>
        <w:jc w:val="left"/>
        <w:rPr>
          <w:rFonts w:ascii="Times New Roman" w:hAnsi="Times New Roman"/>
          <w:sz w:val="20"/>
        </w:rPr>
      </w:pPr>
      <w:bookmarkStart w:id="31" w:name="item_9b_or_information"/>
      <w:bookmarkEnd w:id="31"/>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set forth below is included herein for the purpose of providing the disclosure required under “Item 5.02 - Departure of Directors or Certain Officers; Election of Directors; Appointment of Certain Officers; Compensatory Arrangements of Certain Officers.” of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11, 2024, the Board of Directors appointed Lawrence M. Blatt, Ph.D., age 62, as President of the Company, effective immediately. Dr. Blatt retains his position and responsibilities as Chief Executive Officer and Director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 Blatt has served as our Chief Executive Officer and a member of our Board of Directors since February 2018. Prior to co-founding the Company, Dr. Blatt served as the Global Head of Infectious Diseases and Vaccines at Janssen Pharmaceutical Companies of Johnson &amp; Johnson, a pharmaceutical company, from November 2014 to February 2018. Dr. Blatt co-founded Alias BioPharma, Inc., a biotechnology company, and served as its Chief Executive Officer, President and Director from January 2009 until its acquisition by Janssen Pharmaceutical Companies of Johnson &amp; Johnson in November 2014. Prior to Alias, he served as Chief Scientific Officer at lnterMune, Inc., a biotechnology company, from 2002 to 2008. Dr. Blatt previously served on the board of directors of ReViral Ltd. and Alveo Technologies, Inc., which he co-founded in 2014, and Meissa Vaccines, Inc. Dr. Blatt received a B.S. in Microbiology from Indiana University Bloomington, an M.B.A. from California State University, Northridge, and a Ph.D. in Public Health Administration from the University of La Verne. </w:t>
      </w:r>
    </w:p>
    <w:p>
      <w:pPr>
        <w:pStyle w:val="TextBody"/>
        <w:bidi w:val="0"/>
        <w:spacing w:before="120" w:after="283"/>
        <w:jc w:val="left"/>
        <w:rPr>
          <w:rFonts w:ascii="Times New Roman" w:hAnsi="Times New Roman"/>
          <w:sz w:val="20"/>
        </w:rPr>
      </w:pPr>
      <w:bookmarkStart w:id="32" w:name="item_9c_disclosure_regarding_foreign_jur"/>
      <w:bookmarkEnd w:id="32"/>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ii"/>
      <w:bookmarkEnd w:id="33"/>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4" w:name="item_10_directors_executive_ficers_corpo"/>
      <w:bookmarkEnd w:id="34"/>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investor.aligos.com under the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aligos.com or in a Current Report on Form 8-K filed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information required by this item, including information about our Directors, Executive Officers and Audit Committee, is incorporated by reference to the definitive Proxy Statement for our 2024 Annual Meeting of Stockholders, which will be filed with the SEC no later than 120 days after December 31, 2023.</w:t>
      </w:r>
    </w:p>
    <w:p>
      <w:pPr>
        <w:pStyle w:val="TextBody"/>
        <w:bidi w:val="0"/>
        <w:spacing w:before="360" w:after="283"/>
        <w:jc w:val="left"/>
        <w:rPr>
          <w:rFonts w:ascii="Times New Roman" w:hAnsi="Times New Roman"/>
          <w:sz w:val="20"/>
        </w:rPr>
      </w:pPr>
      <w:bookmarkStart w:id="35" w:name="item_11_executive_compensation"/>
      <w:bookmarkEnd w:id="35"/>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section headed “Executive Compensation” in our Proxy Statement and is incorporated in this Annual Report by reference. </w:t>
      </w:r>
    </w:p>
    <w:p>
      <w:pPr>
        <w:pStyle w:val="TextBody"/>
        <w:bidi w:val="0"/>
        <w:spacing w:before="360" w:after="283"/>
        <w:jc w:val="left"/>
        <w:rPr>
          <w:rFonts w:ascii="Times New Roman" w:hAnsi="Times New Roman"/>
          <w:sz w:val="20"/>
        </w:rPr>
      </w:pPr>
      <w:bookmarkStart w:id="36" w:name="item_12_security_ownership_certain_benef"/>
      <w:bookmarkEnd w:id="36"/>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section headed “Security Ownership of Certain Beneficial Owners and Management” in our Proxy Statement and is incorporated in this Annual Report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regarding our equity compensation plans will be set forth in the section headed “Executive Compensation” in our Proxy Statement and is incorporated in this Annual Report by reference.</w:t>
      </w:r>
    </w:p>
    <w:p>
      <w:pPr>
        <w:pStyle w:val="TextBody"/>
        <w:bidi w:val="0"/>
        <w:spacing w:before="360" w:after="283"/>
        <w:jc w:val="left"/>
        <w:rPr>
          <w:rFonts w:ascii="Times New Roman" w:hAnsi="Times New Roman"/>
          <w:sz w:val="20"/>
        </w:rPr>
      </w:pPr>
      <w:bookmarkStart w:id="37" w:name="item_13_certain_relationships_related_tr"/>
      <w:bookmarkEnd w:id="37"/>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set forth in the section headed “Transactions with Related Persons” in our Proxy Statement and is incorporated in this Annual Report by reference. </w:t>
      </w:r>
    </w:p>
    <w:p>
      <w:pPr>
        <w:pStyle w:val="TextBody"/>
        <w:bidi w:val="0"/>
        <w:spacing w:before="360" w:after="283"/>
        <w:jc w:val="left"/>
        <w:rPr>
          <w:rFonts w:ascii="Times New Roman" w:hAnsi="Times New Roman"/>
          <w:sz w:val="20"/>
        </w:rPr>
      </w:pPr>
      <w:bookmarkStart w:id="38" w:name="item_14_principal_accounting_fees_servic"/>
      <w:bookmarkEnd w:id="38"/>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section headed “—Ratification of Selection of Independent Registered Public Accounting Firm” in our Proxy Statement and is incorporated in this Annual Report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bookmarkStart w:id="39" w:name="part_iv"/>
      <w:bookmarkEnd w:id="39"/>
      <w:r>
        <w:rPr>
          <w:rFonts w:ascii="Times New Roman" w:hAnsi="Times New Roman"/>
          <w:b/>
          <w:color w:val="000000"/>
          <w:sz w:val="20"/>
        </w:rPr>
        <w:t>PART IV</w:t>
      </w:r>
      <w:r>
        <w:rPr>
          <w:rFonts w:ascii="Times New Roman" w:hAnsi="Times New Roman"/>
          <w:color w:val="000000"/>
          <w:sz w:val="20"/>
        </w:rPr>
        <w:t xml:space="preserve"> </w:t>
      </w:r>
      <w:bookmarkStart w:id="40" w:name="item15"/>
      <w:bookmarkEnd w:id="40"/>
    </w:p>
    <w:p>
      <w:pPr>
        <w:pStyle w:val="TextBody"/>
        <w:bidi w:val="0"/>
        <w:spacing w:before="360" w:after="283"/>
        <w:jc w:val="left"/>
        <w:rPr>
          <w:rFonts w:ascii="Times New Roman" w:hAnsi="Times New Roman"/>
          <w:sz w:val="20"/>
        </w:rPr>
      </w:pPr>
      <w:bookmarkStart w:id="41" w:name="item_15_exhibits_financial_statement_sch"/>
      <w:bookmarkEnd w:id="41"/>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Documents filed as a part of this Annual Report on Form 10-K: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financial statements are included in Part II, Item 8 of this Annual Report on Form 10-K:</w:t>
      </w:r>
    </w:p>
    <w:p>
      <w:pPr>
        <w:pStyle w:val="TextBody"/>
        <w:bidi w:val="0"/>
        <w:spacing w:before="40" w:after="283"/>
        <w:jc w:val="left"/>
        <w:rPr/>
      </w:pPr>
      <w:r>
        <w:rPr/>
        <w:t> </w:t>
      </w:r>
    </w:p>
    <w:tbl>
      <w:tblPr>
        <w:tblW w:w="7612" w:type="dxa"/>
        <w:jc w:val="left"/>
        <w:tblInd w:w="0" w:type="dxa"/>
        <w:tblLayout w:type="fixed"/>
        <w:tblCellMar>
          <w:top w:w="28" w:type="dxa"/>
          <w:left w:w="28" w:type="dxa"/>
          <w:bottom w:w="28" w:type="dxa"/>
          <w:right w:w="28" w:type="dxa"/>
        </w:tblCellMar>
      </w:tblPr>
      <w:tblGrid>
        <w:gridCol w:w="6656"/>
        <w:gridCol w:w="956"/>
      </w:tblGrid>
      <w:tr>
        <w:trPr/>
        <w:tc>
          <w:tcPr>
            <w:tcW w:w="66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656" w:type="dxa"/>
            <w:tcBorders/>
            <w:vAlign w:val="center"/>
          </w:tcPr>
          <w:p>
            <w:pPr>
              <w:pStyle w:val="TableContents"/>
              <w:bidi w:val="0"/>
              <w:spacing w:before="0" w:after="283"/>
              <w:ind w:left="490" w:right="0" w:firstLine="490"/>
              <w:jc w:val="left"/>
              <w:rPr/>
            </w:pPr>
            <w:hyperlink w:anchor="report_independent_registered_public_acc">
              <w:r>
                <w:rPr>
                  <w:rStyle w:val="InternetLink"/>
                  <w:rFonts w:ascii="Times New Roman" w:hAnsi="Times New Roman"/>
                  <w:color w:val="0563C1"/>
                  <w:sz w:val="20"/>
                  <w:u w:val="single"/>
                </w:rPr>
                <w:t>Report of Independent Registered Public Accounting Firm (PCAOB ID 42)</w:t>
              </w:r>
            </w:hyperlink>
          </w:p>
        </w:tc>
        <w:tc>
          <w:tcPr>
            <w:tcW w:w="956"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109</w:t>
            </w:r>
          </w:p>
        </w:tc>
      </w:tr>
      <w:tr>
        <w:trPr/>
        <w:tc>
          <w:tcPr>
            <w:tcW w:w="6656" w:type="dxa"/>
            <w:tcBorders/>
            <w:vAlign w:val="center"/>
          </w:tcPr>
          <w:p>
            <w:pPr>
              <w:pStyle w:val="TableContents"/>
              <w:bidi w:val="0"/>
              <w:spacing w:before="0" w:after="283"/>
              <w:ind w:left="490" w:right="0" w:firstLine="490"/>
              <w:jc w:val="left"/>
              <w:rPr/>
            </w:pPr>
            <w:hyperlink w:anchor="consolidated_balance_sheets">
              <w:r>
                <w:rPr>
                  <w:rStyle w:val="InternetLink"/>
                  <w:rFonts w:ascii="Times New Roman" w:hAnsi="Times New Roman"/>
                  <w:color w:val="0563C1"/>
                  <w:sz w:val="20"/>
                  <w:u w:val="single"/>
                </w:rPr>
                <w:t>Consolidated Balance Sheets</w:t>
              </w:r>
            </w:hyperlink>
          </w:p>
        </w:tc>
        <w:tc>
          <w:tcPr>
            <w:tcW w:w="956"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110</w:t>
            </w:r>
          </w:p>
        </w:tc>
      </w:tr>
      <w:tr>
        <w:trPr/>
        <w:tc>
          <w:tcPr>
            <w:tcW w:w="6656" w:type="dxa"/>
            <w:tcBorders/>
            <w:vAlign w:val="center"/>
          </w:tcPr>
          <w:p>
            <w:pPr>
              <w:pStyle w:val="TableContents"/>
              <w:bidi w:val="0"/>
              <w:spacing w:before="0" w:after="283"/>
              <w:ind w:left="490" w:right="0" w:firstLine="490"/>
              <w:jc w:val="left"/>
              <w:rPr/>
            </w:pPr>
            <w:hyperlink w:anchor="consolidated_statements_operations_compr">
              <w:r>
                <w:rPr>
                  <w:rStyle w:val="InternetLink"/>
                  <w:rFonts w:ascii="Times New Roman" w:hAnsi="Times New Roman"/>
                  <w:color w:val="0563C1"/>
                  <w:sz w:val="20"/>
                  <w:u w:val="single"/>
                </w:rPr>
                <w:t>Consolidated Statements of Operations and Comprehensive Loss</w:t>
              </w:r>
            </w:hyperlink>
          </w:p>
        </w:tc>
        <w:tc>
          <w:tcPr>
            <w:tcW w:w="956"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111</w:t>
            </w:r>
          </w:p>
        </w:tc>
      </w:tr>
      <w:tr>
        <w:trPr/>
        <w:tc>
          <w:tcPr>
            <w:tcW w:w="6656" w:type="dxa"/>
            <w:tcBorders/>
            <w:vAlign w:val="center"/>
          </w:tcPr>
          <w:p>
            <w:pPr>
              <w:pStyle w:val="TableContents"/>
              <w:bidi w:val="0"/>
              <w:spacing w:before="0" w:after="283"/>
              <w:ind w:left="490" w:right="0" w:firstLine="490"/>
              <w:jc w:val="left"/>
              <w:rPr/>
            </w:pPr>
            <w:hyperlink w:anchor="consolidated_statements_changes_in_redee">
              <w:r>
                <w:rPr>
                  <w:rStyle w:val="InternetLink"/>
                  <w:rFonts w:ascii="Times New Roman" w:hAnsi="Times New Roman"/>
                  <w:color w:val="0563C1"/>
                  <w:sz w:val="20"/>
                  <w:u w:val="single"/>
                </w:rPr>
                <w:t>Consolidated Statements of Changes in Stockholders’ Equity</w:t>
              </w:r>
            </w:hyperlink>
            <w:hyperlink w:anchor="consolidated_statements_changes_in_redee">
              <w:r>
                <w:rPr>
                  <w:rStyle w:val="InternetLink"/>
                  <w:rFonts w:ascii="Times New Roman" w:hAnsi="Times New Roman"/>
                  <w:color w:val="0563C1"/>
                  <w:sz w:val="20"/>
                </w:rPr>
                <w:t xml:space="preserve"> </w:t>
              </w:r>
            </w:hyperlink>
          </w:p>
        </w:tc>
        <w:tc>
          <w:tcPr>
            <w:tcW w:w="956"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112</w:t>
            </w:r>
          </w:p>
        </w:tc>
      </w:tr>
      <w:tr>
        <w:trPr/>
        <w:tc>
          <w:tcPr>
            <w:tcW w:w="6656" w:type="dxa"/>
            <w:tcBorders/>
            <w:vAlign w:val="center"/>
          </w:tcPr>
          <w:p>
            <w:pPr>
              <w:pStyle w:val="TableContents"/>
              <w:bidi w:val="0"/>
              <w:spacing w:before="0" w:after="283"/>
              <w:ind w:left="490" w:right="0" w:firstLine="490"/>
              <w:jc w:val="left"/>
              <w:rPr/>
            </w:pPr>
            <w:hyperlink w:anchor="consolidated_statements_cash_flows">
              <w:r>
                <w:rPr>
                  <w:rStyle w:val="InternetLink"/>
                  <w:rFonts w:ascii="Times New Roman" w:hAnsi="Times New Roman"/>
                  <w:color w:val="0563C1"/>
                  <w:sz w:val="20"/>
                  <w:u w:val="single"/>
                </w:rPr>
                <w:t>Consolidated Statements of Cash Flows</w:t>
              </w:r>
            </w:hyperlink>
          </w:p>
        </w:tc>
        <w:tc>
          <w:tcPr>
            <w:tcW w:w="956" w:type="dxa"/>
            <w:tcBorders/>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113</w:t>
            </w:r>
          </w:p>
        </w:tc>
      </w:tr>
      <w:tr>
        <w:trPr/>
        <w:tc>
          <w:tcPr>
            <w:tcW w:w="6656" w:type="dxa"/>
            <w:tcBorders/>
            <w:vAlign w:val="center"/>
          </w:tcPr>
          <w:p>
            <w:pPr>
              <w:pStyle w:val="TableContents"/>
              <w:bidi w:val="0"/>
              <w:spacing w:before="0" w:after="283"/>
              <w:ind w:left="490" w:right="0" w:firstLine="490"/>
              <w:jc w:val="left"/>
              <w:rPr/>
            </w:pPr>
            <w:hyperlink w:anchor="notes_to_consolidated_financial_statemen">
              <w:r>
                <w:rPr>
                  <w:rStyle w:val="InternetLink"/>
                  <w:rFonts w:ascii="Times New Roman" w:hAnsi="Times New Roman"/>
                  <w:color w:val="0563C1"/>
                  <w:sz w:val="20"/>
                  <w:u w:val="single"/>
                </w:rPr>
                <w:t>Notes to Consolidated Financial Statements</w:t>
              </w:r>
            </w:hyperlink>
          </w:p>
        </w:tc>
        <w:tc>
          <w:tcPr>
            <w:tcW w:w="9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115</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other schedules have been omitted because they are not required, not applicable, or the required information is otherwise included.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in the Exhibit Index below are filed or incorporated by reference as part of this Annual Report. </w:t>
      </w:r>
    </w:p>
    <w:p>
      <w:pPr>
        <w:pStyle w:val="TextBody"/>
        <w:bidi w:val="0"/>
        <w:spacing w:before="360" w:after="283"/>
        <w:jc w:val="left"/>
        <w:rPr>
          <w:rFonts w:ascii="Times New Roman" w:hAnsi="Times New Roman"/>
          <w:b/>
          <w:color w:val="000000"/>
          <w:sz w:val="20"/>
        </w:rPr>
      </w:pPr>
      <w:bookmarkStart w:id="42" w:name="item_16_form_10k_summary"/>
      <w:bookmarkEnd w:id="42"/>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6457"/>
        <w:gridCol w:w="540"/>
        <w:gridCol w:w="787"/>
        <w:gridCol w:w="691"/>
        <w:gridCol w:w="781"/>
        <w:gridCol w:w="193"/>
      </w:tblGrid>
      <w:tr>
        <w:trPr/>
        <w:tc>
          <w:tcPr>
            <w:tcW w:w="756" w:type="dxa"/>
            <w:tcBorders/>
            <w:vAlign w:val="center"/>
          </w:tcPr>
          <w:p>
            <w:pPr>
              <w:pStyle w:val="TableContents"/>
              <w:bidi w:val="0"/>
              <w:spacing w:before="0" w:after="283"/>
              <w:jc w:val="left"/>
              <w:rPr>
                <w:sz w:val="4"/>
                <w:szCs w:val="4"/>
              </w:rPr>
            </w:pPr>
            <w:r>
              <w:rPr>
                <w:sz w:val="4"/>
                <w:szCs w:val="4"/>
              </w:rPr>
            </w:r>
          </w:p>
        </w:tc>
        <w:tc>
          <w:tcPr>
            <w:tcW w:w="64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sz w:val="4"/>
                <w:szCs w:val="4"/>
              </w:rPr>
            </w:pPr>
            <w:r>
              <w:rPr>
                <w:sz w:val="4"/>
                <w:szCs w:val="4"/>
              </w:rPr>
            </w:r>
          </w:p>
        </w:tc>
        <w:tc>
          <w:tcPr>
            <w:tcW w:w="6457" w:type="dxa"/>
            <w:tcBorders/>
            <w:vAlign w:val="center"/>
          </w:tcPr>
          <w:p>
            <w:pPr>
              <w:pStyle w:val="TableContents"/>
              <w:bidi w:val="0"/>
              <w:spacing w:before="0" w:after="283"/>
              <w:jc w:val="left"/>
              <w:rPr>
                <w:sz w:val="4"/>
                <w:szCs w:val="4"/>
              </w:rPr>
            </w:pPr>
            <w:r>
              <w:rPr>
                <w:sz w:val="4"/>
                <w:szCs w:val="4"/>
              </w:rPr>
            </w:r>
          </w:p>
        </w:tc>
        <w:tc>
          <w:tcPr>
            <w:tcW w:w="2018" w:type="dxa"/>
            <w:gridSpan w:val="3"/>
            <w:tcBorders>
              <w:bottom w:val="single" w:sz="6" w:space="0" w:color="000000"/>
            </w:tcBorders>
            <w:tcMar>
              <w:top w:w="0" w:type="dxa"/>
              <w:left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Incorporated by Reference</w:t>
            </w:r>
          </w:p>
        </w:tc>
        <w:tc>
          <w:tcPr>
            <w:tcW w:w="781" w:type="dxa"/>
            <w:vMerge w:val="restart"/>
            <w:tcBorders>
              <w:bottom w:val="single" w:sz="6" w:space="0" w:color="000000"/>
            </w:tcBorders>
            <w:tcMar>
              <w:top w:w="0" w:type="dxa"/>
              <w:left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Filed</w:t>
              <w:br/>
              <w:t>Herewith</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645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54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8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6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781" w:type="dxa"/>
            <w:vMerge w:val="continue"/>
            <w:tcBorders>
              <w:bottom w:val="single" w:sz="6" w:space="0" w:color="000000"/>
            </w:tcBorders>
            <w:tcMar>
              <w:top w:w="0" w:type="dxa"/>
              <w:left w:w="0" w:type="dxa"/>
              <w:right w:w="0" w:type="dxa"/>
            </w:tcMar>
            <w:vAlign w:val="center"/>
          </w:tcPr>
          <w:p>
            <w:pPr>
              <w:pStyle w:val="Normal"/>
              <w:bidi w:val="0"/>
              <w:jc w:val="left"/>
              <w:rPr/>
            </w:pPr>
            <w:r>
              <w:rPr/>
            </w:r>
          </w:p>
        </w:tc>
        <w:tc>
          <w:tcPr>
            <w:tcW w:w="19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6457" w:type="dxa"/>
            <w:tcBorders/>
            <w:vAlign w:val="center"/>
          </w:tcPr>
          <w:p>
            <w:pPr>
              <w:pStyle w:val="TableContents"/>
              <w:bidi w:val="0"/>
              <w:spacing w:before="0" w:after="283"/>
              <w:jc w:val="left"/>
              <w:rPr/>
            </w:pPr>
            <w:hyperlink r:id="rId11">
              <w:r>
                <w:rPr>
                  <w:rStyle w:val="InternetLink"/>
                  <w:rFonts w:ascii="Times New Roman" w:hAnsi="Times New Roman"/>
                  <w:color w:val="0563C1"/>
                  <w:sz w:val="20"/>
                  <w:u w:val="single"/>
                </w:rPr>
                <w:t>Amended and Restated Certificate of Incorporation.</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6457" w:type="dxa"/>
            <w:tcBorders/>
            <w:vAlign w:val="center"/>
          </w:tcPr>
          <w:p>
            <w:pPr>
              <w:pStyle w:val="TableContents"/>
              <w:bidi w:val="0"/>
              <w:spacing w:before="0" w:after="283"/>
              <w:jc w:val="left"/>
              <w:rPr/>
            </w:pPr>
            <w:hyperlink r:id="rId12">
              <w:r>
                <w:rPr>
                  <w:rStyle w:val="InternetLink"/>
                  <w:rFonts w:ascii="Times New Roman" w:hAnsi="Times New Roman"/>
                  <w:color w:val="0563C1"/>
                  <w:sz w:val="20"/>
                  <w:u w:val="single"/>
                </w:rPr>
                <w:t>Amended and Restated Bylaws.</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6457" w:type="dxa"/>
            <w:tcBorders/>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13">
              <w:r>
                <w:rPr>
                  <w:rStyle w:val="InternetLink"/>
                  <w:rFonts w:ascii="Times New Roman" w:hAnsi="Times New Roman"/>
                  <w:color w:val="0563C1"/>
                  <w:sz w:val="20"/>
                  <w:u w:val="single"/>
                </w:rPr>
                <w:t>3.1</w:t>
              </w:r>
            </w:hyperlink>
            <w:r>
              <w:rPr>
                <w:rFonts w:ascii="Times New Roman" w:hAnsi="Times New Roman"/>
                <w:color w:val="000000"/>
                <w:sz w:val="20"/>
              </w:rPr>
              <w:t xml:space="preserve"> and </w:t>
            </w:r>
            <w:hyperlink r:id="rId14">
              <w:r>
                <w:rPr>
                  <w:rStyle w:val="InternetLink"/>
                  <w:rFonts w:ascii="Times New Roman" w:hAnsi="Times New Roman"/>
                  <w:color w:val="0563C1"/>
                  <w:sz w:val="20"/>
                  <w:u w:val="single"/>
                </w:rPr>
                <w:t>3.2</w:t>
              </w:r>
            </w:hyperlink>
            <w:r>
              <w:rPr>
                <w:rFonts w:ascii="Times New Roman" w:hAnsi="Times New Roman"/>
                <w:color w:val="000000"/>
                <w:sz w:val="20"/>
              </w:rPr>
              <w:t>.</w:t>
            </w:r>
          </w:p>
        </w:tc>
        <w:tc>
          <w:tcPr>
            <w:tcW w:w="540" w:type="dxa"/>
            <w:tcBorders/>
            <w:vAlign w:val="center"/>
          </w:tcPr>
          <w:p>
            <w:pPr>
              <w:pStyle w:val="TableContents"/>
              <w:bidi w:val="0"/>
              <w:spacing w:before="0" w:after="283"/>
              <w:jc w:val="center"/>
              <w:rPr/>
            </w:pPr>
            <w:r>
              <w:rPr/>
              <w:t> </w:t>
            </w:r>
          </w:p>
        </w:tc>
        <w:tc>
          <w:tcPr>
            <w:tcW w:w="787"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6457" w:type="dxa"/>
            <w:tcBorders/>
            <w:vAlign w:val="center"/>
          </w:tcPr>
          <w:p>
            <w:pPr>
              <w:pStyle w:val="TableContents"/>
              <w:bidi w:val="0"/>
              <w:spacing w:before="0" w:after="283"/>
              <w:jc w:val="left"/>
              <w:rPr/>
            </w:pPr>
            <w:hyperlink r:id="rId15">
              <w:r>
                <w:rPr>
                  <w:rStyle w:val="InternetLink"/>
                  <w:rFonts w:ascii="Times New Roman" w:hAnsi="Times New Roman"/>
                  <w:color w:val="0563C1"/>
                  <w:sz w:val="20"/>
                  <w:u w:val="single"/>
                </w:rPr>
                <w:t>Form of Common Stock Certificate.</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6457" w:type="dxa"/>
            <w:tcBorders/>
            <w:vAlign w:val="center"/>
          </w:tcPr>
          <w:p>
            <w:pPr>
              <w:pStyle w:val="TableContents"/>
              <w:bidi w:val="0"/>
              <w:spacing w:before="0" w:after="283"/>
              <w:jc w:val="left"/>
              <w:rPr/>
            </w:pPr>
            <w:hyperlink r:id="rId16">
              <w:r>
                <w:rPr>
                  <w:rStyle w:val="InternetLink"/>
                  <w:rFonts w:ascii="Times New Roman" w:hAnsi="Times New Roman"/>
                  <w:color w:val="0563C1"/>
                  <w:sz w:val="20"/>
                  <w:u w:val="single"/>
                </w:rPr>
                <w:t>Description of Securities.</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3/23/2021</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781" w:type="dxa"/>
            <w:tcBorders/>
            <w:vAlign w:val="center"/>
          </w:tcPr>
          <w:p>
            <w:pPr>
              <w:pStyle w:val="TableContents"/>
              <w:bidi w:val="0"/>
              <w:spacing w:before="0" w:after="283"/>
              <w:jc w:val="center"/>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6457" w:type="dxa"/>
            <w:tcBorders/>
            <w:vAlign w:val="center"/>
          </w:tcPr>
          <w:p>
            <w:pPr>
              <w:pStyle w:val="TableContents"/>
              <w:bidi w:val="0"/>
              <w:spacing w:before="0" w:after="283"/>
              <w:jc w:val="left"/>
              <w:rPr/>
            </w:pPr>
            <w:hyperlink r:id="rId17">
              <w:r>
                <w:rPr>
                  <w:rStyle w:val="InternetLink"/>
                  <w:rFonts w:ascii="Times New Roman" w:hAnsi="Times New Roman"/>
                  <w:color w:val="0563C1"/>
                  <w:sz w:val="20"/>
                  <w:u w:val="single"/>
                </w:rPr>
                <w:t>Form of Pre-Funded Warrant</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6457" w:type="dxa"/>
            <w:tcBorders/>
            <w:vAlign w:val="center"/>
          </w:tcPr>
          <w:p>
            <w:pPr>
              <w:pStyle w:val="TableContents"/>
              <w:bidi w:val="0"/>
              <w:spacing w:before="0" w:after="283"/>
              <w:jc w:val="left"/>
              <w:rPr/>
            </w:pPr>
            <w:hyperlink r:id="rId18">
              <w:r>
                <w:rPr>
                  <w:rStyle w:val="InternetLink"/>
                  <w:rFonts w:ascii="Times New Roman" w:hAnsi="Times New Roman"/>
                  <w:color w:val="0563C1"/>
                  <w:sz w:val="20"/>
                  <w:u w:val="single"/>
                </w:rPr>
                <w:t>Form of Common Warrant</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10.1(a)</w:t>
            </w:r>
          </w:p>
        </w:tc>
        <w:tc>
          <w:tcPr>
            <w:tcW w:w="6457" w:type="dxa"/>
            <w:tcBorders/>
            <w:vAlign w:val="center"/>
          </w:tcPr>
          <w:p>
            <w:pPr>
              <w:pStyle w:val="TableContents"/>
              <w:bidi w:val="0"/>
              <w:spacing w:before="0" w:after="283"/>
              <w:jc w:val="left"/>
              <w:rPr/>
            </w:pPr>
            <w:hyperlink r:id="rId19">
              <w:r>
                <w:rPr>
                  <w:rStyle w:val="InternetLink"/>
                  <w:rFonts w:ascii="Times New Roman" w:hAnsi="Times New Roman"/>
                  <w:color w:val="0563C1"/>
                  <w:sz w:val="20"/>
                  <w:u w:val="single"/>
                </w:rPr>
                <w:t>Aligos Therapeutics/Emory University License Agreement by and between Aligos Therapeutics, Inc. and Emory University, dated June 26, 2018.</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10.1(a)</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10.1(b)</w:t>
            </w:r>
          </w:p>
        </w:tc>
        <w:tc>
          <w:tcPr>
            <w:tcW w:w="6457" w:type="dxa"/>
            <w:tcBorders/>
            <w:vAlign w:val="center"/>
          </w:tcPr>
          <w:p>
            <w:pPr>
              <w:pStyle w:val="TableContents"/>
              <w:bidi w:val="0"/>
              <w:spacing w:before="0" w:after="283"/>
              <w:jc w:val="left"/>
              <w:rPr/>
            </w:pPr>
            <w:hyperlink r:id="rId20">
              <w:r>
                <w:rPr>
                  <w:rStyle w:val="InternetLink"/>
                  <w:rFonts w:ascii="Times New Roman" w:hAnsi="Times New Roman"/>
                  <w:color w:val="0563C1"/>
                  <w:sz w:val="20"/>
                  <w:u w:val="single"/>
                </w:rPr>
                <w:t>First Amendment to License Agreement by and between Aligos Therapeutics, Inc. and Emory University, dated June 18, 2020.</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10.1(b)</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10.2(a)</w:t>
            </w:r>
          </w:p>
        </w:tc>
        <w:tc>
          <w:tcPr>
            <w:tcW w:w="6457" w:type="dxa"/>
            <w:tcBorders/>
            <w:vAlign w:val="center"/>
          </w:tcPr>
          <w:p>
            <w:pPr>
              <w:pStyle w:val="TableContents"/>
              <w:bidi w:val="0"/>
              <w:spacing w:before="0" w:after="283"/>
              <w:jc w:val="left"/>
              <w:rPr/>
            </w:pPr>
            <w:hyperlink r:id="rId21">
              <w:r>
                <w:rPr>
                  <w:rStyle w:val="InternetLink"/>
                  <w:rFonts w:ascii="Times New Roman" w:hAnsi="Times New Roman"/>
                  <w:color w:val="0563C1"/>
                  <w:sz w:val="20"/>
                  <w:u w:val="single"/>
                </w:rPr>
                <w:t>License Agreement by and between Aligos Therapeutics, Inc. and Luxna Biotech Co., Ltd., dated December 19, 2018.</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10.2(a)</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10.2(b)</w:t>
            </w:r>
          </w:p>
        </w:tc>
        <w:tc>
          <w:tcPr>
            <w:tcW w:w="6457" w:type="dxa"/>
            <w:tcBorders/>
            <w:vAlign w:val="center"/>
          </w:tcPr>
          <w:p>
            <w:pPr>
              <w:pStyle w:val="TableContents"/>
              <w:bidi w:val="0"/>
              <w:spacing w:before="0" w:after="283"/>
              <w:jc w:val="left"/>
              <w:rPr/>
            </w:pPr>
            <w:hyperlink r:id="rId22">
              <w:r>
                <w:rPr>
                  <w:rStyle w:val="InternetLink"/>
                  <w:rFonts w:ascii="Times New Roman" w:hAnsi="Times New Roman"/>
                  <w:color w:val="0563C1"/>
                  <w:sz w:val="20"/>
                  <w:u w:val="single"/>
                </w:rPr>
                <w:t>Amendment to License Agreement by and between Aligos Therapeutics, Inc. and Luxna Biotech Co., Ltd., dated April 8, 2020.</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10.2(b)</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6457" w:type="dxa"/>
            <w:tcBorders/>
            <w:vAlign w:val="center"/>
          </w:tcPr>
          <w:p>
            <w:pPr>
              <w:pStyle w:val="TableContents"/>
              <w:bidi w:val="0"/>
              <w:spacing w:before="0" w:after="283"/>
              <w:jc w:val="left"/>
              <w:rPr/>
            </w:pPr>
            <w:hyperlink r:id="rId23">
              <w:r>
                <w:rPr>
                  <w:rStyle w:val="InternetLink"/>
                  <w:rFonts w:ascii="Times New Roman" w:hAnsi="Times New Roman"/>
                  <w:color w:val="0563C1"/>
                  <w:sz w:val="20"/>
                  <w:u w:val="single"/>
                </w:rPr>
                <w:t>Lease between Aligos Therapeutics, Inc. and Britannia Biotech Gateway Limited Partnership, dated June 21, 2018.</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457" w:type="dxa"/>
            <w:tcBorders/>
            <w:vAlign w:val="center"/>
          </w:tcPr>
          <w:p>
            <w:pPr>
              <w:pStyle w:val="TableContents"/>
              <w:bidi w:val="0"/>
              <w:spacing w:before="0" w:after="283"/>
              <w:jc w:val="left"/>
              <w:rPr/>
            </w:pPr>
            <w:hyperlink r:id="rId24">
              <w:r>
                <w:rPr>
                  <w:rStyle w:val="InternetLink"/>
                  <w:rFonts w:ascii="Times New Roman" w:hAnsi="Times New Roman"/>
                  <w:color w:val="0563C1"/>
                  <w:sz w:val="20"/>
                  <w:u w:val="single"/>
                </w:rPr>
                <w:t>Amended and Restated Investors’ Rights Agreement dated October 9, 2020.</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10.5(a)#</w:t>
            </w:r>
          </w:p>
        </w:tc>
        <w:tc>
          <w:tcPr>
            <w:tcW w:w="6457" w:type="dxa"/>
            <w:tcBorders/>
            <w:vAlign w:val="center"/>
          </w:tcPr>
          <w:p>
            <w:pPr>
              <w:pStyle w:val="TableContents"/>
              <w:bidi w:val="0"/>
              <w:spacing w:before="0" w:after="283"/>
              <w:jc w:val="left"/>
              <w:rPr/>
            </w:pPr>
            <w:hyperlink r:id="rId25">
              <w:r>
                <w:rPr>
                  <w:rStyle w:val="InternetLink"/>
                  <w:rFonts w:ascii="Times New Roman" w:hAnsi="Times New Roman"/>
                  <w:color w:val="0563C1"/>
                  <w:sz w:val="20"/>
                  <w:u w:val="single"/>
                </w:rPr>
                <w:t>2018 Equity Incentive Plan, as amended.</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10.5(a)</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10.5(b)#</w:t>
            </w:r>
          </w:p>
        </w:tc>
        <w:tc>
          <w:tcPr>
            <w:tcW w:w="6457" w:type="dxa"/>
            <w:tcBorders/>
            <w:vAlign w:val="center"/>
          </w:tcPr>
          <w:p>
            <w:pPr>
              <w:pStyle w:val="TableContents"/>
              <w:bidi w:val="0"/>
              <w:spacing w:before="0" w:after="283"/>
              <w:jc w:val="left"/>
              <w:rPr/>
            </w:pPr>
            <w:hyperlink r:id="rId26">
              <w:r>
                <w:rPr>
                  <w:rStyle w:val="InternetLink"/>
                  <w:rFonts w:ascii="Times New Roman" w:hAnsi="Times New Roman"/>
                  <w:color w:val="0563C1"/>
                  <w:sz w:val="20"/>
                  <w:u w:val="single"/>
                </w:rPr>
                <w:t>Form of Stock Option Grant Notice and Stock Option Agreement under 2018 Equity Incentive Plan, as amended.</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10.5(b)</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10.5(c)#</w:t>
            </w:r>
          </w:p>
        </w:tc>
        <w:tc>
          <w:tcPr>
            <w:tcW w:w="6457" w:type="dxa"/>
            <w:tcBorders/>
            <w:vAlign w:val="center"/>
          </w:tcPr>
          <w:p>
            <w:pPr>
              <w:pStyle w:val="TableContents"/>
              <w:bidi w:val="0"/>
              <w:spacing w:before="0" w:after="283"/>
              <w:jc w:val="left"/>
              <w:rPr/>
            </w:pPr>
            <w:hyperlink r:id="rId27">
              <w:r>
                <w:rPr>
                  <w:rStyle w:val="InternetLink"/>
                  <w:rFonts w:ascii="Times New Roman" w:hAnsi="Times New Roman"/>
                  <w:color w:val="0563C1"/>
                  <w:sz w:val="20"/>
                  <w:u w:val="single"/>
                </w:rPr>
                <w:t>Form of Early Exercise Stock Option Grant Notice and Stock Option Agreement under 2018 Equity Incentive Plan, as amended.</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10.5(c)</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10.5(d)#</w:t>
            </w:r>
          </w:p>
        </w:tc>
        <w:tc>
          <w:tcPr>
            <w:tcW w:w="6457" w:type="dxa"/>
            <w:tcBorders/>
            <w:vAlign w:val="center"/>
          </w:tcPr>
          <w:p>
            <w:pPr>
              <w:pStyle w:val="TableContents"/>
              <w:bidi w:val="0"/>
              <w:spacing w:before="0" w:after="283"/>
              <w:jc w:val="left"/>
              <w:rPr/>
            </w:pPr>
            <w:hyperlink r:id="rId28">
              <w:r>
                <w:rPr>
                  <w:rStyle w:val="InternetLink"/>
                  <w:rFonts w:ascii="Times New Roman" w:hAnsi="Times New Roman"/>
                  <w:color w:val="0563C1"/>
                  <w:sz w:val="20"/>
                  <w:u w:val="single"/>
                </w:rPr>
                <w:t>Form of International Stock Option Grant Notice and Stock Option Agreement under 2018 Equity Incentive Plan, as amended.</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10.5(d)</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10.6(a)#</w:t>
            </w:r>
          </w:p>
        </w:tc>
        <w:tc>
          <w:tcPr>
            <w:tcW w:w="6457" w:type="dxa"/>
            <w:tcBorders/>
            <w:vAlign w:val="center"/>
          </w:tcPr>
          <w:p>
            <w:pPr>
              <w:pStyle w:val="TableContents"/>
              <w:bidi w:val="0"/>
              <w:spacing w:before="0" w:after="283"/>
              <w:jc w:val="left"/>
              <w:rPr/>
            </w:pPr>
            <w:hyperlink r:id="rId29">
              <w:r>
                <w:rPr>
                  <w:rStyle w:val="InternetLink"/>
                  <w:rFonts w:ascii="Times New Roman" w:hAnsi="Times New Roman"/>
                  <w:color w:val="0563C1"/>
                  <w:sz w:val="20"/>
                  <w:u w:val="single"/>
                </w:rPr>
                <w:t>2020 Incentive Award Plan.</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10.6(a)</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10.6(b)#</w:t>
            </w:r>
          </w:p>
        </w:tc>
        <w:tc>
          <w:tcPr>
            <w:tcW w:w="6457" w:type="dxa"/>
            <w:tcBorders/>
            <w:vAlign w:val="center"/>
          </w:tcPr>
          <w:p>
            <w:pPr>
              <w:pStyle w:val="TableContents"/>
              <w:bidi w:val="0"/>
              <w:spacing w:before="0" w:after="283"/>
              <w:jc w:val="left"/>
              <w:rPr/>
            </w:pPr>
            <w:hyperlink r:id="rId30">
              <w:r>
                <w:rPr>
                  <w:rStyle w:val="InternetLink"/>
                  <w:rFonts w:ascii="Times New Roman" w:hAnsi="Times New Roman"/>
                  <w:color w:val="0563C1"/>
                  <w:sz w:val="20"/>
                  <w:u w:val="single"/>
                </w:rPr>
                <w:t>Form of Stock Option Grant Notice and Stock Option Agreement under the 2020 Incentive Award Plan.</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10.6(b)</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10.6(c)#</w:t>
            </w:r>
          </w:p>
        </w:tc>
        <w:tc>
          <w:tcPr>
            <w:tcW w:w="6457" w:type="dxa"/>
            <w:tcBorders/>
            <w:vAlign w:val="center"/>
          </w:tcPr>
          <w:p>
            <w:pPr>
              <w:pStyle w:val="TableContents"/>
              <w:bidi w:val="0"/>
              <w:spacing w:before="0" w:after="283"/>
              <w:jc w:val="left"/>
              <w:rPr/>
            </w:pPr>
            <w:hyperlink r:id="rId31">
              <w:r>
                <w:rPr>
                  <w:rStyle w:val="InternetLink"/>
                  <w:rFonts w:ascii="Times New Roman" w:hAnsi="Times New Roman"/>
                  <w:color w:val="0563C1"/>
                  <w:sz w:val="20"/>
                  <w:u w:val="single"/>
                </w:rPr>
                <w:t>Form of Restricted Stock Award Agreement under the 2020 Incentive Award Plan.</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10.6(c)</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10.6(d)#</w:t>
            </w:r>
          </w:p>
        </w:tc>
        <w:tc>
          <w:tcPr>
            <w:tcW w:w="6457" w:type="dxa"/>
            <w:tcBorders/>
            <w:vAlign w:val="center"/>
          </w:tcPr>
          <w:p>
            <w:pPr>
              <w:pStyle w:val="TableContents"/>
              <w:bidi w:val="0"/>
              <w:spacing w:before="0" w:after="283"/>
              <w:jc w:val="left"/>
              <w:rPr/>
            </w:pPr>
            <w:hyperlink r:id="rId32">
              <w:r>
                <w:rPr>
                  <w:rStyle w:val="InternetLink"/>
                  <w:rFonts w:ascii="Times New Roman" w:hAnsi="Times New Roman"/>
                  <w:color w:val="0563C1"/>
                  <w:sz w:val="20"/>
                  <w:u w:val="single"/>
                </w:rPr>
                <w:t>Form of Restricted Stock Unit Award Grant Notice under the 2020 Incentive Award Plan.</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10.6(d)</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457" w:type="dxa"/>
            <w:tcBorders/>
            <w:vAlign w:val="center"/>
          </w:tcPr>
          <w:p>
            <w:pPr>
              <w:pStyle w:val="TableContents"/>
              <w:bidi w:val="0"/>
              <w:spacing w:before="0" w:after="283"/>
              <w:jc w:val="left"/>
              <w:rPr/>
            </w:pPr>
            <w:hyperlink r:id="rId33">
              <w:r>
                <w:rPr>
                  <w:rStyle w:val="InternetLink"/>
                  <w:rFonts w:ascii="Times New Roman" w:hAnsi="Times New Roman"/>
                  <w:color w:val="0563C1"/>
                  <w:sz w:val="20"/>
                  <w:u w:val="single"/>
                </w:rPr>
                <w:t>2020 Employee Stock Purchase Plan.</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6457" w:type="dxa"/>
            <w:tcBorders/>
            <w:vAlign w:val="center"/>
          </w:tcPr>
          <w:p>
            <w:pPr>
              <w:pStyle w:val="TableContents"/>
              <w:bidi w:val="0"/>
              <w:spacing w:before="0" w:after="283"/>
              <w:jc w:val="left"/>
              <w:rPr/>
            </w:pPr>
            <w:hyperlink r:id="rId34">
              <w:r>
                <w:rPr>
                  <w:rStyle w:val="InternetLink"/>
                  <w:rFonts w:ascii="Times New Roman" w:hAnsi="Times New Roman"/>
                  <w:color w:val="0563C1"/>
                  <w:sz w:val="20"/>
                  <w:u w:val="single"/>
                </w:rPr>
                <w:t>Form of Indemnification Agreement for directors and officers.</w:t>
              </w:r>
            </w:hyperlink>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10/9/2020</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781"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10.9#</w:t>
            </w:r>
          </w:p>
          <w:p>
            <w:pPr>
              <w:pStyle w:val="TableContents"/>
              <w:bidi w:val="0"/>
              <w:spacing w:before="0" w:after="283"/>
              <w:jc w:val="left"/>
              <w:rPr/>
            </w:pPr>
            <w:r>
              <w:rPr/>
              <w:t> </w:t>
            </w:r>
          </w:p>
        </w:tc>
        <w:tc>
          <w:tcPr>
            <w:tcW w:w="6457" w:type="dxa"/>
            <w:tcBorders/>
            <w:vAlign w:val="center"/>
          </w:tcPr>
          <w:p>
            <w:pPr>
              <w:pStyle w:val="TableContents"/>
              <w:bidi w:val="0"/>
              <w:spacing w:before="0" w:after="283"/>
              <w:jc w:val="left"/>
              <w:rPr/>
            </w:pPr>
            <w:hyperlink r:id="rId35">
              <w:r>
                <w:rPr>
                  <w:rStyle w:val="InternetLink"/>
                  <w:rFonts w:ascii="Times New Roman" w:hAnsi="Times New Roman"/>
                  <w:color w:val="0563C1"/>
                  <w:sz w:val="20"/>
                  <w:u w:val="single"/>
                </w:rPr>
                <w:t>Amended and Restated Employment Agreement, effective as of February 10, 2021, by and between the Company and Leonid Beigelman</w:t>
              </w:r>
            </w:hyperlink>
            <w:r>
              <w:rPr>
                <w:rFonts w:ascii="Times New Roman" w:hAnsi="Times New Roman"/>
                <w:color w:val="008FFF"/>
                <w:sz w:val="20"/>
              </w:rPr>
              <w:t>, Ph.D.</w:t>
            </w:r>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5/10/2021</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81" w:type="dxa"/>
            <w:tcBorders/>
            <w:vAlign w:val="center"/>
          </w:tcPr>
          <w:p>
            <w:pPr>
              <w:pStyle w:val="TableContents"/>
              <w:bidi w:val="0"/>
              <w:spacing w:before="0" w:after="283"/>
              <w:jc w:val="center"/>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6457" w:type="dxa"/>
            <w:tcBorders/>
            <w:vAlign w:val="center"/>
          </w:tcPr>
          <w:p>
            <w:pPr>
              <w:pStyle w:val="TableContents"/>
              <w:bidi w:val="0"/>
              <w:spacing w:before="0" w:after="283"/>
              <w:jc w:val="left"/>
              <w:rPr/>
            </w:pPr>
            <w:hyperlink r:id="rId36">
              <w:r>
                <w:rPr>
                  <w:rStyle w:val="InternetLink"/>
                  <w:rFonts w:ascii="Times New Roman" w:hAnsi="Times New Roman"/>
                  <w:color w:val="000080"/>
                  <w:sz w:val="20"/>
                  <w:u w:val="single"/>
                </w:rPr>
                <w:t>Amended and Restated Employment Agreement, effective as of February 10, 2021, by and between the Company and Lawrence M. Blatt</w:t>
              </w:r>
            </w:hyperlink>
            <w:r>
              <w:rPr>
                <w:rFonts w:ascii="Times New Roman" w:hAnsi="Times New Roman"/>
                <w:color w:val="0563C1"/>
                <w:sz w:val="20"/>
                <w:u w:val="single"/>
              </w:rPr>
              <w:t>, Ph.D.</w:t>
            </w:r>
          </w:p>
        </w:tc>
        <w:tc>
          <w:tcPr>
            <w:tcW w:w="5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5/10/2021</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81" w:type="dxa"/>
            <w:tcBorders/>
            <w:vAlign w:val="center"/>
          </w:tcPr>
          <w:p>
            <w:pPr>
              <w:pStyle w:val="TableContents"/>
              <w:bidi w:val="0"/>
              <w:spacing w:before="0" w:after="283"/>
              <w:jc w:val="center"/>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
        <w:gridCol w:w="7484"/>
        <w:gridCol w:w="429"/>
        <w:gridCol w:w="740"/>
        <w:gridCol w:w="571"/>
        <w:gridCol w:w="288"/>
      </w:tblGrid>
      <w:tr>
        <w:trPr/>
        <w:tc>
          <w:tcPr>
            <w:tcW w:w="693" w:type="dxa"/>
            <w:tcBorders/>
            <w:vAlign w:val="center"/>
          </w:tcPr>
          <w:p>
            <w:pPr>
              <w:pStyle w:val="TableContents"/>
              <w:bidi w:val="0"/>
              <w:spacing w:before="0" w:after="283"/>
              <w:jc w:val="left"/>
              <w:rPr>
                <w:sz w:val="4"/>
                <w:szCs w:val="4"/>
              </w:rPr>
            </w:pPr>
            <w:r>
              <w:rPr>
                <w:sz w:val="4"/>
                <w:szCs w:val="4"/>
              </w:rPr>
            </w:r>
          </w:p>
        </w:tc>
        <w:tc>
          <w:tcPr>
            <w:tcW w:w="7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7484" w:type="dxa"/>
            <w:tcBorders/>
            <w:vAlign w:val="center"/>
          </w:tcPr>
          <w:p>
            <w:pPr>
              <w:pStyle w:val="TableContents"/>
              <w:bidi w:val="0"/>
              <w:spacing w:before="0" w:after="283"/>
              <w:jc w:val="left"/>
              <w:rPr/>
            </w:pPr>
            <w:hyperlink r:id="rId37">
              <w:r>
                <w:rPr>
                  <w:rStyle w:val="InternetLink"/>
                  <w:rFonts w:ascii="Times New Roman" w:hAnsi="Times New Roman"/>
                  <w:color w:val="0563C1"/>
                  <w:sz w:val="20"/>
                  <w:u w:val="single"/>
                </w:rPr>
                <w:t>Employment Agreement by and between Aligos Therapeutics, Inc. and Julian Symons, D.Phil., effective as of May 14, 2019</w:t>
              </w:r>
            </w:hyperlink>
            <w:hyperlink r:id="rId38">
              <w:r>
                <w:rPr>
                  <w:rStyle w:val="InternetLink"/>
                  <w:rFonts w:ascii="Times New Roman" w:hAnsi="Times New Roman"/>
                  <w:color w:val="008FFF"/>
                  <w:sz w:val="20"/>
                  <w:u w:val="single"/>
                </w:rPr>
                <w:t>.</w:t>
              </w:r>
            </w:hyperlink>
          </w:p>
        </w:tc>
        <w:tc>
          <w:tcPr>
            <w:tcW w:w="42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5/10/2021</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288" w:type="dxa"/>
            <w:tcBorders/>
            <w:vAlign w:val="center"/>
          </w:tcPr>
          <w:p>
            <w:pPr>
              <w:pStyle w:val="TableContents"/>
              <w:bidi w:val="0"/>
              <w:spacing w:before="0" w:after="283"/>
              <w:jc w:val="center"/>
              <w:rPr/>
            </w:pPr>
            <w:r>
              <w:rPr/>
              <w:t> </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7484" w:type="dxa"/>
            <w:tcBorders/>
            <w:vAlign w:val="center"/>
          </w:tcPr>
          <w:p>
            <w:pPr>
              <w:pStyle w:val="TableContents"/>
              <w:bidi w:val="0"/>
              <w:spacing w:before="0" w:after="283"/>
              <w:jc w:val="left"/>
              <w:rPr/>
            </w:pPr>
            <w:hyperlink r:id="rId39">
              <w:r>
                <w:rPr>
                  <w:rStyle w:val="InternetLink"/>
                  <w:rFonts w:ascii="Times New Roman" w:hAnsi="Times New Roman"/>
                  <w:color w:val="0563C1"/>
                  <w:sz w:val="20"/>
                  <w:u w:val="single"/>
                </w:rPr>
                <w:t>Form of Change in Control and Severance Agreement.</w:t>
              </w:r>
            </w:hyperlink>
          </w:p>
        </w:tc>
        <w:tc>
          <w:tcPr>
            <w:tcW w:w="42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5/10/2021</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288" w:type="dxa"/>
            <w:tcBorders/>
            <w:vAlign w:val="center"/>
          </w:tcPr>
          <w:p>
            <w:pPr>
              <w:pStyle w:val="TableContents"/>
              <w:bidi w:val="0"/>
              <w:spacing w:before="0" w:after="283"/>
              <w:jc w:val="center"/>
              <w:rPr/>
            </w:pPr>
            <w:r>
              <w:rPr/>
              <w:t> </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7484" w:type="dxa"/>
            <w:tcBorders/>
            <w:vAlign w:val="center"/>
          </w:tcPr>
          <w:p>
            <w:pPr>
              <w:pStyle w:val="TableContents"/>
              <w:bidi w:val="0"/>
              <w:spacing w:before="0" w:after="283"/>
              <w:jc w:val="left"/>
              <w:rPr/>
            </w:pPr>
            <w:hyperlink r:id="rId40">
              <w:r>
                <w:rPr>
                  <w:rStyle w:val="InternetLink"/>
                  <w:rFonts w:ascii="Times New Roman" w:hAnsi="Times New Roman"/>
                  <w:color w:val="0563C1"/>
                  <w:sz w:val="20"/>
                  <w:u w:val="single"/>
                </w:rPr>
                <w:t>Lease Agreement between 601 &amp; 651 GATEWAY CENTER LP and ALIGOS THERAPEUTICS, INC., dated December 9, 2021</w:t>
              </w:r>
            </w:hyperlink>
          </w:p>
        </w:tc>
        <w:tc>
          <w:tcPr>
            <w:tcW w:w="42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3/10/2022</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288" w:type="dxa"/>
            <w:tcBorders/>
            <w:vAlign w:val="center"/>
          </w:tcPr>
          <w:p>
            <w:pPr>
              <w:pStyle w:val="TableContents"/>
              <w:bidi w:val="0"/>
              <w:spacing w:before="0" w:after="283"/>
              <w:jc w:val="center"/>
              <w:rPr/>
            </w:pPr>
            <w:r>
              <w:rPr/>
              <w:t> </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7484" w:type="dxa"/>
            <w:tcBorders/>
            <w:vAlign w:val="center"/>
          </w:tcPr>
          <w:p>
            <w:pPr>
              <w:pStyle w:val="TableContents"/>
              <w:bidi w:val="0"/>
              <w:spacing w:before="0" w:after="283"/>
              <w:jc w:val="left"/>
              <w:rPr/>
            </w:pPr>
            <w:hyperlink r:id="rId41">
              <w:r>
                <w:rPr>
                  <w:rStyle w:val="InternetLink"/>
                  <w:rFonts w:ascii="Times New Roman" w:hAnsi="Times New Roman"/>
                  <w:color w:val="0563C1"/>
                  <w:sz w:val="20"/>
                  <w:u w:val="single"/>
                </w:rPr>
                <w:t>Non-Employee Director Compensation Program</w:t>
              </w:r>
            </w:hyperlink>
          </w:p>
        </w:tc>
        <w:tc>
          <w:tcPr>
            <w:tcW w:w="42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5/4/2023</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288" w:type="dxa"/>
            <w:tcBorders/>
            <w:vAlign w:val="center"/>
          </w:tcPr>
          <w:p>
            <w:pPr>
              <w:pStyle w:val="TableContents"/>
              <w:bidi w:val="0"/>
              <w:spacing w:before="0" w:after="283"/>
              <w:jc w:val="center"/>
              <w:rPr/>
            </w:pPr>
            <w:r>
              <w:rPr/>
              <w:t> </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7484" w:type="dxa"/>
            <w:tcBorders/>
            <w:vAlign w:val="center"/>
          </w:tcPr>
          <w:p>
            <w:pPr>
              <w:pStyle w:val="TableContents"/>
              <w:bidi w:val="0"/>
              <w:spacing w:before="0" w:after="283"/>
              <w:jc w:val="left"/>
              <w:rPr/>
            </w:pPr>
            <w:hyperlink r:id="rId42">
              <w:r>
                <w:rPr>
                  <w:rStyle w:val="InternetLink"/>
                  <w:rFonts w:ascii="Times New Roman" w:hAnsi="Times New Roman"/>
                  <w:color w:val="0563C1"/>
                  <w:sz w:val="20"/>
                  <w:u w:val="single"/>
                </w:rPr>
                <w:t>Form of Securities Purchase Agreement, dated October 23, 2023, by and among the Company and the Purchasers.</w:t>
              </w:r>
            </w:hyperlink>
          </w:p>
        </w:tc>
        <w:tc>
          <w:tcPr>
            <w:tcW w:w="42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88" w:type="dxa"/>
            <w:tcBorders/>
            <w:vAlign w:val="center"/>
          </w:tcPr>
          <w:p>
            <w:pPr>
              <w:pStyle w:val="TableContents"/>
              <w:bidi w:val="0"/>
              <w:spacing w:before="0" w:after="283"/>
              <w:jc w:val="center"/>
              <w:rPr/>
            </w:pPr>
            <w:r>
              <w:rPr/>
              <w:t> </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7484" w:type="dxa"/>
            <w:tcBorders/>
            <w:vAlign w:val="center"/>
          </w:tcPr>
          <w:p>
            <w:pPr>
              <w:pStyle w:val="TableContents"/>
              <w:bidi w:val="0"/>
              <w:spacing w:before="0" w:after="283"/>
              <w:jc w:val="left"/>
              <w:rPr/>
            </w:pPr>
            <w:hyperlink w:anchor="algs-ex10_16.htm">
              <w:r>
                <w:rPr>
                  <w:rStyle w:val="InternetLink"/>
                  <w:rFonts w:ascii="Times New Roman" w:hAnsi="Times New Roman"/>
                  <w:color w:val="0563C1"/>
                  <w:sz w:val="20"/>
                  <w:u w:val="single"/>
                </w:rPr>
                <w:t>Amended and Restated Employment Agreement, effective as of December 1, 2020, by and between the Company and Matthew McClure</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7484" w:type="dxa"/>
            <w:tcBorders/>
            <w:vAlign w:val="center"/>
          </w:tcPr>
          <w:p>
            <w:pPr>
              <w:pStyle w:val="TableContents"/>
              <w:bidi w:val="0"/>
              <w:spacing w:before="0" w:after="283"/>
              <w:jc w:val="left"/>
              <w:rPr/>
            </w:pPr>
            <w:hyperlink w:anchor="algs-ex10_17.htm">
              <w:r>
                <w:rPr>
                  <w:rStyle w:val="InternetLink"/>
                  <w:rFonts w:ascii="Times New Roman" w:hAnsi="Times New Roman"/>
                  <w:color w:val="0563C1"/>
                  <w:sz w:val="20"/>
                  <w:u w:val="single"/>
                </w:rPr>
                <w:t>Amended and Restated Employment Agreement, effective as of December 1, 2020, by and between the Company and Lesley Calhoun</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7484" w:type="dxa"/>
            <w:tcBorders/>
            <w:vAlign w:val="center"/>
          </w:tcPr>
          <w:p>
            <w:pPr>
              <w:pStyle w:val="TableContents"/>
              <w:bidi w:val="0"/>
              <w:spacing w:before="0" w:after="283"/>
              <w:jc w:val="left"/>
              <w:rPr/>
            </w:pPr>
            <w:hyperlink w:anchor="algs-ex10_18.htm">
              <w:r>
                <w:rPr>
                  <w:rStyle w:val="InternetLink"/>
                  <w:rFonts w:ascii="Times New Roman" w:hAnsi="Times New Roman"/>
                  <w:color w:val="0563C1"/>
                  <w:sz w:val="20"/>
                  <w:u w:val="single"/>
                </w:rPr>
                <w:t>Separation and release agreement with Leonid Beigelman</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7484"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Subsidiaries of Registrant.</w:t>
              </w:r>
            </w:hyperlink>
          </w:p>
        </w:tc>
        <w:tc>
          <w:tcPr>
            <w:tcW w:w="42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4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3/9/2023</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288" w:type="dxa"/>
            <w:tcBorders/>
            <w:vAlign w:val="center"/>
          </w:tcPr>
          <w:p>
            <w:pPr>
              <w:pStyle w:val="TableContents"/>
              <w:bidi w:val="0"/>
              <w:spacing w:before="0" w:after="283"/>
              <w:jc w:val="center"/>
              <w:rPr/>
            </w:pPr>
            <w:r>
              <w:rPr/>
              <w:t> </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7484" w:type="dxa"/>
            <w:tcBorders/>
            <w:vAlign w:val="center"/>
          </w:tcPr>
          <w:p>
            <w:pPr>
              <w:pStyle w:val="TableContents"/>
              <w:bidi w:val="0"/>
              <w:spacing w:before="0" w:after="283"/>
              <w:jc w:val="left"/>
              <w:rPr/>
            </w:pPr>
            <w:hyperlink w:anchor="algs-ex23_1.htm">
              <w:r>
                <w:rPr>
                  <w:rStyle w:val="InternetLink"/>
                  <w:rFonts w:ascii="Times New Roman" w:hAnsi="Times New Roman"/>
                  <w:color w:val="0563C1"/>
                  <w:sz w:val="20"/>
                  <w:u w:val="single"/>
                </w:rPr>
                <w:t>Consent of Independent Registered Public Accounting Firm.</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7484" w:type="dxa"/>
            <w:tcBorders/>
            <w:vAlign w:val="center"/>
          </w:tcPr>
          <w:p>
            <w:pPr>
              <w:pStyle w:val="TableContents"/>
              <w:bidi w:val="0"/>
              <w:spacing w:before="0" w:after="283"/>
              <w:jc w:val="left"/>
              <w:rPr/>
            </w:pPr>
            <w:hyperlink w:anchor="power_attorney">
              <w:r>
                <w:rPr>
                  <w:rStyle w:val="InternetLink"/>
                  <w:rFonts w:ascii="Times New Roman" w:hAnsi="Times New Roman"/>
                  <w:color w:val="0563C1"/>
                  <w:sz w:val="20"/>
                  <w:u w:val="single"/>
                </w:rPr>
                <w:t>Power of Attorney (included on signature page to this Form 10-K).</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7484" w:type="dxa"/>
            <w:tcBorders/>
            <w:vAlign w:val="center"/>
          </w:tcPr>
          <w:p>
            <w:pPr>
              <w:pStyle w:val="TableContents"/>
              <w:bidi w:val="0"/>
              <w:spacing w:before="0" w:after="283"/>
              <w:jc w:val="left"/>
              <w:rPr/>
            </w:pPr>
            <w:hyperlink w:anchor="algs-ex31_1.htm">
              <w:r>
                <w:rPr>
                  <w:rStyle w:val="InternetLink"/>
                  <w:rFonts w:ascii="Times New Roman" w:hAnsi="Times New Roman"/>
                  <w:color w:val="0563C1"/>
                  <w:sz w:val="20"/>
                  <w:u w:val="single"/>
                </w:rPr>
                <w:t>Certification of Principal Executive Officer Pursuant to Rules 13a-14(a) and 15d-14(a) under the Securities Exchange Act of 1934, as Adopted Pursuant to Section 302 of the Sarbanes-Oxley Act of 2002.</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7484" w:type="dxa"/>
            <w:tcBorders/>
            <w:vAlign w:val="center"/>
          </w:tcPr>
          <w:p>
            <w:pPr>
              <w:pStyle w:val="TableContents"/>
              <w:bidi w:val="0"/>
              <w:spacing w:before="0" w:after="283"/>
              <w:jc w:val="left"/>
              <w:rPr/>
            </w:pPr>
            <w:hyperlink w:anchor="algs-ex31_2.htm">
              <w:r>
                <w:rPr>
                  <w:rStyle w:val="InternetLink"/>
                  <w:rFonts w:ascii="Times New Roman" w:hAnsi="Times New Roman"/>
                  <w:color w:val="0563C1"/>
                  <w:sz w:val="20"/>
                  <w:u w:val="single"/>
                </w:rPr>
                <w:t>Certification of Principal Financial Officer Pursuant to Rules 13a-14(a) and 15d-14(a) under the Securities Exchange Act of 1934, as Adopted Pursuant to Section 302 of the Sarbanes-Oxley Act of 2002.</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7484" w:type="dxa"/>
            <w:tcBorders/>
            <w:vAlign w:val="center"/>
          </w:tcPr>
          <w:p>
            <w:pPr>
              <w:pStyle w:val="TableContents"/>
              <w:bidi w:val="0"/>
              <w:spacing w:before="0" w:after="283"/>
              <w:jc w:val="left"/>
              <w:rPr/>
            </w:pPr>
            <w:hyperlink w:anchor="algs-ex32_1.htm">
              <w:r>
                <w:rPr>
                  <w:rStyle w:val="InternetLink"/>
                  <w:rFonts w:ascii="Times New Roman" w:hAnsi="Times New Roman"/>
                  <w:color w:val="0563C1"/>
                  <w:sz w:val="20"/>
                  <w:u w:val="single"/>
                </w:rPr>
                <w:t>Certification of Principal Executive Officer Pursuant to 18 U.S.C. Section 1350, as Adopted Pursuant to Section 906 of the Sarbanes-Oxley Act of 2002.</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7484" w:type="dxa"/>
            <w:tcBorders/>
            <w:vAlign w:val="center"/>
          </w:tcPr>
          <w:p>
            <w:pPr>
              <w:pStyle w:val="TableContents"/>
              <w:bidi w:val="0"/>
              <w:spacing w:before="0" w:after="283"/>
              <w:jc w:val="left"/>
              <w:rPr/>
            </w:pPr>
            <w:hyperlink w:anchor="algs-ex32_2.htm">
              <w:r>
                <w:rPr>
                  <w:rStyle w:val="InternetLink"/>
                  <w:rFonts w:ascii="Times New Roman" w:hAnsi="Times New Roman"/>
                  <w:color w:val="0563C1"/>
                  <w:sz w:val="20"/>
                  <w:u w:val="single"/>
                </w:rPr>
                <w:t>Certification of Principal Financial Officer Pursuant to 18 U.S.C. Section 1350, as Adopted Pursuant to Section 906 of the Sarbanes-Oxley Act of 2002.</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7484" w:type="dxa"/>
            <w:tcBorders/>
            <w:vAlign w:val="center"/>
          </w:tcPr>
          <w:p>
            <w:pPr>
              <w:pStyle w:val="TableContents"/>
              <w:bidi w:val="0"/>
              <w:spacing w:before="0" w:after="283"/>
              <w:jc w:val="left"/>
              <w:rPr/>
            </w:pPr>
            <w:hyperlink w:anchor="algs-ex97_1.htm">
              <w:r>
                <w:rPr>
                  <w:rStyle w:val="InternetLink"/>
                  <w:rFonts w:ascii="Times New Roman" w:hAnsi="Times New Roman"/>
                  <w:color w:val="0563C1"/>
                  <w:sz w:val="20"/>
                  <w:u w:val="single"/>
                </w:rPr>
                <w:t>Policy relating to Recovery of Erroneously Awarded Compensation</w:t>
              </w:r>
            </w:hyperlink>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748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48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48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Annual Report on Form 10-K for the year ended December 31, 2023 has been formatted in Inline XBRL.</w:t>
            </w:r>
          </w:p>
        </w:tc>
        <w:tc>
          <w:tcPr>
            <w:tcW w:w="429"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Portions of the exhibit, marked by brackets, have been omitted because the omitted information (i) is not material and (ii) is the type of information that the registrant both customarily and actually treats as private and confidential.</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Annual Report on Form 10-K,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3" w:name="signatures"/>
      <w:bookmarkEnd w:id="43"/>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547" w:type="dxa"/>
        <w:jc w:val="left"/>
        <w:tblInd w:w="0" w:type="dxa"/>
        <w:tblLayout w:type="fixed"/>
        <w:tblCellMar>
          <w:top w:w="28" w:type="dxa"/>
          <w:left w:w="28" w:type="dxa"/>
          <w:bottom w:w="28" w:type="dxa"/>
          <w:right w:w="28" w:type="dxa"/>
        </w:tblCellMar>
      </w:tblPr>
      <w:tblGrid>
        <w:gridCol w:w="1891"/>
        <w:gridCol w:w="109"/>
        <w:gridCol w:w="40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Aligos Therapeutics,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Lawrence M. Blatt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Lawrence M. Blatt,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Chairman, and Chief Executive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4" w:name="power_attorney"/>
      <w:bookmarkEnd w:id="44"/>
      <w:r>
        <w:rPr>
          <w:rFonts w:ascii="Times New Roman" w:hAnsi="Times New Roman"/>
          <w:b/>
          <w:color w:val="000000"/>
          <w:sz w:val="20"/>
        </w:rPr>
        <w:t>POWER OF ATTORNEY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Lawrence M. Blatt, Ph.D. and Lesley Ann Calhoun,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244" w:type="dxa"/>
        <w:jc w:val="left"/>
        <w:tblInd w:w="0" w:type="dxa"/>
        <w:tblLayout w:type="fixed"/>
        <w:tblCellMar>
          <w:top w:w="28" w:type="dxa"/>
          <w:left w:w="28" w:type="dxa"/>
          <w:bottom w:w="28" w:type="dxa"/>
          <w:right w:w="28" w:type="dxa"/>
        </w:tblCellMar>
      </w:tblPr>
      <w:tblGrid>
        <w:gridCol w:w="1951"/>
        <w:gridCol w:w="146"/>
        <w:gridCol w:w="3601"/>
        <w:gridCol w:w="146"/>
        <w:gridCol w:w="1246"/>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Lawrence M. Blatt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1" w:type="dxa"/>
            <w:vMerge w:val="restart"/>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President, Chief Executive Officer and Director</w:t>
            </w:r>
          </w:p>
          <w:p>
            <w:pPr>
              <w:pStyle w:val="TableContents"/>
              <w:bidi w:val="0"/>
              <w:spacing w:before="0" w:after="283"/>
              <w:jc w:val="left"/>
              <w:rPr>
                <w:rFonts w:ascii="Times New Roman" w:hAnsi="Times New Roman"/>
                <w:sz w:val="18"/>
              </w:rPr>
            </w:pPr>
            <w:r>
              <w:rPr>
                <w:rFonts w:ascii="Times New Roman" w:hAnsi="Times New Roman"/>
                <w:i/>
                <w:color w:val="000000"/>
                <w:sz w:val="18"/>
              </w:rPr>
              <w:t>(Principal Executive Officer)</w:t>
            </w: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12,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Lawrence M. Blatt,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vMerge w:val="continue"/>
            <w:tcBorders>
              <w:bottom w:val="single" w:sz="2" w:space="0" w:color="000000"/>
            </w:tcBorders>
            <w:tcMar>
              <w:top w:w="0" w:type="dxa"/>
              <w:left w:w="0" w:type="dxa"/>
              <w:right w:w="0" w:type="dxa"/>
            </w:tcMar>
            <w:vAlign w:val="center"/>
          </w:tcPr>
          <w:p>
            <w:pPr>
              <w:pStyle w:val="Normal"/>
              <w:bidi w:val="0"/>
              <w:jc w:val="left"/>
              <w:rPr/>
            </w:pPr>
            <w:r>
              <w:rPr/>
            </w:r>
          </w:p>
        </w:tc>
        <w:tc>
          <w:tcPr>
            <w:tcW w:w="146" w:type="dxa"/>
            <w:tcBorders>
              <w:top w:val="single" w:sz="2" w:space="0" w:color="000000"/>
            </w:tcBorders>
            <w:tcMar>
              <w:left w:w="0" w:type="dxa"/>
              <w:bottom w:w="0" w:type="dxa"/>
              <w:right w:w="0" w:type="dxa"/>
            </w:tcMar>
            <w:vAlign w:val="center"/>
          </w:tcPr>
          <w:p>
            <w:pPr>
              <w:pStyle w:val="TableContents"/>
              <w:bidi w:val="0"/>
              <w:spacing w:before="0" w:after="283"/>
              <w:jc w:val="left"/>
              <w:rPr/>
            </w:pPr>
            <w:r>
              <w:rPr/>
              <w:t> </w:t>
            </w:r>
          </w:p>
        </w:tc>
        <w:tc>
          <w:tcPr>
            <w:tcW w:w="1246" w:type="dxa"/>
            <w:vMerge w:val="continue"/>
            <w:tcBorders/>
            <w:tcMar>
              <w:top w:w="0" w:type="dxa"/>
              <w:left w:w="0" w:type="dxa"/>
              <w:bottom w:w="0" w:type="dxa"/>
              <w:right w:w="0" w:type="dxa"/>
            </w:tcMar>
            <w:vAlign w:val="center"/>
          </w:tcPr>
          <w:p>
            <w:pPr>
              <w:pStyle w:val="Normal"/>
              <w:bidi w:val="0"/>
              <w:jc w:val="left"/>
              <w:rPr/>
            </w:pPr>
            <w:r>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Lesley Ann Calhoun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1" w:type="dxa"/>
            <w:vMerge w:val="restart"/>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Executive Vice President, Chief Financial Officer</w:t>
            </w:r>
          </w:p>
          <w:p>
            <w:pPr>
              <w:pStyle w:val="TableContents"/>
              <w:bidi w:val="0"/>
              <w:spacing w:before="0" w:after="283"/>
              <w:jc w:val="left"/>
              <w:rPr>
                <w:rFonts w:ascii="Times New Roman" w:hAnsi="Times New Roman"/>
                <w:sz w:val="18"/>
              </w:rPr>
            </w:pPr>
            <w:r>
              <w:rPr>
                <w:rFonts w:ascii="Times New Roman" w:hAnsi="Times New Roman"/>
                <w:i/>
                <w:color w:val="000000"/>
                <w:sz w:val="18"/>
              </w:rPr>
              <w:t>(Principal Financial and Accounting Officer)</w:t>
            </w: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12,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Lesley Ann Calhoun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K. Peter Hirth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1" w:type="dxa"/>
            <w:vMerge w:val="restart"/>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12,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 Peter Hirth,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Jack B. Nielsen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1" w:type="dxa"/>
            <w:vMerge w:val="restart"/>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12,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Jack B. Nielsen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Carole Nuechterlein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1" w:type="dxa"/>
            <w:vMerge w:val="restart"/>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12,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Carole Nuechterlein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James Scopa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1" w:type="dxa"/>
            <w:vMerge w:val="restart"/>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12,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James Scopa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Bridget Martell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1" w:type="dxa"/>
            <w:vMerge w:val="restart"/>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12, 2024</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Bridget Martell,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shd w:fill="FFFFFF" w:val="clea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right"/>
        <w:rPr/>
      </w:pPr>
      <w:bookmarkStart w:id="45" w:name="algs-ex10_16.htm"/>
      <w:bookmarkStart w:id="46" w:name="ksalgsex10_16"/>
      <w:bookmarkEnd w:id="45"/>
      <w:bookmarkEnd w:id="46"/>
      <w:r>
        <w:rPr/>
        <w:t> </w:t>
      </w:r>
      <w:r>
        <w:br w:type="page"/>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Exhibit 10.16</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ALIGOS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CHANGE IN CONTROL AND SEVERANCE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Change in Control and Severance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and entered into by and between Matthew McClure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and Aligos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effective as of December 1, 2020 (the “</w:t>
      </w:r>
      <w:r>
        <w:rPr>
          <w:rFonts w:ascii="Times New Roman" w:hAnsi="Times New Roman"/>
          <w:b/>
          <w:color w:val="000000"/>
          <w:sz w:val="24"/>
        </w:rPr>
        <w:t>Effective</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Background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 Board of Directors of the Company (the “</w:t>
      </w:r>
      <w:r>
        <w:rPr>
          <w:rFonts w:ascii="Times New Roman" w:hAnsi="Times New Roman"/>
          <w:b/>
          <w:color w:val="000000"/>
          <w:sz w:val="24"/>
        </w:rPr>
        <w:t>Board</w:t>
      </w:r>
      <w:r>
        <w:rPr>
          <w:color w:val="000000"/>
        </w:rPr>
        <w:t>”</w:t>
      </w:r>
      <w:r>
        <w:rPr>
          <w:rFonts w:ascii="Times New Roman" w:hAnsi="Times New Roman"/>
          <w:color w:val="000000"/>
          <w:sz w:val="24"/>
        </w:rPr>
        <w:t>)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defined herein, capitalized terms used in this Agreement are defined in Section 9 below.</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hereto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Term of Agreement</w:t>
      </w:r>
      <w:r>
        <w:rPr>
          <w:rFonts w:ascii="Times New Roman" w:hAnsi="Times New Roman"/>
          <w:color w:val="000000"/>
          <w:sz w:val="24"/>
        </w:rPr>
        <w:t>. This Agreement shall become effective as of the Effective Date and terminate upon the date that all obligations of the parties hereto with respect to this Agreement have been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The Company and Executive acknowledge that Executive’s employment is and shall continue to be “at-will,” as defined under applicable law. Except as provided in Section 5 below, if Executive’s employment terminates for any reason, Executive shall not be entitled to any severance payments, benefits or compensation other than as provided in this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Covered Termination Outside a Change in Control Period</w:t>
      </w:r>
      <w:r>
        <w:rPr>
          <w:rFonts w:ascii="Times New Roman" w:hAnsi="Times New Roman"/>
          <w:color w:val="000000"/>
          <w:sz w:val="24"/>
        </w:rPr>
        <w:t>. If Executive experiences a Covered Termination outside a Change in Control Period, then, subject to (i) Executive delivering to the Company an executed general release of all claims against the Company and its affiliates in a form approved by the Company (a “</w:t>
      </w:r>
      <w:r>
        <w:rPr>
          <w:rFonts w:ascii="Times New Roman" w:hAnsi="Times New Roman"/>
          <w:b/>
          <w:color w:val="000000"/>
          <w:sz w:val="24"/>
        </w:rPr>
        <w:t>Release</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Claims</w:t>
      </w:r>
      <w:r>
        <w:rPr>
          <w:color w:val="000000"/>
        </w:rPr>
        <w:t>”</w:t>
      </w:r>
      <w:r>
        <w:rPr>
          <w:rFonts w:ascii="Times New Roman" w:hAnsi="Times New Roman"/>
          <w:color w:val="000000"/>
          <w:sz w:val="24"/>
        </w:rPr>
        <w:t xml:space="preserve">)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Executive shall be entitled to receive continued payment of Executive’s annual base salary at the rate in effect immediately prior to the Termination Date during the period commencing on the Termination Date and ending on the nine (9)-month anniversary of the Termination Date (the “</w:t>
      </w:r>
      <w:r>
        <w:rPr>
          <w:rFonts w:ascii="Times New Roman" w:hAnsi="Times New Roman"/>
          <w:b/>
          <w:color w:val="000000"/>
          <w:sz w:val="24"/>
        </w:rPr>
        <w:t>Severance Period</w:t>
      </w:r>
      <w:r>
        <w:rPr>
          <w:color w:val="000000"/>
        </w:rPr>
        <w:t>”</w:t>
      </w:r>
      <w:r>
        <w:rPr>
          <w:rFonts w:ascii="Times New Roman" w:hAnsi="Times New Roman"/>
          <w:color w:val="000000"/>
          <w:sz w:val="24"/>
        </w:rPr>
        <w:t>), payable in substantially equal installments in accordance with the Company’s standard payoll policies, less applicable withholdings, with such installments to commence on the first payroll date following the date the Release of Claims becomes effective and irrevocable in accordance with Section 14(a)(v) below, with the first installment to include any amount that would have been paid had the Release of Claims been effective and irrevocable on the Termination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Continued Healthcare</w:t>
      </w:r>
      <w:r>
        <w:rPr>
          <w:rFonts w:ascii="Times New Roman" w:hAnsi="Times New Roman"/>
          <w:color w:val="000000"/>
          <w:sz w:val="24"/>
        </w:rPr>
        <w:t>. If Executive timely elects to receive continued healthcare coverage pursuant to the provisions of the Consolidated Omnibus Budget Reconciliation Act of 1985, as amended (“</w:t>
      </w:r>
      <w:r>
        <w:rPr>
          <w:rFonts w:ascii="Times New Roman" w:hAnsi="Times New Roman"/>
          <w:b/>
          <w:color w:val="000000"/>
          <w:sz w:val="24"/>
        </w:rPr>
        <w:t>COBRA</w:t>
      </w:r>
      <w:r>
        <w:rPr>
          <w:color w:val="000000"/>
        </w:rPr>
        <w:t>”</w:t>
      </w:r>
      <w:r>
        <w:rPr>
          <w:rFonts w:ascii="Times New Roman" w:hAnsi="Times New Roman"/>
          <w:color w:val="000000"/>
          <w:sz w:val="24"/>
        </w:rPr>
        <w:t>), the Company shall directly pay, or reimburse Executive for, the Company’s portion of the premium (at the same rates in effect on the Termination Date) for Executive and Executive’s covered dependents through the earlier of (i) the end of the Severance Period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Times New Roman" w:hAnsi="Times New Roman"/>
          <w:b/>
          <w:color w:val="000000"/>
          <w:sz w:val="24"/>
        </w:rPr>
        <w:t>Code</w:t>
      </w:r>
      <w:r>
        <w:rPr>
          <w:color w:val="000000"/>
        </w:rPr>
        <w:t>”</w:t>
      </w:r>
      <w:r>
        <w:rPr>
          <w:rFonts w:ascii="Times New Roman" w:hAnsi="Times New Roman"/>
          <w:color w:val="000000"/>
          <w:sz w:val="24"/>
        </w:rPr>
        <w:t>)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xml:space="preserve">. Each outstanding and unvested equity award (excluding any such awards that vest in whole or in part based on the attainment of performance-vesting conditions) held by Executive shall automatically become vested and, if applicable, exercisable and any forfeiture restrictions or rights of repurchase thereon shall immediately lapse with respect to that number of shares that would have vested and, if applicable, become exercisable during the Severance Period had Executive’s employment continued during such period, and each option held by Executive to purchase the Company’s common stock that is vested as of the Termination Date (after giving effect to any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applicable accelerated vesting) will remain exercisable until the earlier of the twelve (12) -month anniversary of the Termination Date or the original expiration of the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Covered Termination During a Change in Control Period</w:t>
      </w:r>
      <w:r>
        <w:rPr>
          <w:rFonts w:ascii="Times New Roman" w:hAnsi="Times New Roman"/>
          <w:color w:val="000000"/>
          <w:sz w:val="24"/>
        </w:rPr>
        <w:t>. If Executive experiences a Covered Termination during a Change in Control Period, then, subject to (i) Executive delivering to the Company an executed Release of Claims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Executive shall be entitled to receive an amount equal to the sum of (x) Executive’s annual base salary at the rate in effect immediately prior to the Termination Date and (y) Executive’s target annual bonus assuming achievement of performance goals at one hundred percent (100%) of target, payable in a cash lump sum, less applicable withholdings, on the first payroll date following the date the Release of Claims becomes effective and irrevocable in accordance with Section 14(a)(v)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Continued Healthcare</w:t>
      </w:r>
      <w:r>
        <w:rPr>
          <w:rFonts w:ascii="Times New Roman" w:hAnsi="Times New Roman"/>
          <w:color w:val="000000"/>
          <w:sz w:val="24"/>
        </w:rPr>
        <w:t>. If Executive timely elects to receive continued healthcare coverage pursuant to the provisions of COBRA, the Company shall directly pay, or reimburse Executive for, the Company’s portion of the premium (at the same rates in effect on the Termination Date) for Executive and Executive’s covered dependents through the earlier of (i) the first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4(b),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Each outstanding and unvested equity award held by Executive shall automatically become vested and, if applicable, exercisable and any forfeiture restrictions or rights of repurchase thereon shall immediately lapse with respect to one hundred percent (100%) of the shares subject thereto, as of immediately prior to the Termination Date, and each option held by Executive to purchase the Company’s common stock that is vested as of the Termination Date (after giving effect to any applicable accelerated vesting) will remain exercisable until the earlier of the twelve (12)-month anniversary of the Termination Date or the original expiration of the option. Unless otherwise set forth in an applicable award agreement, for purposes of this Section 4(c) each award subject to performance-based vesting will be deemed earned at the greater of (i) target or (ii) actual achievement measured as of the Termination Date (to the extent then measurable).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Certain Reductions</w:t>
      </w:r>
      <w:r>
        <w:rPr>
          <w:rFonts w:ascii="Times New Roman" w:hAnsi="Times New Roman"/>
          <w:color w:val="000000"/>
          <w:sz w:val="24"/>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Deemed Resignation</w:t>
      </w:r>
      <w:r>
        <w:rPr>
          <w:rFonts w:ascii="Times New Roman" w:hAnsi="Times New Roman"/>
          <w:color w:val="000000"/>
          <w:sz w:val="24"/>
        </w:rPr>
        <w:t>.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Other Terminations</w:t>
      </w:r>
      <w:r>
        <w:rPr>
          <w:rFonts w:ascii="Times New Roman" w:hAnsi="Times New Roman"/>
          <w:color w:val="000000"/>
          <w:sz w:val="24"/>
        </w:rPr>
        <w:t>.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Limitation on Payments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Any provision of this Agreement to the contrary notwithstanding, if any payment or benefit Executive would receive from the Company pursuant to this Agreement or otherwise (“</w:t>
      </w:r>
      <w:r>
        <w:rPr>
          <w:rFonts w:ascii="Times New Roman" w:hAnsi="Times New Roman"/>
          <w:b/>
          <w:color w:val="000000"/>
          <w:sz w:val="24"/>
        </w:rPr>
        <w:t>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color w:val="000000"/>
          <w:sz w:val="24"/>
        </w:rPr>
        <w:t>Excise Tax</w:t>
      </w:r>
      <w:r>
        <w:rPr>
          <w:color w:val="000000"/>
        </w:rPr>
        <w:t>”</w:t>
      </w:r>
      <w:r>
        <w:rPr>
          <w:rFonts w:ascii="Times New Roman" w:hAnsi="Times New Roman"/>
          <w:color w:val="000000"/>
          <w:sz w:val="24"/>
        </w:rPr>
        <w:t>), then such Payment will be equal to the Reduced Amount (as defined below). The “</w:t>
      </w:r>
      <w:r>
        <w:rPr>
          <w:rFonts w:ascii="Times New Roman" w:hAnsi="Times New Roman"/>
          <w:b/>
          <w:color w:val="000000"/>
          <w:sz w:val="24"/>
        </w:rPr>
        <w:t>Reduced Amount</w:t>
      </w:r>
      <w:r>
        <w:rPr>
          <w:color w:val="000000"/>
        </w:rPr>
        <w:t xml:space="preserve">” </w:t>
      </w:r>
      <w:r>
        <w:rPr>
          <w:rFonts w:ascii="Times New Roman" w:hAnsi="Times New Roman"/>
          <w:color w:val="000000"/>
          <w:sz w:val="24"/>
        </w:rPr>
        <w:t>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Times New Roman" w:hAnsi="Times New Roman"/>
          <w:b/>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color w:val="000000"/>
          <w:sz w:val="24"/>
        </w:rPr>
        <w:t>Pro Rata Reduction Method</w:t>
      </w:r>
      <w:r>
        <w:rPr>
          <w:color w:val="000000"/>
        </w:rPr>
        <w:t>”</w:t>
      </w:r>
      <w:r>
        <w:rPr>
          <w:rFonts w:ascii="Times New Roman" w:hAnsi="Times New Roman"/>
          <w:color w:val="000000"/>
          <w:sz w:val="24"/>
        </w:rPr>
        <w:t xml:space="preserve">).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the Code as follows: (1) as a first priority, the modification shall preserve to the greatest extent possible, the greatest economic benefit for Executive as determined on an after-tax basis; (2) as a second priority, Payments that are contingent on future events (e.g., being terminated without cause), shall be reduced (or eliminated) before Payments that are not contingent on future events; and (3) as a third priority, Payments that are “deferred compensation” within the meaning of Section 409A of the Code shall be reduced (or eliminated) before Payments that are not deferred compensation within the meaning of Section 409A of the Code.</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accounting firm engaged by the Company for general tax purposes as of the day prior to the Change in Control will perform the calculations set forth in Section 8(a)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The following terms used in this Agreement shall have the following meanings:</w:t>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pPr>
      <w:r>
        <w:rPr>
          <w:color w:val="000000"/>
        </w:rPr>
        <w:t>“</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means: (i) a material breach of any of Executive’s representations or obligations contained in any offer letter or employment agreement between Executive and the Company, including Executive’s willful failure or refusal to perform the job duties and responsibilities assigned to Executive by the Company, which if such material breach is reasonably susceptible of cure is not cured after thirty (30) days have elapsed following the date on which the Company gives Executive written notice of such breach; (ii) conviction of, or plea of guilty or nolo contendere to, any felony or any crime involving moral turpitude; (iii) participation in a fraud, act of dishonesty or misappropriation or similar conduct against the Company; (iv) conduct that is materially injurious to the Company or its affiliates or subsidiaries, monetarily or otherwise; (v) improper use or disclosure of the Company’s confidential or proprietary information; or (vi) obtaining a direct or indirect personal benefit from the transfer or use of the Company’s trade secrets or intellectual property other than on the Company’s behalf.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has the meaning ascribed to such term under the Company’s 2020 Incentive Award Plan, as may be amended from time to time; provided, that such transaction must also constitute a “change in control event” within the meaning of Treasury Regulation Section 1.409A-3(i)(5).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b/>
          <w:color w:val="000000"/>
          <w:sz w:val="24"/>
        </w:rPr>
        <w:t>Change in Control Period</w:t>
      </w:r>
      <w:r>
        <w:rPr>
          <w:color w:val="000000"/>
        </w:rPr>
        <w:t xml:space="preserve">” </w:t>
      </w:r>
      <w:r>
        <w:rPr>
          <w:rFonts w:ascii="Times New Roman" w:hAnsi="Times New Roman"/>
          <w:color w:val="000000"/>
          <w:sz w:val="24"/>
        </w:rPr>
        <w:t>means the period of time commencing three months prior to the consummation of a Change in Control and ending on the twelve (12) month anniversary of such consummation of the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b/>
          <w:color w:val="000000"/>
          <w:sz w:val="24"/>
        </w:rPr>
        <w:t>Covered Termination</w:t>
      </w:r>
      <w:r>
        <w:rPr>
          <w:color w:val="000000"/>
        </w:rPr>
        <w:t xml:space="preserve">” </w:t>
      </w:r>
      <w:r>
        <w:rPr>
          <w:rFonts w:ascii="Times New Roman" w:hAnsi="Times New Roman"/>
          <w:color w:val="000000"/>
          <w:sz w:val="24"/>
        </w:rPr>
        <w:t xml:space="preserve">means the termination of Executive’s employment by the Company other than for Cause or by Executive for Good Reason, and shall not include a termination due to Executive’s death or disability.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b/>
          <w:color w:val="000000"/>
          <w:sz w:val="24"/>
        </w:rPr>
        <w:t>Good Reason</w:t>
      </w:r>
      <w:r>
        <w:rPr>
          <w:color w:val="000000"/>
        </w:rPr>
        <w:t xml:space="preserve">” </w:t>
      </w:r>
      <w:r>
        <w:rPr>
          <w:rFonts w:ascii="Times New Roman" w:hAnsi="Times New Roman"/>
          <w:color w:val="000000"/>
          <w:sz w:val="24"/>
        </w:rPr>
        <w:t>for Executive to terminate Executive’s employment hereunder shall mean the occurrence of any of the following events without Executive’s consent: (i) any material breach of the terms of this Agreement by the Company; (ii) any material restriction or diminution in Executive’s duties or responsibilities; (iii) any change in the location of Executive’s principal place of employment that increases Executive’s one-way commute in excess of fifty (50) miles from Executive’s principal place of employment prior to such change; (iv) any material failure by the Company to pay Executive’s base salary, bonuses that Executive has earned, or benefits that Executive is entitled to receive under Executive’s offer letter or other agreement with the Company, or any material reduction by the Company of Executive’s base salary under Executive’s offer letter or other agreement with the Company, provided, however, that if the Company institutes a Company-wide reduction in salaries, bonuses and benefits for other executive management team members, such reduction shall not be deemed “material” for this definition. Notwithstanding the foregoing, Executive’s resignation shall not constitute a resignation for “Good Reason” unless (X) Executive provides advance written notice of such resignation to the Company within sixty (60) days of the initial occurrence of the event or action giving rise to Good Reason, (Y) such written notice specifies that Executive’s resignation is effective not less than thirty (30) days, nor more than sixty (60) days, after the date of the written notice, and (Z) the Company fails to remedy the basis for Good Reason prior to the date of resignation specified in the written notice.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b/>
          <w:color w:val="000000"/>
          <w:sz w:val="24"/>
        </w:rPr>
        <w:t>Separation from Service</w:t>
      </w:r>
      <w:r>
        <w:rPr>
          <w:color w:val="000000"/>
        </w:rPr>
        <w:t xml:space="preserve">” </w:t>
      </w:r>
      <w:r>
        <w:rPr>
          <w:rFonts w:ascii="Times New Roman" w:hAnsi="Times New Roman"/>
          <w:color w:val="000000"/>
          <w:sz w:val="24"/>
        </w:rPr>
        <w:t>means a “separation from service” with the Company within the meaning of Section 409A of the Code and the Department of Treasury regulations and other guidance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b/>
          <w:color w:val="000000"/>
          <w:sz w:val="24"/>
        </w:rPr>
        <w:t>Termination Date</w:t>
      </w:r>
      <w:r>
        <w:rPr>
          <w:color w:val="000000"/>
        </w:rPr>
        <w:t xml:space="preserve">” </w:t>
      </w:r>
      <w:r>
        <w:rPr>
          <w:rFonts w:ascii="Times New Roman" w:hAnsi="Times New Roman"/>
          <w:color w:val="000000"/>
          <w:sz w:val="24"/>
        </w:rPr>
        <w:t>means the date on which Executive experiences a Covered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Company’s Successors</w:t>
      </w:r>
      <w:r>
        <w:rPr>
          <w:rFonts w:ascii="Times New Roman" w:hAnsi="Times New Roman"/>
          <w:color w:val="000000"/>
          <w:sz w:val="24"/>
        </w:rPr>
        <w:t>.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 w:hAnsi="Times New Roman"/>
          <w:b/>
          <w:color w:val="000000"/>
          <w:sz w:val="24"/>
        </w:rPr>
        <w:t>Company</w:t>
      </w:r>
      <w:r>
        <w:rPr>
          <w:color w:val="000000"/>
        </w:rPr>
        <w:t xml:space="preserve">” </w:t>
      </w:r>
      <w:r>
        <w:rPr>
          <w:rFonts w:ascii="Times New Roman" w:hAnsi="Times New Roman"/>
          <w:color w:val="000000"/>
          <w:sz w:val="24"/>
        </w:rPr>
        <w:t>shall include any successor to the Company’s business or assets which executes and delivers the assumption agreement described in this Section 10(a) or which becomes bound by the terms of this Agreement by operation of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Executive’s Successors</w:t>
      </w:r>
      <w:r>
        <w:rPr>
          <w:rFonts w:ascii="Times New Roman" w:hAnsi="Times New Roman"/>
          <w:color w:val="000000"/>
          <w:sz w:val="24"/>
        </w:rPr>
        <w:t>. The terms of this Agreement and all rights of Executive hereunder shall inure to the benefit of, and be enforceable by, Executive’s personal or legal representatives, executors, administrators, successors, heirs, distributees, devisees and legatees.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Confidentiality; Non-Disparagement.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Confidentiality</w:t>
      </w:r>
      <w:r>
        <w:rPr>
          <w:rFonts w:ascii="Times New Roman" w:hAnsi="Times New Roman"/>
          <w:color w:val="000000"/>
          <w:sz w:val="24"/>
        </w:rPr>
        <w:t>. Executive hereby expressly confirms Executive’s continuing obligations to the Company pursuant to that certain Employee Proprietary Information and Invention Assignment Agreement or other confidentiality agreement by and between the Company and Executive (the “</w:t>
      </w:r>
      <w:r>
        <w:rPr>
          <w:rFonts w:ascii="Times New Roman" w:hAnsi="Times New Roman"/>
          <w:b/>
          <w:color w:val="000000"/>
          <w:sz w:val="24"/>
        </w:rPr>
        <w:t>Confidential Information Agreement</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Non-Disparagement</w:t>
      </w:r>
      <w:r>
        <w:rPr>
          <w:rFonts w:ascii="Times New Roman" w:hAnsi="Times New Roman"/>
          <w:color w:val="000000"/>
          <w:sz w:val="24"/>
        </w:rPr>
        <w:t>. Executive agrees that Executive shall not disparage, criticize or defame the Company, its affiliates and their respective affiliates, directors, officers, agents, partners, stockholders or employees, either publicly or privately. Nothing in this Section 12(b) shall apply to any evidence or testimony required by any court, arbitrator or government agency.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Whistleblower Protections and Trade Secrets</w:t>
      </w:r>
      <w:r>
        <w:rPr>
          <w:rFonts w:ascii="Times New Roman" w:hAnsi="Times New Roman"/>
          <w:color w:val="000000"/>
          <w:sz w:val="24"/>
        </w:rPr>
        <w:t>. Notwithstanding anything to the 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Dispute Resolution</w:t>
      </w:r>
      <w:r>
        <w:rPr>
          <w:rFonts w:ascii="Times New Roman" w:hAnsi="Times New Roman"/>
          <w:color w:val="000000"/>
          <w:sz w:val="24"/>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 Mateo County, California through JAMS in conformity with California law and the then-existing JAMS employment arbitration rules, which can be found at </w:t>
      </w:r>
      <w:r>
        <w:rPr>
          <w:rFonts w:ascii="Times New Roman" w:hAnsi="Times New Roman"/>
          <w:sz w:val="24"/>
        </w:rPr>
        <w:t>https://www.jamsadr.com/rules-employment-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sz w:val="24"/>
        </w:rPr>
        <w:t>arbitration/</w:t>
      </w:r>
      <w:r>
        <w:rPr>
          <w:rFonts w:ascii="Times New Roman" w:hAnsi="Times New Roman"/>
          <w:color w:val="000000"/>
          <w:sz w:val="24"/>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Sections 12(a) or 12(b),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12(a) and 12(b),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12(a) and 12(b), none of the Parties shall raise the defense, without a good faith basis for raising such defense, that there is an adequate remedy at law. Executive and the Company understand that by agreement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Separation from Service</w:t>
      </w:r>
      <w:r>
        <w:rPr>
          <w:rFonts w:ascii="Times New Roman" w:hAnsi="Times New Roman"/>
          <w:color w:val="000000"/>
          <w:sz w:val="24"/>
        </w:rPr>
        <w:t>. Notwithstanding any provision to the contrary in this Agreement, no amount constituting deferred compensation subject to Section 409A of the Code shall be payable pursuant to Sections 3 or 4 above unless Executive’s termination of employment constitutes a Separation from Service.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Specified Executive</w:t>
      </w:r>
      <w:r>
        <w:rPr>
          <w:rFonts w:ascii="Times New Roman" w:hAnsi="Times New Roman"/>
          <w:color w:val="000000"/>
          <w:sz w:val="24"/>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Expense Reimbursements</w:t>
      </w:r>
      <w:r>
        <w:rPr>
          <w:rFonts w:ascii="Times New Roman" w:hAnsi="Times New Roman"/>
          <w:color w:val="000000"/>
          <w:sz w:val="24"/>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Installments</w:t>
      </w:r>
      <w:r>
        <w:rPr>
          <w:rFonts w:ascii="Times New Roman" w:hAnsi="Times New Roman"/>
          <w:color w:val="000000"/>
          <w:sz w:val="24"/>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Release</w:t>
      </w:r>
      <w:r>
        <w:rPr>
          <w:rFonts w:ascii="Times New Roman" w:hAnsi="Times New Roman"/>
          <w:color w:val="000000"/>
          <w:sz w:val="24"/>
        </w:rPr>
        <w:t xml:space="preserve">. Notwithstanding anything to the contrary in this Agreement, to the extent that any payments due under this Agreement as a result of Executive’s termination of employment are subject to Executive’s execution and delivery of a Release of Claims, (A)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(B) in any case where Executive’s Termination Date and the last day the Release may be considered or, if applicable, revoked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color w:val="000000"/>
        </w:rPr>
        <w:t>“</w:t>
      </w:r>
      <w:r>
        <w:rPr>
          <w:rFonts w:ascii="Times New Roman" w:hAnsi="Times New Roman"/>
          <w:b/>
          <w:color w:val="000000"/>
          <w:sz w:val="24"/>
        </w:rPr>
        <w:t>Release Expiration Date</w:t>
      </w:r>
      <w:r>
        <w:rPr>
          <w:color w:val="000000"/>
        </w:rPr>
        <w:t xml:space="preserve">” </w:t>
      </w:r>
      <w:r>
        <w:rPr>
          <w:rFonts w:ascii="Times New Roman" w:hAnsi="Times New Roman"/>
          <w:color w:val="000000"/>
          <w:sz w:val="24"/>
        </w:rPr>
        <w:t>shall mean (1) if Executive is under 40 years old as of the Termination Date, the date that is seven (7) days 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forty five (45)</w:t>
      </w:r>
      <w:r>
        <w:rPr>
          <w:color w:val="000000"/>
        </w:rPr>
        <w:t xml:space="preserve"> </w:t>
      </w:r>
      <w:r>
        <w:rPr>
          <w:rFonts w:ascii="Times New Roman" w:hAnsi="Times New Roman"/>
          <w:color w:val="000000"/>
          <w:sz w:val="24"/>
        </w:rPr>
        <w:t xml:space="preserve">days following such delivery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Withholding</w:t>
      </w:r>
      <w:r>
        <w:rPr>
          <w:rFonts w:ascii="Times New Roman" w:hAnsi="Times New Roman"/>
          <w:color w:val="000000"/>
          <w:sz w:val="24"/>
        </w:rPr>
        <w:t>. The Company shall be entitled to withhold from any amounts payable under this Agreement any federal, state, local, or foreign withholding or other taxes or charges which the Company is required to withhold.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Waiver</w:t>
      </w:r>
      <w:r>
        <w:rPr>
          <w:rFonts w:ascii="Times New Roman" w:hAnsi="Times New Roman"/>
          <w:color w:val="000000"/>
          <w:sz w:val="24"/>
        </w:rPr>
        <w:t>. No provision of this Agreement shall be modified, waived or dis?charged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Whole Agreement</w:t>
      </w:r>
      <w:r>
        <w:rPr>
          <w:rFonts w:ascii="Times New Roman" w:hAnsi="Times New Roman"/>
          <w:color w:val="000000"/>
          <w:sz w:val="24"/>
        </w:rPr>
        <w:t xml:space="preserve">. This Agreement and the Confidential Information Agreement represent the entire understanding of the parties hereto with respect to the subject matter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hereof and supersede all prior promises, arrangements and understandings regarding the same, whether written or unwritten, including, without limitation, any severance or change in control benefits in Executive’s offer letter agreement, employment agreement and/or equity award agreement or previously approved by the Company.</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laws of the State of California without regard to its conflicts of law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 Signatures delivered by facsimile shall be deemed effective for all purposes.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pPr>
      <w:r>
        <w:rPr>
          <w:rFonts w:ascii="Times New Roman" w:hAnsi="Times New Roman"/>
          <w:color w:val="000000"/>
          <w:sz w:val="24"/>
          <w:u w:val="single"/>
        </w:rPr>
        <w:t>Executive Acknowledgement</w:t>
      </w:r>
      <w:r>
        <w:rPr>
          <w:rFonts w:ascii="Times New Roman" w:hAnsi="Times New Roman"/>
          <w:color w:val="000000"/>
          <w:sz w:val="24"/>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parties have executed this Agreement, in the case of the Company by its duly authorized officer, as of the dates set forth below.</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ALIGOS THERAPEUTICS, INC.</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EXECUTIVE</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Matthew McClure</w:t>
      </w:r>
    </w:p>
    <w:p>
      <w:pPr>
        <w:pStyle w:val="TextBody"/>
        <w:bidi w:val="0"/>
        <w:spacing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7" w:name="algs-ex10_17.htm"/>
      <w:bookmarkStart w:id="48" w:name="ksalgsex10_17"/>
      <w:bookmarkEnd w:id="47"/>
      <w:bookmarkEnd w:id="48"/>
      <w:r>
        <w:rPr/>
        <w:t> </w:t>
      </w:r>
      <w:r>
        <w:br w:type="page"/>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Exhibit 10.17</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ALIGOS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CHANGE IN CONTROL AND SEVERANCE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Change in Control and Severance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and entered into by and between Lesley Ann Calhoun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and Aligos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effective as of December 1, 2020 (the “</w:t>
      </w:r>
      <w:r>
        <w:rPr>
          <w:rFonts w:ascii="Times New Roman" w:hAnsi="Times New Roman"/>
          <w:b/>
          <w:color w:val="000000"/>
          <w:sz w:val="24"/>
        </w:rPr>
        <w:t>Effective</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Background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 Board of Directors of the Company (the “</w:t>
      </w:r>
      <w:r>
        <w:rPr>
          <w:rFonts w:ascii="Times New Roman" w:hAnsi="Times New Roman"/>
          <w:b/>
          <w:color w:val="000000"/>
          <w:sz w:val="24"/>
        </w:rPr>
        <w:t>Board</w:t>
      </w:r>
      <w:r>
        <w:rPr>
          <w:color w:val="000000"/>
        </w:rPr>
        <w:t>”</w:t>
      </w:r>
      <w:r>
        <w:rPr>
          <w:rFonts w:ascii="Times New Roman" w:hAnsi="Times New Roman"/>
          <w:color w:val="000000"/>
          <w:sz w:val="24"/>
        </w:rPr>
        <w:t>)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defined herein, capitalized terms used in this Agreement are defined in Section 9 below.</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hereto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Term of Agreement</w:t>
      </w:r>
      <w:r>
        <w:rPr>
          <w:rFonts w:ascii="Times New Roman" w:hAnsi="Times New Roman"/>
          <w:color w:val="000000"/>
          <w:sz w:val="24"/>
        </w:rPr>
        <w:t>. This Agreement shall become effective as of the Effective Date and terminate upon the date that all obligations of the parties hereto with respect to this Agreement have been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The Company and Executive acknowledge that Executive’s employment is and shall continue to be “at-will,” as defined under applicable law. Except as provided in Section 5 below, if Executive’s employment terminates for any reason, Executive shall not be entitled to any severance payments, benefits or compensation other than as provided in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Covered Termination Outside a Change in Control Period</w:t>
      </w:r>
      <w:r>
        <w:rPr>
          <w:rFonts w:ascii="Times New Roman" w:hAnsi="Times New Roman"/>
          <w:color w:val="000000"/>
          <w:sz w:val="24"/>
        </w:rPr>
        <w:t>. If Executive experiences a Covered Termination outside a Change in Control Period, then, subject to (i) Executive delivering to the Company an executed general release of all claims against the Company and its affiliates in a form approved by the Company (a “</w:t>
      </w:r>
      <w:r>
        <w:rPr>
          <w:rFonts w:ascii="Times New Roman" w:hAnsi="Times New Roman"/>
          <w:b/>
          <w:color w:val="000000"/>
          <w:sz w:val="24"/>
        </w:rPr>
        <w:t>Release</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Claims</w:t>
      </w:r>
      <w:r>
        <w:rPr>
          <w:color w:val="000000"/>
        </w:rPr>
        <w:t>”</w:t>
      </w:r>
      <w:r>
        <w:rPr>
          <w:rFonts w:ascii="Times New Roman" w:hAnsi="Times New Roman"/>
          <w:color w:val="000000"/>
          <w:sz w:val="24"/>
        </w:rPr>
        <w:t xml:space="preserve">)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Executive shall be entitled to receive continued payment of Executive’s annual base salary at the rate in effect immediately prior to the Termination Date during the period commencing on the Termination Date and ending on the nine (9)-month anniversary of the Termination Date (the “</w:t>
      </w:r>
      <w:r>
        <w:rPr>
          <w:rFonts w:ascii="Times New Roman" w:hAnsi="Times New Roman"/>
          <w:b/>
          <w:color w:val="000000"/>
          <w:sz w:val="24"/>
        </w:rPr>
        <w:t>Severance Period</w:t>
      </w:r>
      <w:r>
        <w:rPr>
          <w:color w:val="000000"/>
        </w:rPr>
        <w:t>”</w:t>
      </w:r>
      <w:r>
        <w:rPr>
          <w:rFonts w:ascii="Times New Roman" w:hAnsi="Times New Roman"/>
          <w:color w:val="000000"/>
          <w:sz w:val="24"/>
        </w:rPr>
        <w:t>), payable in substantially equal installments in accordance with the Company’s standard payoll policies, less applicable withholdings, with such installments to commence on the first payroll date following the date the Release of Claims becomes effective and irrevocable in accordance with Section 14(a)(v) below, with the first installment to include any amount that would have been paid had the Release of Claims been effective and irrevocable on the Termination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Continued Healthcare</w:t>
      </w:r>
      <w:r>
        <w:rPr>
          <w:rFonts w:ascii="Times New Roman" w:hAnsi="Times New Roman"/>
          <w:color w:val="000000"/>
          <w:sz w:val="24"/>
        </w:rPr>
        <w:t>. If Executive timely elects to receive continued healthcare coverage pursuant to the provisions of the Consolidated Omnibus Budget Reconciliation Act of 1985, as amended (“</w:t>
      </w:r>
      <w:r>
        <w:rPr>
          <w:rFonts w:ascii="Times New Roman" w:hAnsi="Times New Roman"/>
          <w:b/>
          <w:color w:val="000000"/>
          <w:sz w:val="24"/>
        </w:rPr>
        <w:t>COBRA</w:t>
      </w:r>
      <w:r>
        <w:rPr>
          <w:color w:val="000000"/>
        </w:rPr>
        <w:t>”</w:t>
      </w:r>
      <w:r>
        <w:rPr>
          <w:rFonts w:ascii="Times New Roman" w:hAnsi="Times New Roman"/>
          <w:color w:val="000000"/>
          <w:sz w:val="24"/>
        </w:rPr>
        <w:t>), the Company shall directly pay, or reimburse Executive for, the Company’s portion of the premium (at the same rates in effect on the Termination Date) for Executive and Executive’s covered dependents through the earlier of (i) the end of the Severance Period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Times New Roman" w:hAnsi="Times New Roman"/>
          <w:b/>
          <w:color w:val="000000"/>
          <w:sz w:val="24"/>
        </w:rPr>
        <w:t>Code</w:t>
      </w:r>
      <w:r>
        <w:rPr>
          <w:color w:val="000000"/>
        </w:rPr>
        <w:t>”</w:t>
      </w:r>
      <w:r>
        <w:rPr>
          <w:rFonts w:ascii="Times New Roman" w:hAnsi="Times New Roman"/>
          <w:color w:val="000000"/>
          <w:sz w:val="24"/>
        </w:rPr>
        <w:t>)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Each outstanding and unvested equity award (excluding any such awards that vest in whole or in part based on the attainment of performance-vesting conditions) held by Executive shall automatically become vested and, if applicable, exercisable and any forfeiture restrictions or rights of repurchase thereon shall immediately lapse with respect to that number of shares that would have vested and, if applicable, become exercisable during the Severance Period had Executive’s employment continued during such period, and each option held by Executive to purchase the Company’s common stock that is vested as of the Termination Date (after giving effect to any applicable accelerated vesting) will remain exercisable until the earlier of the twelve (12) -month anniversary of the Termination Date or the original expiration of the option.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Covered Termination During a Change in Control Period</w:t>
      </w:r>
      <w:r>
        <w:rPr>
          <w:rFonts w:ascii="Times New Roman" w:hAnsi="Times New Roman"/>
          <w:color w:val="000000"/>
          <w:sz w:val="24"/>
        </w:rPr>
        <w:t>. If Executive experiences a Covered Termination during a Change in Control Period, then, subject to (i) Executive delivering to the Company an executed Release of Claims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Executive shall be entitled to receive an amount equal to the sum of (x) Executive’s annual base salary at the rate in effect immediately prior to the Termination Date and (y) Executive’s target annual bonus assuming achievement of performance goals at one hundred percent (100%) of target, payable in a cash lump sum, less applicable withholdings, on the first payroll date following the date the Release of Claims becomes effective and irrevocable in accordance with Section 14(a)(v)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Continued Healthcare</w:t>
      </w:r>
      <w:r>
        <w:rPr>
          <w:rFonts w:ascii="Times New Roman" w:hAnsi="Times New Roman"/>
          <w:color w:val="000000"/>
          <w:sz w:val="24"/>
        </w:rPr>
        <w:t>. If Executive timely elects to receive continued healthcare coverage pursuant to the provisions of COBRA, the Company shall directly pay, or reimburse Executive for, the Company’s portion of the premium (at the same rates in effect on the Termination Date) for Executive and Executive’s covered dependents through the earlier of (i) the first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4(b),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Each outstanding and unvested equity award held by Executive shall automatically become vested and, if applicable, exercisable and any forfeiture restrictions or rights of repurchase thereon shall immediately lapse with respect to one hundred percent (100%) of the shares subject thereto, as of immediately prior to the Termination Date, and each option held by Executive to purchase the Company’s common stock that is vested as of the Termination Date (after giving effect to any applicable accelerated vesting) will remain exercisable until the earlier of the twelve (12)-month anniversary of the Termination Date or the original expiration of the option. Unless otherwise set forth in an applicable award agreement, for purposes of this Section 4(c) each award subject to performance-based vesting will be deemed earned at the greater of (i) target or (ii) actual achievement measured as of the Termination Date (to the extent then measurable).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Certain Reductions</w:t>
      </w:r>
      <w:r>
        <w:rPr>
          <w:rFonts w:ascii="Times New Roman" w:hAnsi="Times New Roman"/>
          <w:color w:val="000000"/>
          <w:sz w:val="24"/>
        </w:rPr>
        <w:t xml:space="preserve">. Notwithstanding anything herein to the contrary, the Company shall reduce Executive’s severance benefits under this Agreement, in whole or in part, by any other severance benefits, pay in lieu of notice, or other similar benefits payable to Executive by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Deemed Resignation</w:t>
      </w:r>
      <w:r>
        <w:rPr>
          <w:rFonts w:ascii="Times New Roman" w:hAnsi="Times New Roman"/>
          <w:color w:val="000000"/>
          <w:sz w:val="24"/>
        </w:rPr>
        <w:t>.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Other Terminations</w:t>
      </w:r>
      <w:r>
        <w:rPr>
          <w:rFonts w:ascii="Times New Roman" w:hAnsi="Times New Roman"/>
          <w:color w:val="000000"/>
          <w:sz w:val="24"/>
        </w:rPr>
        <w:t>.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Limitation on Payments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Any provision of this Agreement to the contrary notwithstanding, if any payment or benefit Executive would receive from the Company pursuant to this Agreement or otherwise (“</w:t>
      </w:r>
      <w:r>
        <w:rPr>
          <w:rFonts w:ascii="Times New Roman" w:hAnsi="Times New Roman"/>
          <w:b/>
          <w:color w:val="000000"/>
          <w:sz w:val="24"/>
        </w:rPr>
        <w:t>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color w:val="000000"/>
          <w:sz w:val="24"/>
        </w:rPr>
        <w:t>Excise Tax</w:t>
      </w:r>
      <w:r>
        <w:rPr>
          <w:color w:val="000000"/>
        </w:rPr>
        <w:t>”</w:t>
      </w:r>
      <w:r>
        <w:rPr>
          <w:rFonts w:ascii="Times New Roman" w:hAnsi="Times New Roman"/>
          <w:color w:val="000000"/>
          <w:sz w:val="24"/>
        </w:rPr>
        <w:t>), then such Payment will be equal to the Reduced Amount (as defined below). The “</w:t>
      </w:r>
      <w:r>
        <w:rPr>
          <w:rFonts w:ascii="Times New Roman" w:hAnsi="Times New Roman"/>
          <w:b/>
          <w:color w:val="000000"/>
          <w:sz w:val="24"/>
        </w:rPr>
        <w:t>Reduced Amount</w:t>
      </w:r>
      <w:r>
        <w:rPr>
          <w:color w:val="000000"/>
        </w:rPr>
        <w:t xml:space="preserve">” </w:t>
      </w:r>
      <w:r>
        <w:rPr>
          <w:rFonts w:ascii="Times New Roman" w:hAnsi="Times New Roman"/>
          <w:color w:val="000000"/>
          <w:sz w:val="24"/>
        </w:rPr>
        <w:t>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Times New Roman" w:hAnsi="Times New Roman"/>
          <w:b/>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color w:val="000000"/>
          <w:sz w:val="24"/>
        </w:rPr>
        <w:t>Pro Rata Reduction Method</w:t>
      </w:r>
      <w:r>
        <w:rPr>
          <w:color w:val="000000"/>
        </w:rPr>
        <w:t>”</w:t>
      </w:r>
      <w:r>
        <w:rPr>
          <w:rFonts w:ascii="Times New Roman" w:hAnsi="Times New Roman"/>
          <w:color w:val="000000"/>
          <w:sz w:val="24"/>
        </w:rPr>
        <w:t xml:space="preserve">).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(1) as a first priority, the modification shall preserve to the greatest extent possible, the greatest economic benefit for Executive as determined on an after-tax basis; (2) as a second priority, Payments that are contingent on future events (e.g., being terminated without cause), shall be reduced (or eliminated) before Payments that are not contingent on future events; and (3) as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third priority, Payments that are “deferred compensation” within the meaning of Section 409A of the Code shall be reduced (or eliminated) before Payments that are not deferred compensation within the meaning of Section 409A of the Code.</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accounting firm engaged by the Company for general tax purposes as of the day prior to the Change in Control will perform the calculations set forth in Section 8(a)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The following terms used in this Agreement shall have the following meanings:</w:t>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pPr>
      <w:r>
        <w:rPr>
          <w:color w:val="000000"/>
        </w:rPr>
        <w:t>“</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means: (i) a material breach of any of Executive’s representations or obligations contained in any offer letter or employment agreement between Executive and the Company, including Executive’s willful failure or refusal to perform the job duties and responsibilities assigned to Executive by the Company, which if such material breach is reasonably susceptible of cure is not cured after thirty (30) days have elapsed following the date on which the Company gives Executive written notice of such breach; (ii) conviction of, or plea of guilty or nolo contendere to, any felony or any crime involving moral turpitude; (iii) participation in a fraud, act of dishonesty or misappropriation or similar conduct against the Company; (iv) conduct that is materially injurious to the Company or its affiliates or subsidiaries, monetarily or otherwise; (v) improper use or disclosure of the Company’s confidential or proprietary information; or (vi) obtaining a direct or indirect personal benefit from the transfer or use of the Company’s trade secrets or intellectual property other than on the Company’s behalf.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has the meaning ascribed to such term under the Company’s 2020 Incentive Award Plan, as may be amended from time to time; provided, that such transaction must also constitute a “change in control event” within the meaning of Treasury Regulation Section 1.409A-3(i)(5).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b/>
          <w:color w:val="000000"/>
          <w:sz w:val="24"/>
        </w:rPr>
        <w:t>Change in Control Period</w:t>
      </w:r>
      <w:r>
        <w:rPr>
          <w:color w:val="000000"/>
        </w:rPr>
        <w:t xml:space="preserve">” </w:t>
      </w:r>
      <w:r>
        <w:rPr>
          <w:rFonts w:ascii="Times New Roman" w:hAnsi="Times New Roman"/>
          <w:color w:val="000000"/>
          <w:sz w:val="24"/>
        </w:rPr>
        <w:t>means the period of time commencing three months prior to the consummation of a Change in Control and ending on the twelve (12) month anniversary of such consummation of the Change in Control.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b/>
          <w:color w:val="000000"/>
          <w:sz w:val="24"/>
        </w:rPr>
        <w:t>Covered Termination</w:t>
      </w:r>
      <w:r>
        <w:rPr>
          <w:color w:val="000000"/>
        </w:rPr>
        <w:t xml:space="preserve">” </w:t>
      </w:r>
      <w:r>
        <w:rPr>
          <w:rFonts w:ascii="Times New Roman" w:hAnsi="Times New Roman"/>
          <w:color w:val="000000"/>
          <w:sz w:val="24"/>
        </w:rPr>
        <w:t xml:space="preserve">means the termination of Executive’s employment by the Company other than for Cause or by Executive for Good Reason, and shall not include a termination due to Executive’s death or disability.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b/>
          <w:color w:val="000000"/>
          <w:sz w:val="24"/>
        </w:rPr>
        <w:t>Good Reason</w:t>
      </w:r>
      <w:r>
        <w:rPr>
          <w:color w:val="000000"/>
        </w:rPr>
        <w:t xml:space="preserve">” </w:t>
      </w:r>
      <w:r>
        <w:rPr>
          <w:rFonts w:ascii="Times New Roman" w:hAnsi="Times New Roman"/>
          <w:color w:val="000000"/>
          <w:sz w:val="24"/>
        </w:rPr>
        <w:t>for Executive to terminate Executive’s employment hereunder shall mean the occurrence of any of the following events without Executive’s consent: (i) any material breach of the terms of this Agreement by the Company; (ii) any material restriction or diminution in Executive’s duties or responsibilities; (iii) any change in the location of Executive’s principal place of employment that increases Executive’s one-way commute in excess of fifty (50) miles from Executive’s principal place of employment prior to such change; (iv) any material failure by the Company to pay Executive’s base salary, bonuses that Executive has earned, or benefits that Executive is entitled to receive under Executive’s offer letter or other agreement with the Company, or any material reduction by the Company of Executive’s base salary under Executive’s offer letter or other agreement with the Company, provided, however, that if the Company institutes a Company-wide reduction in salaries, bonuses and benefits for other executive management team members, such reduction shall not be deemed “material” for this definition. Notwithstanding the foregoing, Executive’s resignation shall not constitute a resignation for “Good Reason” unless (X) Executive provides advance written notice of such resignation to the Company within sixty (60) days of the initial occurrence of the event or action giving rise to Good Reason, (Y) such written notice specifies that Executive’s resignation is effective not less than thirty (30) days, nor more than sixty (60) days, after the date of the written notice, and (Z) the Company fails to remedy the basis for Good Reason prior to the date of resignation specified in the written notice.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b/>
          <w:color w:val="000000"/>
          <w:sz w:val="24"/>
        </w:rPr>
        <w:t>Separation from Service</w:t>
      </w:r>
      <w:r>
        <w:rPr>
          <w:color w:val="000000"/>
        </w:rPr>
        <w:t xml:space="preserve">” </w:t>
      </w:r>
      <w:r>
        <w:rPr>
          <w:rFonts w:ascii="Times New Roman" w:hAnsi="Times New Roman"/>
          <w:color w:val="000000"/>
          <w:sz w:val="24"/>
        </w:rPr>
        <w:t>means a “separation from service” with the Company within the meaning of Section 409A of the Code and the Department of Treasury regulations and other guidance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b/>
          <w:color w:val="000000"/>
          <w:sz w:val="24"/>
        </w:rPr>
        <w:t>Termination Date</w:t>
      </w:r>
      <w:r>
        <w:rPr>
          <w:color w:val="000000"/>
        </w:rPr>
        <w:t xml:space="preserve">” </w:t>
      </w:r>
      <w:r>
        <w:rPr>
          <w:rFonts w:ascii="Times New Roman" w:hAnsi="Times New Roman"/>
          <w:color w:val="000000"/>
          <w:sz w:val="24"/>
        </w:rPr>
        <w:t>means the date on which Executive experiences a Covered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Company’s Successors</w:t>
      </w:r>
      <w:r>
        <w:rPr>
          <w:rFonts w:ascii="Times New Roman" w:hAnsi="Times New Roman"/>
          <w:color w:val="000000"/>
          <w:sz w:val="24"/>
        </w:rPr>
        <w:t>.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 w:hAnsi="Times New Roman"/>
          <w:b/>
          <w:color w:val="000000"/>
          <w:sz w:val="24"/>
        </w:rPr>
        <w:t>Company</w:t>
      </w:r>
      <w:r>
        <w:rPr>
          <w:color w:val="000000"/>
        </w:rPr>
        <w:t xml:space="preserve">” </w:t>
      </w:r>
      <w:r>
        <w:rPr>
          <w:rFonts w:ascii="Times New Roman" w:hAnsi="Times New Roman"/>
          <w:color w:val="000000"/>
          <w:sz w:val="24"/>
        </w:rPr>
        <w:t>shall include any successor to the Company’s business or assets which executes and delivers the assumption agreement described in this Section 10(a) or which becomes bound by the terms of this Agreement by operation of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Executive’s Successors</w:t>
      </w:r>
      <w:r>
        <w:rPr>
          <w:rFonts w:ascii="Times New Roman" w:hAnsi="Times New Roman"/>
          <w:color w:val="000000"/>
          <w:sz w:val="24"/>
        </w:rPr>
        <w:t>. The terms of this Agreement and all rights of Executive hereunder shall inure to the benefit of, and be enforceable by, Executive’s personal or legal representatives, executors, administrators, successors, heirs, distributees, devisees and legatees.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Confidentiality; Non-Disparagement.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Confidentiality</w:t>
      </w:r>
      <w:r>
        <w:rPr>
          <w:rFonts w:ascii="Times New Roman" w:hAnsi="Times New Roman"/>
          <w:color w:val="000000"/>
          <w:sz w:val="24"/>
        </w:rPr>
        <w:t>. Executive hereby expressly confirms Executive’s continuing obligations to the Company pursuant to that certain Employee Proprietary Information and Invention Assignment Agreement or other confidentiality agreement by and between the Company and Executive (the “</w:t>
      </w:r>
      <w:r>
        <w:rPr>
          <w:rFonts w:ascii="Times New Roman" w:hAnsi="Times New Roman"/>
          <w:b/>
          <w:color w:val="000000"/>
          <w:sz w:val="24"/>
        </w:rPr>
        <w:t>Confidential Information Agreement</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Non-Disparagement</w:t>
      </w:r>
      <w:r>
        <w:rPr>
          <w:rFonts w:ascii="Times New Roman" w:hAnsi="Times New Roman"/>
          <w:color w:val="000000"/>
          <w:sz w:val="24"/>
        </w:rPr>
        <w:t>. Executive agrees that Executive shall not disparage, criticize or defame the Company, its affiliates and their respective affiliates, directors, officers, agents, partners, stockholders or employees, either publicly or privately. Nothing in this Section 12(b) shall apply to any evidence or testimony required by any court, arbitrator or government agency.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Whistleblower Protections and Trade Secrets</w:t>
      </w:r>
      <w:r>
        <w:rPr>
          <w:rFonts w:ascii="Times New Roman" w:hAnsi="Times New Roman"/>
          <w:color w:val="000000"/>
          <w:sz w:val="24"/>
        </w:rPr>
        <w:t>. Notwithstanding anything to the 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Dispute Resolution</w:t>
      </w:r>
      <w:r>
        <w:rPr>
          <w:rFonts w:ascii="Times New Roman" w:hAnsi="Times New Roman"/>
          <w:color w:val="000000"/>
          <w:sz w:val="24"/>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 Mateo County, California through JAMS in conformity with California law and the then-existing JAMS employment arbitration rules, which can be found at </w:t>
      </w:r>
      <w:r>
        <w:rPr>
          <w:rFonts w:ascii="Times New Roman" w:hAnsi="Times New Roman"/>
          <w:sz w:val="24"/>
        </w:rPr>
        <w:t>https://www.jamsadr.com/rules-employment-arbitration/</w:t>
      </w:r>
      <w:r>
        <w:rPr>
          <w:rFonts w:ascii="Times New Roman" w:hAnsi="Times New Roman"/>
          <w:color w:val="000000"/>
          <w:sz w:val="24"/>
        </w:rPr>
        <w:t xml:space="preserve">. The Federal Arbitration Act, 9 U.S.C. §§ 1 et seq. shall govern the interpretation and enforcement of this arbitration clause. All remedies available from a court of competent jurisdiction shall be available in the arbitration; provided, however, in the event of a breach of Sections 12(a) or 12(b), the Company may request relief from a court of competent jurisdiction if such relief is not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12(a) and 12(b),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12(a) and 12(b), none of the Parties shall raise the defense, without a good faith basis for raising such defense, that there is an adequate remedy at law. Executive and the Company understand that by agreement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Separation from Service</w:t>
      </w:r>
      <w:r>
        <w:rPr>
          <w:rFonts w:ascii="Times New Roman" w:hAnsi="Times New Roman"/>
          <w:color w:val="000000"/>
          <w:sz w:val="24"/>
        </w:rPr>
        <w:t>. Notwithstanding any provision to the contrary in this Agreement, no amount constituting deferred compensation subject to Section 409A of the Code shall be payable pursuant to Sections 3 or 4 above unless Executive’s termination of employment constitutes a Separation from Service.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Specified Executive</w:t>
      </w:r>
      <w:r>
        <w:rPr>
          <w:rFonts w:ascii="Times New Roman" w:hAnsi="Times New Roman"/>
          <w:color w:val="000000"/>
          <w:sz w:val="24"/>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Expense Reimbursements</w:t>
      </w:r>
      <w:r>
        <w:rPr>
          <w:rFonts w:ascii="Times New Roman" w:hAnsi="Times New Roman"/>
          <w:color w:val="000000"/>
          <w:sz w:val="24"/>
        </w:rPr>
        <w:t xml:space="preserve">.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u w:val="single"/>
        </w:rPr>
        <w:t>Installments</w:t>
      </w:r>
      <w:r>
        <w:rPr>
          <w:rFonts w:ascii="Times New Roman" w:hAnsi="Times New Roman"/>
          <w:color w:val="000000"/>
          <w:sz w:val="24"/>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Release</w:t>
      </w:r>
      <w:r>
        <w:rPr>
          <w:rFonts w:ascii="Times New Roman" w:hAnsi="Times New Roman"/>
          <w:color w:val="000000"/>
          <w:sz w:val="24"/>
        </w:rPr>
        <w:t xml:space="preserve">. Notwithstanding anything to the contrary in this Agreement, to the extent that any payments due under this Agreement as a result of Executive’s termination of employment are subject to Executive’s execution and delivery of a Release of Claims, (A)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(B) in any case where Executive’s Termination Date and the last day the Release may be considered or, if applicable, revoked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color w:val="000000"/>
        </w:rPr>
        <w:t>“</w:t>
      </w:r>
      <w:r>
        <w:rPr>
          <w:rFonts w:ascii="Times New Roman" w:hAnsi="Times New Roman"/>
          <w:b/>
          <w:color w:val="000000"/>
          <w:sz w:val="24"/>
        </w:rPr>
        <w:t>Release Expiration Date</w:t>
      </w:r>
      <w:r>
        <w:rPr>
          <w:color w:val="000000"/>
        </w:rPr>
        <w:t xml:space="preserve">” </w:t>
      </w:r>
      <w:r>
        <w:rPr>
          <w:rFonts w:ascii="Times New Roman" w:hAnsi="Times New Roman"/>
          <w:color w:val="000000"/>
          <w:sz w:val="24"/>
        </w:rPr>
        <w:t>shall mean (1) if Executive is under 40 years old as of the Termination Date, the date that is seven (7) days 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forty five (45)</w:t>
      </w:r>
      <w:r>
        <w:rPr>
          <w:color w:val="000000"/>
        </w:rPr>
        <w:t xml:space="preserve"> </w:t>
      </w:r>
      <w:r>
        <w:rPr>
          <w:rFonts w:ascii="Times New Roman" w:hAnsi="Times New Roman"/>
          <w:color w:val="000000"/>
          <w:sz w:val="24"/>
        </w:rPr>
        <w:t xml:space="preserve">days following such delivery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Withholding</w:t>
      </w:r>
      <w:r>
        <w:rPr>
          <w:rFonts w:ascii="Times New Roman" w:hAnsi="Times New Roman"/>
          <w:color w:val="000000"/>
          <w:sz w:val="24"/>
        </w:rPr>
        <w:t>. The Company shall be entitled to withhold from any amounts payable under this Agreement any federal, state, local, or foreign withholding or other taxes or charges which the Company is required to withhold.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Waiver</w:t>
      </w:r>
      <w:r>
        <w:rPr>
          <w:rFonts w:ascii="Times New Roman" w:hAnsi="Times New Roman"/>
          <w:color w:val="000000"/>
          <w:sz w:val="24"/>
        </w:rPr>
        <w:t>. No provision of this Agreement shall be modified, waived or dis?charged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Whole Agreement</w:t>
      </w:r>
      <w:r>
        <w:rPr>
          <w:rFonts w:ascii="Times New Roman" w:hAnsi="Times New Roman"/>
          <w:color w:val="000000"/>
          <w:sz w:val="24"/>
        </w:rPr>
        <w:t xml:space="preserve">. This Agreement and the Confidential Information Agreement represent the entire understanding of the parties hereto with respect to the subject matter hereof and supersede all prior promises, arrangements and understandings regarding the same, whether written or unwritten, including, without limitation, any severance or change in control benefits in Executive’s offer letter agreement, employment agreement and/or equity award agreement or previously approved by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laws of the State of California without regard to its conflicts of law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 Signatures delivered by facsimile shall be deemed effective for all purposes.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pPr>
      <w:r>
        <w:rPr>
          <w:rFonts w:ascii="Times New Roman" w:hAnsi="Times New Roman"/>
          <w:color w:val="000000"/>
          <w:sz w:val="24"/>
          <w:u w:val="single"/>
        </w:rPr>
        <w:t>Executive Acknowledgement</w:t>
      </w:r>
      <w:r>
        <w:rPr>
          <w:rFonts w:ascii="Times New Roman" w:hAnsi="Times New Roman"/>
          <w:color w:val="000000"/>
          <w:sz w:val="24"/>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parties have executed this Agreement, in the case of the Company by its duly authorized officer, as of the dates set forth below.</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ALIGOS THERAPEUTICS, INC.</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EXECUTIVE</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Lesley Ann Calhoun</w:t>
      </w:r>
    </w:p>
    <w:p>
      <w:pPr>
        <w:pStyle w:val="TextBody"/>
        <w:bidi w:val="0"/>
        <w:spacing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algs-ex10_18.htm"/>
      <w:bookmarkStart w:id="50" w:name="ksalgsex10_18"/>
      <w:bookmarkEnd w:id="49"/>
      <w:bookmarkEnd w:id="50"/>
      <w:r>
        <w:rPr/>
        <w:t> </w:t>
      </w:r>
      <w:r>
        <w:br w:type="page"/>
      </w:r>
    </w:p>
    <w:p>
      <w:pPr>
        <w:pStyle w:val="TextBody"/>
        <w:bidi w:val="0"/>
        <w:jc w:val="left"/>
        <w:rPr/>
      </w:pPr>
      <w:r>
        <w:rPr/>
        <w:t> </w:t>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Exhibit 10.18</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SEPARATION AND GENERAL RELEASE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SEPARATION AND GENERAL RELEASE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xml:space="preserve">) is made and entered into as of the Effective Date, defined in </w:t>
      </w:r>
      <w:r>
        <w:rPr>
          <w:rFonts w:ascii="Times New Roman" w:hAnsi="Times New Roman"/>
          <w:color w:val="000000"/>
          <w:sz w:val="24"/>
          <w:u w:val="single"/>
        </w:rPr>
        <w:t>Section 6(e)</w:t>
      </w:r>
      <w:r>
        <w:rPr>
          <w:rFonts w:ascii="Times New Roman" w:hAnsi="Times New Roman"/>
          <w:color w:val="000000"/>
          <w:sz w:val="20"/>
        </w:rPr>
        <w:t xml:space="preserve"> </w:t>
      </w:r>
      <w:r>
        <w:rPr>
          <w:rFonts w:ascii="Times New Roman" w:hAnsi="Times New Roman"/>
          <w:color w:val="000000"/>
          <w:sz w:val="24"/>
        </w:rPr>
        <w:t>below, by and between, Leonid Beigelman, Ph.D., an individual (the “</w:t>
      </w:r>
      <w:r>
        <w:rPr>
          <w:rFonts w:ascii="Times New Roman" w:hAnsi="Times New Roman"/>
          <w:b/>
          <w:color w:val="000000"/>
          <w:sz w:val="24"/>
        </w:rPr>
        <w:t>Employee</w:t>
      </w:r>
      <w:r>
        <w:rPr>
          <w:rFonts w:ascii="Times New Roman" w:hAnsi="Times New Roman"/>
          <w:color w:val="000000"/>
          <w:sz w:val="20"/>
        </w:rPr>
        <w:t>”</w:t>
      </w:r>
      <w:r>
        <w:rPr>
          <w:rFonts w:ascii="Times New Roman" w:hAnsi="Times New Roman"/>
          <w:color w:val="000000"/>
          <w:sz w:val="24"/>
        </w:rPr>
        <w:t>), and Aligos Therapeutics,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(collectively the “</w:t>
      </w:r>
      <w:r>
        <w:rPr>
          <w:rFonts w:ascii="Times New Roman" w:hAnsi="Times New Roman"/>
          <w:b/>
          <w:color w:val="000000"/>
          <w:sz w:val="24"/>
        </w:rPr>
        <w:t>Parties</w:t>
      </w:r>
      <w:r>
        <w:rPr>
          <w:rFonts w:ascii="Times New Roman" w:hAnsi="Times New Roman"/>
          <w:color w:val="000000"/>
          <w:sz w:val="24"/>
        </w:rPr>
        <w:t>,” and each a “</w:t>
      </w:r>
      <w:r>
        <w:rPr>
          <w:rFonts w:ascii="Times New Roman" w:hAnsi="Times New Roman"/>
          <w:b/>
          <w:color w:val="000000"/>
          <w:sz w:val="24"/>
        </w:rPr>
        <w:t>Party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Employee and the Company are parties to that certain Amended and Restated Employment Agreement, dated as of February 10, 2021 (the “</w:t>
      </w:r>
      <w:r>
        <w:rPr>
          <w:rFonts w:ascii="Times New Roman" w:hAnsi="Times New Roman"/>
          <w:b/>
          <w:color w:val="000000"/>
          <w:sz w:val="24"/>
        </w:rPr>
        <w:t>Employment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Employee and the Company wish to specify the terms of Employee’s resignation from Employee’s employment with the Company and its affiliates effective December 1, 2023 (the “</w:t>
      </w:r>
      <w:r>
        <w:rPr>
          <w:rFonts w:ascii="Times New Roman" w:hAnsi="Times New Roman"/>
          <w:b/>
          <w:color w:val="000000"/>
          <w:sz w:val="24"/>
        </w:rPr>
        <w:t>Separation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recitals above and the mutual promises and obligations contained herein, and other good and valuable consideration, the receipt and sufficiency of which are expressly acknowledged, it is agreed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Employment and Resignation.</w:t>
      </w:r>
      <w:r>
        <w:rPr>
          <w:color w:val="000000"/>
        </w:rPr>
        <w:t xml:space="preserve"> </w:t>
      </w:r>
      <w:r>
        <w:rPr>
          <w:rFonts w:ascii="Times New Roman" w:hAnsi="Times New Roman"/>
          <w:color w:val="000000"/>
          <w:sz w:val="24"/>
        </w:rPr>
        <w:t>Employee hereby resigns his employment with the Company effective on the Separation Date, and that resignation is a “Separation from Service” with the Company within the meaning of Section 409A of the Internal Revenue Code and the regulations thereunder as of that date. Employee hereby irrevocably resigns from his position as a Director of the Company effective November 10, 2023. Employee acknowledges that (a) Employee is not authorized to, and (b) shall not represent Employee is authorized to, speak on behalf of the Company. From November 10, 2023 through the Separation Date, Employee shall be relieved of his regular job duties, not report to Company facilities, but shall be available upon reasonable notice during regular business hours to respond to requests for information or assistance from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All Obligations Paid in Full</w:t>
      </w:r>
      <w:r>
        <w:rPr>
          <w:rFonts w:ascii="Times New Roman" w:hAnsi="Times New Roman"/>
          <w:color w:val="000000"/>
          <w:sz w:val="24"/>
        </w:rPr>
        <w:t xml:space="preserve">. Employee understands that except as set forth in this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 xml:space="preserve">and in </w:t>
      </w:r>
      <w:r>
        <w:rPr>
          <w:rFonts w:ascii="Times New Roman" w:hAnsi="Times New Roman"/>
          <w:color w:val="000000"/>
          <w:sz w:val="24"/>
          <w:u w:val="single"/>
        </w:rPr>
        <w:t>Section 3</w:t>
      </w:r>
      <w:r>
        <w:rPr>
          <w:rFonts w:ascii="Times New Roman" w:hAnsi="Times New Roman"/>
          <w:color w:val="000000"/>
          <w:sz w:val="24"/>
        </w:rPr>
        <w:t xml:space="preserve">, Employee shall not be entitled to any further wages (including bonuses or other incentive compensation) or benefits from the Company or its Affiliates after the Separation Date. Employee acknowledges and agrees that Employee has received all wages and benefits earned through October 31, 2023, will be paid through regular payroll for all wages benefits earned between November 1, 2023 and November 15, 2023, and, on November 30, 2023, through direct deposit on file, will receive payment of base salary for the period from November 16, 2023 through the Separation Date, as well as any accrued, unused paid time off. Employee acknowledges that he will not have earned or otherwise be entitled to any further wages, including any bonus compensation. Employee further acknowledges that he is not entitled to any payment under Section 7 of the Employment Agreement or any other severance plan or policy of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Company. Employee has received the following equity grants pursuant to the Company’s </w:t>
      </w:r>
      <w:r>
        <w:rPr>
          <w:rFonts w:ascii="Times New Roman" w:hAnsi="Times New Roman"/>
          <w:caps/>
          <w:color w:val="000000"/>
          <w:sz w:val="24"/>
        </w:rPr>
        <w:t xml:space="preserve">2020 </w:t>
      </w:r>
      <w:r>
        <w:rPr>
          <w:rFonts w:ascii="Times New Roman" w:hAnsi="Times New Roman"/>
          <w:color w:val="000000"/>
          <w:sz w:val="24"/>
        </w:rPr>
        <w:t>Incentive Award Plan (the “</w:t>
      </w:r>
      <w:r>
        <w:rPr>
          <w:rFonts w:ascii="Times New Roman" w:hAnsi="Times New Roman"/>
          <w:b/>
          <w:color w:val="000000"/>
          <w:sz w:val="24"/>
        </w:rPr>
        <w:t>Plan</w:t>
      </w:r>
      <w:r>
        <w:rPr>
          <w:color w:val="000000"/>
        </w:rPr>
        <w:t>”</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tbl>
      <w:tblPr>
        <w:tblW w:w="5151" w:type="dxa"/>
        <w:jc w:val="left"/>
        <w:tblInd w:w="0" w:type="dxa"/>
        <w:tblLayout w:type="fixed"/>
        <w:tblCellMar>
          <w:top w:w="28" w:type="dxa"/>
          <w:left w:w="28" w:type="dxa"/>
          <w:bottom w:w="28" w:type="dxa"/>
          <w:right w:w="28" w:type="dxa"/>
        </w:tblCellMar>
      </w:tblPr>
      <w:tblGrid>
        <w:gridCol w:w="1021"/>
        <w:gridCol w:w="796"/>
        <w:gridCol w:w="736"/>
        <w:gridCol w:w="1111"/>
        <w:gridCol w:w="751"/>
        <w:gridCol w:w="736"/>
      </w:tblGrid>
      <w:tr>
        <w:trPr/>
        <w:tc>
          <w:tcPr>
            <w:tcW w:w="102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021" w:type="dxa"/>
            <w:tcBorders>
              <w:top w:val="single" w:sz="4" w:space="0" w:color="000000"/>
              <w:left w:val="single" w:sz="4" w:space="0" w:color="000000"/>
              <w:bottom w:val="single" w:sz="4" w:space="0" w:color="000000"/>
              <w:right w:val="single" w:sz="4" w:space="0" w:color="000000"/>
            </w:tcBorders>
            <w:shd w:fill="E7E6E6" w:val="clear"/>
            <w:tcMar>
              <w:left w:w="108" w:type="dxa"/>
              <w:right w:w="108"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Grant Number</w:t>
            </w:r>
          </w:p>
        </w:tc>
        <w:tc>
          <w:tcPr>
            <w:tcW w:w="796" w:type="dxa"/>
            <w:tcBorders>
              <w:top w:val="single" w:sz="4" w:space="0" w:color="000000"/>
              <w:bottom w:val="single" w:sz="4" w:space="0" w:color="000000"/>
              <w:right w:val="single" w:sz="4" w:space="0" w:color="000000"/>
            </w:tcBorders>
            <w:shd w:fill="E7E6E6" w:val="clear"/>
            <w:tcMar>
              <w:left w:w="0" w:type="dxa"/>
              <w:right w:w="108"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Grant Date</w:t>
            </w:r>
          </w:p>
        </w:tc>
        <w:tc>
          <w:tcPr>
            <w:tcW w:w="736" w:type="dxa"/>
            <w:tcBorders>
              <w:top w:val="single" w:sz="4" w:space="0" w:color="000000"/>
              <w:bottom w:val="single" w:sz="4" w:space="0" w:color="000000"/>
              <w:right w:val="single" w:sz="4" w:space="0" w:color="000000"/>
            </w:tcBorders>
            <w:shd w:fill="E7E6E6" w:val="clear"/>
            <w:tcMar>
              <w:left w:w="0" w:type="dxa"/>
              <w:right w:w="108"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Plan/Type</w:t>
            </w:r>
          </w:p>
        </w:tc>
        <w:tc>
          <w:tcPr>
            <w:tcW w:w="1111" w:type="dxa"/>
            <w:tcBorders>
              <w:top w:val="single" w:sz="4" w:space="0" w:color="000000"/>
              <w:bottom w:val="single" w:sz="4" w:space="0" w:color="000000"/>
              <w:right w:val="single" w:sz="4" w:space="0" w:color="000000"/>
            </w:tcBorders>
            <w:shd w:fill="E7E6E6" w:val="clear"/>
            <w:tcMar>
              <w:left w:w="0" w:type="dxa"/>
              <w:right w:w="108"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Granted Shares</w:t>
            </w:r>
          </w:p>
        </w:tc>
        <w:tc>
          <w:tcPr>
            <w:tcW w:w="751" w:type="dxa"/>
            <w:tcBorders>
              <w:top w:val="single" w:sz="4" w:space="0" w:color="000000"/>
              <w:bottom w:val="single" w:sz="4" w:space="0" w:color="000000"/>
              <w:right w:val="single" w:sz="4" w:space="0" w:color="000000"/>
            </w:tcBorders>
            <w:shd w:fill="E7E6E6" w:val="clear"/>
            <w:tcMar>
              <w:left w:w="0" w:type="dxa"/>
              <w:right w:w="108"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Vested</w:t>
            </w:r>
          </w:p>
        </w:tc>
        <w:tc>
          <w:tcPr>
            <w:tcW w:w="736" w:type="dxa"/>
            <w:tcBorders>
              <w:top w:val="single" w:sz="4" w:space="0" w:color="000000"/>
              <w:bottom w:val="single" w:sz="4" w:space="0" w:color="000000"/>
              <w:right w:val="single" w:sz="4" w:space="0" w:color="000000"/>
            </w:tcBorders>
            <w:shd w:fill="E7E6E6" w:val="clear"/>
            <w:tcMar>
              <w:left w:w="0" w:type="dxa"/>
              <w:right w:w="108"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Unvested</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ES-046</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02/20/2020</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2018/NQ</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65,849</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63,105</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2,744</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ES-092</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02/20/2020</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2018/NQ</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202,399</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193,965</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8,434</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ES-183</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12/01/2020</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2020/ISO</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24,720</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18,540</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6,180</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ES-184</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12/01/2020</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2020/NQ</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275,280</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200,210</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75,070</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ES-401</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02/04/2022</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2020/ISO</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42,135</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4</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42,131</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ES-402</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02/04/2022</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2020/NQ</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184,665</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99,221</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85,444</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ES-403</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02/04/2022</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2020/ISO</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32,679</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0</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32,679</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ES-404</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02/04/2022</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2020/NQ</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24,021</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0</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24,021</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ES-670</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07/07/2022</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2020/ISO</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16,483</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16,481</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ES-671</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07/07/2022</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2020/NQ</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96,517</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37,664</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58,853</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ES-811</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03/15/2023</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2020/ISO</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46,300</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0</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46,300</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ES-812</w:t>
            </w:r>
          </w:p>
        </w:tc>
        <w:tc>
          <w:tcPr>
            <w:tcW w:w="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03/15/2023</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2020/NQ</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123,200</w:t>
            </w:r>
            <w:r>
              <w:rPr>
                <w:rFonts w:ascii="Times New Roman" w:hAnsi="Times New Roman"/>
                <w:color w:val="000000"/>
                <w:sz w:val="14"/>
              </w:rPr>
              <w:t xml:space="preserve">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24,718</w:t>
            </w:r>
            <w:r>
              <w:rPr>
                <w:rFonts w:ascii="Times New Roman" w:hAnsi="Times New Roman"/>
                <w:color w:val="000000"/>
                <w:sz w:val="14"/>
              </w:rPr>
              <w:t xml:space="preserve">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color w:val="000000"/>
                <w:sz w:val="14"/>
              </w:rPr>
              <w:t>98,482</w:t>
            </w:r>
            <w:r>
              <w:rPr>
                <w:rFonts w:ascii="Times New Roman" w:hAnsi="Times New Roman"/>
                <w:color w:val="000000"/>
                <w:sz w:val="14"/>
              </w:rPr>
              <w:t xml:space="preserve"> </w:t>
            </w:r>
          </w:p>
        </w:tc>
      </w:tr>
      <w:tr>
        <w:trPr/>
        <w:tc>
          <w:tcPr>
            <w:tcW w:w="1021" w:type="dxa"/>
            <w:tcBorders>
              <w:left w:val="single" w:sz="4" w:space="0" w:color="000000"/>
              <w:bottom w:val="single" w:sz="4" w:space="0" w:color="000000"/>
              <w:right w:val="single" w:sz="4" w:space="0" w:color="000000"/>
            </w:tcBorders>
            <w:shd w:fill="E7E6E6" w:val="clear"/>
            <w:tcMar>
              <w:top w:w="0" w:type="dxa"/>
              <w:left w:w="108" w:type="dxa"/>
              <w:right w:w="108"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Total</w:t>
            </w:r>
          </w:p>
        </w:tc>
        <w:tc>
          <w:tcPr>
            <w:tcW w:w="796" w:type="dxa"/>
            <w:tcBorders>
              <w:bottom w:val="single" w:sz="4" w:space="0" w:color="000000"/>
              <w:right w:val="single" w:sz="4" w:space="0" w:color="000000"/>
            </w:tcBorders>
            <w:shd w:fill="E7E6E6" w:val="clear"/>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736" w:type="dxa"/>
            <w:tcBorders>
              <w:bottom w:val="single" w:sz="4" w:space="0" w:color="000000"/>
              <w:right w:val="single" w:sz="4" w:space="0" w:color="000000"/>
            </w:tcBorders>
            <w:shd w:fill="E7E6E6" w:val="clear"/>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111" w:type="dxa"/>
            <w:tcBorders>
              <w:bottom w:val="single" w:sz="4" w:space="0" w:color="000000"/>
              <w:right w:val="single" w:sz="4" w:space="0" w:color="000000"/>
            </w:tcBorders>
            <w:shd w:fill="E7E6E6" w:val="clear"/>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b/>
                <w:color w:val="000000"/>
                <w:sz w:val="14"/>
              </w:rPr>
              <w:t>1,617,096</w:t>
            </w:r>
            <w:r>
              <w:rPr>
                <w:rFonts w:ascii="Times New Roman" w:hAnsi="Times New Roman"/>
                <w:color w:val="000000"/>
                <w:sz w:val="14"/>
              </w:rPr>
              <w:t xml:space="preserve"> </w:t>
            </w:r>
          </w:p>
        </w:tc>
        <w:tc>
          <w:tcPr>
            <w:tcW w:w="751" w:type="dxa"/>
            <w:tcBorders>
              <w:bottom w:val="single" w:sz="4" w:space="0" w:color="000000"/>
              <w:right w:val="single" w:sz="4" w:space="0" w:color="000000"/>
            </w:tcBorders>
            <w:shd w:fill="E7E6E6" w:val="clear"/>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b/>
                <w:color w:val="000000"/>
                <w:sz w:val="14"/>
              </w:rPr>
              <w:t>1,120,277</w:t>
            </w:r>
            <w:r>
              <w:rPr>
                <w:rFonts w:ascii="Times New Roman" w:hAnsi="Times New Roman"/>
                <w:color w:val="000000"/>
                <w:sz w:val="14"/>
              </w:rPr>
              <w:t xml:space="preserve"> </w:t>
            </w:r>
          </w:p>
        </w:tc>
        <w:tc>
          <w:tcPr>
            <w:tcW w:w="736" w:type="dxa"/>
            <w:tcBorders>
              <w:bottom w:val="single" w:sz="4" w:space="0" w:color="000000"/>
              <w:right w:val="single" w:sz="4" w:space="0" w:color="000000"/>
            </w:tcBorders>
            <w:shd w:fill="E7E6E6" w:val="clear"/>
            <w:tcMar>
              <w:top w:w="0" w:type="dxa"/>
              <w:left w:w="0" w:type="dxa"/>
              <w:right w:w="108" w:type="dxa"/>
            </w:tcMar>
            <w:vAlign w:val="center"/>
          </w:tcPr>
          <w:p>
            <w:pPr>
              <w:pStyle w:val="TableContents"/>
              <w:bidi w:val="0"/>
              <w:spacing w:before="0" w:after="283"/>
              <w:jc w:val="right"/>
              <w:rPr>
                <w:rFonts w:ascii="Times New Roman" w:hAnsi="Times New Roman"/>
                <w:sz w:val="14"/>
              </w:rPr>
            </w:pPr>
            <w:r>
              <w:rPr>
                <w:rFonts w:ascii="Arial" w:hAnsi="Arial"/>
                <w:b/>
                <w:color w:val="000000"/>
                <w:sz w:val="14"/>
              </w:rPr>
              <w:t>496,819</w:t>
            </w:r>
            <w:r>
              <w:rPr>
                <w:rFonts w:ascii="Times New Roman" w:hAnsi="Times New Roman"/>
                <w:color w:val="000000"/>
                <w:sz w:val="14"/>
              </w:rPr>
              <w:t xml:space="preserve">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Employee acknowledges that</w:t>
      </w:r>
      <w:r>
        <w:rPr>
          <w:rFonts w:ascii="Times New Roman" w:hAnsi="Times New Roman"/>
          <w:color w:val="000000"/>
          <w:sz w:val="20"/>
        </w:rPr>
        <w:t xml:space="preserve"> </w:t>
      </w:r>
      <w:r>
        <w:rPr>
          <w:rFonts w:ascii="Times New Roman" w:hAnsi="Times New Roman"/>
          <w:color w:val="000000"/>
          <w:sz w:val="24"/>
        </w:rPr>
        <w:t xml:space="preserve">the vested and unvested portions of the awards shall remain subject to the terms of the Plan, and except as provided in </w:t>
      </w:r>
      <w:r>
        <w:rPr>
          <w:rFonts w:ascii="Times New Roman" w:hAnsi="Times New Roman"/>
          <w:color w:val="000000"/>
          <w:sz w:val="24"/>
          <w:u w:val="single"/>
        </w:rPr>
        <w:t>Section 3</w:t>
      </w:r>
      <w:r>
        <w:rPr>
          <w:rFonts w:ascii="Times New Roman" w:hAnsi="Times New Roman"/>
          <w:color w:val="000000"/>
          <w:sz w:val="24"/>
        </w:rPr>
        <w:t>, all unvested options are forfeited as of the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Separation Benefits</w:t>
      </w:r>
      <w:r>
        <w:rPr>
          <w:rFonts w:ascii="Times New Roman" w:hAnsi="Times New Roman"/>
          <w:color w:val="000000"/>
          <w:sz w:val="24"/>
        </w:rPr>
        <w:t>. Provided that Employee delivers a signed copy of this Agreement on or before the twenty-first (21st) day following the date of presentation of this Agreement to the Company and Employee does not revoke this Agreement on or before the seventh (7</w:t>
      </w:r>
      <w:r>
        <w:rPr>
          <w:rFonts w:ascii="Times New Roman" w:hAnsi="Times New Roman"/>
          <w:color w:val="000000"/>
          <w:sz w:val="16"/>
        </w:rPr>
        <w:t>th</w:t>
      </w:r>
      <w:r>
        <w:rPr>
          <w:rFonts w:ascii="Times New Roman" w:hAnsi="Times New Roman"/>
          <w:color w:val="000000"/>
          <w:sz w:val="24"/>
        </w:rPr>
        <w:t>) calendar day following Employee’s execution of this Agreement, the Company will provide the following “</w:t>
      </w:r>
      <w:r>
        <w:rPr>
          <w:rFonts w:ascii="Times New Roman" w:hAnsi="Times New Roman"/>
          <w:b/>
          <w:color w:val="000000"/>
          <w:sz w:val="24"/>
        </w:rPr>
        <w:t>Severance Benefits:”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Company will pay to Employee two hundred forty-one thousand, three hundred twenty-nine dollars and zero cents ($241,329), less tax and other required withholdings, in a series of substantially equal installments over a period of six (6) months on the Company’s regular pay dates, beginning on the first regular pay date following the Effective Date (“</w:t>
      </w:r>
      <w:r>
        <w:rPr>
          <w:rFonts w:ascii="Times New Roman" w:hAnsi="Times New Roman"/>
          <w:color w:val="000000"/>
          <w:sz w:val="24"/>
          <w:u w:val="single"/>
        </w:rPr>
        <w:t>Severance Payment</w:t>
      </w:r>
      <w:r>
        <w:rPr>
          <w:color w:val="00000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Provided that Employee timely elects to continue Employee’s healthcare insurance benefits under Consolidated Omnibus Budget Reconciliation Act of 1985, as amended (“</w:t>
      </w:r>
      <w:r>
        <w:rPr>
          <w:rFonts w:ascii="Times New Roman" w:hAnsi="Times New Roman"/>
          <w:b/>
          <w:color w:val="000000"/>
          <w:sz w:val="24"/>
        </w:rPr>
        <w:t>COBRA</w:t>
      </w:r>
      <w:r>
        <w:rPr>
          <w:color w:val="000000"/>
        </w:rPr>
        <w:t>”</w:t>
      </w:r>
      <w:r>
        <w:rPr>
          <w:rFonts w:ascii="Times New Roman" w:hAnsi="Times New Roman"/>
          <w:color w:val="000000"/>
          <w:sz w:val="24"/>
        </w:rPr>
        <w:t xml:space="preserve">), and remains eligible to do so, the Company will directly pay the premium for a period of twelve (12) months beginning on the first day of the first month following the Separation Date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w:t>
      </w:r>
      <w:r>
        <w:rPr>
          <w:rFonts w:ascii="Times New Roman" w:hAnsi="Times New Roman"/>
          <w:b/>
          <w:color w:val="000000"/>
          <w:sz w:val="24"/>
        </w:rPr>
        <w:t>COBRA Period</w:t>
      </w:r>
      <w:r>
        <w:rPr>
          <w:color w:val="000000"/>
        </w:rPr>
        <w:t>”</w:t>
      </w:r>
      <w:r>
        <w:rPr>
          <w:rFonts w:ascii="Times New Roman" w:hAnsi="Times New Roman"/>
          <w:color w:val="000000"/>
          <w:sz w:val="24"/>
        </w:rPr>
        <w:t>). Employee may continue Employee’s healthcare insurance benefits following the COBRA Period, at Employee’s own expense, to the extent Employee remains eligible for under COBRA. Employee agrees that if Employee becomes eligible for healthcare insurance benefits under the plan(s) of another employer, Employee will promptly notify the Company and the COBRA Period will immediately terminate. After the Company ceases to pay premiums pursuant to the preceding sentence, you may, if eligible, elect to continue healthcare coverage at your own expense in accordance with the provisions of COBRA. Notwithstanding the foregoing, if (1) any plan pursuant to which such benefits are provided is not, or ceases prior to the expiration of the continuation coverage period to be, exempt from the application of Section 409A of the Code under Treasury Regulation Section 1.409A-1(a)(5), (2) the Company is otherwise unable to continue to cover you or your covered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you in substantially equal monthly installments over the COBRA Period (or remaining portion thereof),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 xml:space="preserve">General Release by Employee. </w:t>
      </w:r>
      <w:r>
        <w:rPr>
          <w:rFonts w:ascii="Times New Roman" w:hAnsi="Times New Roman"/>
          <w:color w:val="000000"/>
          <w:sz w:val="24"/>
        </w:rPr>
        <w:t xml:space="preserve">Subject to </w:t>
      </w:r>
      <w:r>
        <w:rPr>
          <w:rFonts w:ascii="Times New Roman" w:hAnsi="Times New Roman"/>
          <w:color w:val="000000"/>
          <w:sz w:val="24"/>
          <w:u w:val="single"/>
        </w:rPr>
        <w:t>Section 5</w:t>
      </w:r>
      <w:r>
        <w:rPr>
          <w:color w:val="000000"/>
        </w:rPr>
        <w:t xml:space="preserve"> </w:t>
      </w:r>
      <w:r>
        <w:rPr>
          <w:rFonts w:ascii="Times New Roman" w:hAnsi="Times New Roman"/>
          <w:color w:val="000000"/>
          <w:sz w:val="24"/>
        </w:rPr>
        <w:t>below, Employee hereby releases and discharges forever the Company, and each of its parents, subsidiaries and affiliates, and each of their present and former shareholders, members, partners, directors, officers, employees, trustees, agents, attorneys, administrators, plans, plan administrators, insurers, agents, predecessors, successors and assigns, and all persons acting by, through, under or in concert with them (hereinafter collectively referred to as the “</w:t>
      </w:r>
      <w:r>
        <w:rPr>
          <w:rFonts w:ascii="Times New Roman" w:hAnsi="Times New Roman"/>
          <w:b/>
          <w:color w:val="000000"/>
          <w:sz w:val="24"/>
        </w:rPr>
        <w:t>Employee Released Parties</w:t>
      </w:r>
      <w:r>
        <w:rPr>
          <w:color w:val="000000"/>
        </w:rPr>
        <w:t>”</w:t>
      </w:r>
      <w:r>
        <w:rPr>
          <w:rFonts w:ascii="Times New Roman" w:hAnsi="Times New Roman"/>
          <w:color w:val="000000"/>
          <w:sz w:val="24"/>
        </w:rPr>
        <w:t>), from and against all liabilities, claims, demands, liens, causes of action, charges, suits, complaints, grievances, contracts, agreements, promises, obligations, costs, losses, damages, injuries, attorneys’ fees, and other legal responsibilities (collectively referred to as “</w:t>
      </w:r>
      <w:r>
        <w:rPr>
          <w:rFonts w:ascii="Times New Roman" w:hAnsi="Times New Roman"/>
          <w:b/>
          <w:color w:val="000000"/>
          <w:sz w:val="24"/>
        </w:rPr>
        <w:t>Claims</w:t>
      </w:r>
      <w:r>
        <w:rPr>
          <w:color w:val="000000"/>
        </w:rPr>
        <w:t>”</w:t>
      </w:r>
      <w:r>
        <w:rPr>
          <w:rFonts w:ascii="Times New Roman" w:hAnsi="Times New Roman"/>
          <w:color w:val="000000"/>
          <w:sz w:val="24"/>
        </w:rPr>
        <w:t xml:space="preserve">), of any form whatsoever, including, but not limited to, any claims in law, equity, contract, tort, or any claims Age Discrimination in Employment Act, as amended, 29 U.S.C. § 621, </w:t>
      </w:r>
      <w:r>
        <w:rPr>
          <w:rFonts w:ascii="Times New Roman" w:hAnsi="Times New Roman"/>
          <w:color w:val="000000"/>
          <w:sz w:val="24"/>
          <w:u w:val="single"/>
        </w:rPr>
        <w:t>et seq.</w:t>
      </w:r>
      <w:r>
        <w:rPr>
          <w:color w:val="000000"/>
        </w:rPr>
        <w:t xml:space="preserve"> </w:t>
      </w:r>
      <w:r>
        <w:rPr>
          <w:rFonts w:ascii="Times New Roman" w:hAnsi="Times New Roman"/>
          <w:color w:val="000000"/>
          <w:sz w:val="24"/>
        </w:rPr>
        <w:t>(the “</w:t>
      </w:r>
      <w:r>
        <w:rPr>
          <w:rFonts w:ascii="Times New Roman" w:hAnsi="Times New Roman"/>
          <w:b/>
          <w:color w:val="000000"/>
          <w:sz w:val="24"/>
        </w:rPr>
        <w:t>ADEA</w:t>
      </w:r>
      <w:r>
        <w:rPr>
          <w:color w:val="000000"/>
        </w:rPr>
        <w:t>”</w:t>
      </w:r>
      <w:r>
        <w:rPr>
          <w:rFonts w:ascii="Times New Roman" w:hAnsi="Times New Roman"/>
          <w:color w:val="000000"/>
          <w:sz w:val="24"/>
        </w:rPr>
        <w:t xml:space="preserve">); Title VII of the Civil Rights Act of 1964, as amended by the Civil Rights Act of 1991, 42 U.S.C. § 2000 </w:t>
      </w:r>
      <w:r>
        <w:rPr>
          <w:rFonts w:ascii="Times New Roman" w:hAnsi="Times New Roman"/>
          <w:color w:val="000000"/>
          <w:sz w:val="24"/>
          <w:u w:val="single"/>
        </w:rPr>
        <w:t>et seq.</w:t>
      </w:r>
      <w:r>
        <w:rPr>
          <w:rFonts w:ascii="Times New Roman" w:hAnsi="Times New Roman"/>
          <w:color w:val="000000"/>
          <w:sz w:val="24"/>
        </w:rPr>
        <w:t xml:space="preserve">; Equal Pay Act, as amended, 29 U.S.C. § 206(d); the Civil Rights Act of 1866, 42 U.S.C. § 1981; the Family and Medical Leave Act of 1993, 29 U.S.C. § 2601 </w:t>
      </w:r>
      <w:r>
        <w:rPr>
          <w:rFonts w:ascii="Times New Roman" w:hAnsi="Times New Roman"/>
          <w:color w:val="000000"/>
          <w:sz w:val="24"/>
          <w:u w:val="single"/>
        </w:rPr>
        <w:t>et seq.</w:t>
      </w:r>
      <w:r>
        <w:rPr>
          <w:rFonts w:ascii="Times New Roman" w:hAnsi="Times New Roman"/>
          <w:color w:val="000000"/>
          <w:sz w:val="24"/>
        </w:rPr>
        <w:t xml:space="preserve">; the Americans with Disabilities Act of 1990, 42 U.S.C. § 12101 </w:t>
      </w:r>
      <w:r>
        <w:rPr>
          <w:rFonts w:ascii="Times New Roman" w:hAnsi="Times New Roman"/>
          <w:color w:val="000000"/>
          <w:sz w:val="24"/>
          <w:u w:val="single"/>
        </w:rPr>
        <w:t>et seq.</w:t>
      </w:r>
      <w:r>
        <w:rPr>
          <w:rFonts w:ascii="Times New Roman" w:hAnsi="Times New Roman"/>
          <w:color w:val="000000"/>
          <w:sz w:val="24"/>
        </w:rPr>
        <w:t xml:space="preserve">; the False Claims Act, 31 U.S.C. § 3729 </w:t>
      </w:r>
      <w:r>
        <w:rPr>
          <w:rFonts w:ascii="Times New Roman" w:hAnsi="Times New Roman"/>
          <w:color w:val="000000"/>
          <w:sz w:val="24"/>
          <w:u w:val="single"/>
        </w:rPr>
        <w:t>et seq.</w:t>
      </w:r>
      <w:r>
        <w:rPr>
          <w:rFonts w:ascii="Times New Roman" w:hAnsi="Times New Roman"/>
          <w:color w:val="000000"/>
          <w:sz w:val="24"/>
        </w:rPr>
        <w:t xml:space="preserve">; the Employee Retirement Income Security Act, as amended, 29 U.S.C. § 1001 </w:t>
      </w:r>
      <w:r>
        <w:rPr>
          <w:rFonts w:ascii="Times New Roman" w:hAnsi="Times New Roman"/>
          <w:color w:val="000000"/>
          <w:sz w:val="24"/>
          <w:u w:val="single"/>
        </w:rPr>
        <w:t>et seq.</w:t>
      </w:r>
      <w:r>
        <w:rPr>
          <w:rFonts w:ascii="Times New Roman" w:hAnsi="Times New Roman"/>
          <w:color w:val="000000"/>
          <w:sz w:val="24"/>
        </w:rPr>
        <w:t xml:space="preserve">; the Worker Adjustment and Retraining Notification Act, as amended, 29 U.S.C. § 2101 </w:t>
      </w:r>
      <w:r>
        <w:rPr>
          <w:rFonts w:ascii="Times New Roman" w:hAnsi="Times New Roman"/>
          <w:color w:val="000000"/>
          <w:sz w:val="24"/>
          <w:u w:val="single"/>
        </w:rPr>
        <w:t>et seq.</w:t>
      </w:r>
      <w:r>
        <w:rPr>
          <w:rFonts w:ascii="Times New Roman" w:hAnsi="Times New Roman"/>
          <w:color w:val="000000"/>
          <w:sz w:val="24"/>
        </w:rPr>
        <w:t xml:space="preserve">; the California Fair Employment and Housing Act, as amended, Cal. Gov. Code § 12940 </w:t>
      </w:r>
      <w:r>
        <w:rPr>
          <w:rFonts w:ascii="Times New Roman" w:hAnsi="Times New Roman"/>
          <w:color w:val="000000"/>
          <w:sz w:val="24"/>
          <w:u w:val="single"/>
        </w:rPr>
        <w:t>et seq.</w:t>
      </w:r>
      <w:r>
        <w:rPr>
          <w:rFonts w:ascii="Times New Roman" w:hAnsi="Times New Roman"/>
          <w:color w:val="000000"/>
          <w:sz w:val="24"/>
        </w:rPr>
        <w:t xml:space="preserve">; the California Equal Pay Law, as amended, Cal. Lab. Code §§ 1197.5(a),1199.5; the Moore-Brown-Roberti Family Rights Act of 1991, as amended, Cal. Gov’t Code §§12945.2, 19702.3; the California WARN Act, Cal. Lab. Code § 1400 </w:t>
      </w:r>
      <w:r>
        <w:rPr>
          <w:rFonts w:ascii="Times New Roman" w:hAnsi="Times New Roman"/>
          <w:color w:val="000000"/>
          <w:sz w:val="24"/>
          <w:u w:val="single"/>
        </w:rPr>
        <w:t>et seq.</w:t>
      </w:r>
      <w:r>
        <w:rPr>
          <w:rFonts w:ascii="Times New Roman" w:hAnsi="Times New Roman"/>
          <w:color w:val="000000"/>
          <w:sz w:val="24"/>
        </w:rPr>
        <w:t xml:space="preserve">; the California False Claims Act, Cal. Gov’t Code § 12650 </w:t>
      </w:r>
      <w:r>
        <w:rPr>
          <w:rFonts w:ascii="Times New Roman" w:hAnsi="Times New Roman"/>
          <w:color w:val="000000"/>
          <w:sz w:val="24"/>
          <w:u w:val="single"/>
        </w:rPr>
        <w:t>et seq.</w:t>
      </w:r>
      <w:r>
        <w:rPr>
          <w:rFonts w:ascii="Times New Roman" w:hAnsi="Times New Roman"/>
          <w:color w:val="000000"/>
          <w:sz w:val="24"/>
        </w:rPr>
        <w:t xml:space="preserve">; or under the California Labor Code, or any other local ordinance or federal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or state statute, regulation or constitution, whether known or unknown arising from any action or inaction whatsoever prior to the date of execution of this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 xml:space="preserve">Exclusions from General Release. </w:t>
      </w:r>
      <w:r>
        <w:rPr>
          <w:rFonts w:ascii="Times New Roman" w:hAnsi="Times New Roman"/>
          <w:color w:val="000000"/>
          <w:sz w:val="24"/>
        </w:rPr>
        <w:t xml:space="preserve">Notwithstanding the generality of </w:t>
      </w:r>
      <w:r>
        <w:rPr>
          <w:rFonts w:ascii="Times New Roman" w:hAnsi="Times New Roman"/>
          <w:color w:val="000000"/>
          <w:sz w:val="24"/>
          <w:u w:val="single"/>
        </w:rPr>
        <w:t>Section 5</w:t>
      </w:r>
      <w:r>
        <w:rPr>
          <w:rFonts w:ascii="Times New Roman" w:hAnsi="Times New Roman"/>
          <w:b/>
          <w:color w:val="000000"/>
          <w:sz w:val="24"/>
        </w:rPr>
        <w:t>,</w:t>
      </w:r>
      <w:r>
        <w:rPr>
          <w:color w:val="000000"/>
        </w:rPr>
        <w:t xml:space="preserve"> </w:t>
      </w:r>
      <w:r>
        <w:rPr>
          <w:rFonts w:ascii="Times New Roman" w:hAnsi="Times New Roman"/>
          <w:color w:val="000000"/>
          <w:sz w:val="24"/>
        </w:rPr>
        <w:t>Employee does not release the following claims and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Employee’s rights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claims for unemployment compensation or any state disability insurance benefits pursuant to the terms of applicable state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claims to continued participation in certain of the Company’s group benefit plans pursuant to the terms and conditions of the federal law known as COBRA or the comparable California law known as Cal-COBRA;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Employee’s rights, if any, to indemnity and/or advancement of expenses pursuant to applicable state law, the Company’s articles, bylaws or other corporate governance documents, and/or to the protections of any director’ and officers’ liability policies of the Company or any of its affiliates;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right that may not be released by private agreement.</w:t>
      </w:r>
    </w:p>
    <w:p>
      <w:pPr>
        <w:pStyle w:val="TextBody"/>
        <w:bidi w:val="0"/>
        <w:spacing w:before="240" w:after="60"/>
        <w:jc w:val="left"/>
        <w:rPr>
          <w:rFonts w:ascii="Times New Roman" w:hAnsi="Times New Roman"/>
          <w:sz w:val="20"/>
        </w:rPr>
      </w:pPr>
      <w:r>
        <w:rPr>
          <w:rFonts w:ascii="Times New Roman" w:hAnsi="Times New Roman"/>
          <w:color w:val="000000"/>
          <w:sz w:val="24"/>
        </w:rPr>
        <w:t>(collectively, the “</w:t>
      </w:r>
      <w:r>
        <w:rPr>
          <w:rFonts w:ascii="Times New Roman" w:hAnsi="Times New Roman"/>
          <w:b/>
          <w:color w:val="000000"/>
          <w:sz w:val="24"/>
        </w:rPr>
        <w:t>Employee Unreleased Claims</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 xml:space="preserve">Rights Under the ADEA and Older Workers Benefit Protection Act. </w:t>
      </w:r>
      <w:r>
        <w:rPr>
          <w:rFonts w:ascii="Times New Roman" w:hAnsi="Times New Roman"/>
          <w:color w:val="000000"/>
          <w:sz w:val="24"/>
        </w:rPr>
        <w:t xml:space="preserve">Without limiting the scope of the foregoing release of Claims in any way, Employee certifies that this release constitutes a knowing and voluntary waiver of any and all rights or claims that exist or that Employee has or may claim to have under ADEA. This release does not govern any rights or claims that might arise under the ADEA after the date this Agreement is signed by Employee. Employee acknowledges that: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consideration provided pursuant to this Agreement is in addition to any consideration that Employee would otherwise be entitled to receive;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Employee has been and is hereby advised in writing that Employee has the right to and should consult with an attorney prior to signing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Employee is hereby granted a period of least twenty-one (21) days from the date of Employee’s receipt of this Agreement within which to consider it;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that Employee signs this Agreement after less than twenty-one (21) days, Employee acknowledges that Employee had sufficient time to consider this Agreement with counsel and that Employee expressly, voluntarily and knowingly waives the balance of the twenty-one (21) day period. Employee further agrees that any changes, whether or not material,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this Agreement shall not restart the running of the twenty-one (21) day period; and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Employee has the right to revoke this Agreement at any time within the seven (7)-day period following the date on which Employee executes the Agreement, and Employee understands that the Agreement shall not become effective or enforceable until the calendar day immediately following the expiration of the seven (7)-day revocation period (the “</w:t>
      </w:r>
      <w:r>
        <w:rPr>
          <w:rFonts w:ascii="Times New Roman" w:hAnsi="Times New Roman"/>
          <w:b/>
          <w:color w:val="000000"/>
          <w:sz w:val="24"/>
        </w:rPr>
        <w:t>Effective Date</w:t>
      </w:r>
      <w:r>
        <w:rPr>
          <w:color w:val="000000"/>
        </w:rPr>
        <w:t>”</w:t>
      </w:r>
      <w:r>
        <w:rPr>
          <w:rFonts w:ascii="Times New Roman" w:hAnsi="Times New Roman"/>
          <w:color w:val="000000"/>
          <w:sz w:val="24"/>
        </w:rPr>
        <w:t xml:space="preserve">); provided, however, that Employee’s resignation as a Director is effective immediately upon his execution of this Agreement and not subject to revocation. Employee understands that Employee will not receive the Severance Benefits if Employee exercises Employee’s right to revoke it. To revoke this Agreement, Employee must provide notice of revocation in accordance with </w:t>
      </w:r>
      <w:r>
        <w:rPr>
          <w:rFonts w:ascii="Times New Roman" w:hAnsi="Times New Roman"/>
          <w:color w:val="000000"/>
          <w:sz w:val="24"/>
          <w:u w:val="single"/>
        </w:rPr>
        <w:t>Section 15</w:t>
      </w:r>
      <w:r>
        <w:rPr>
          <w:rFonts w:ascii="Times New Roman" w:hAnsi="Times New Roman"/>
          <w:color w:val="000000"/>
          <w:sz w:val="24"/>
        </w:rPr>
        <w:t>, no later than 5:00 p.m. (Pacific Time) on the seventh (7th) calendar day immediately following the date on which Employee executes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 xml:space="preserve">Unknown Claims. </w:t>
      </w:r>
      <w:r>
        <w:rPr>
          <w:rFonts w:ascii="Times New Roman" w:hAnsi="Times New Roman"/>
          <w:color w:val="000000"/>
          <w:sz w:val="24"/>
        </w:rPr>
        <w:t>Employee waives all rights under Section 1542 of the California Civil Code and/or any statute or common law principle of similar effect in any jurisdiction with respect to any Claims other than the Employee Unreleased Claims. Section 1542 reads as follows:</w:t>
      </w:r>
    </w:p>
    <w:p>
      <w:pPr>
        <w:pStyle w:val="TextBody"/>
        <w:bidi w:val="0"/>
        <w:spacing w:before="0" w:after="240"/>
        <w:jc w:val="both"/>
        <w:rPr/>
      </w:pPr>
      <w:r>
        <w:rPr>
          <w:color w:val="000000"/>
        </w:rPr>
        <w:t>“</w:t>
      </w: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olor w:val="000000"/>
          <w:sz w:val="2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provisions of Section 1542 or any statute or common law principle of similar effect in any jurisdiction, and for the purpose of implementing a full and complete release and discharge of all claims, Employee expressly acknowledges that this Agreement is intended to include in its effect, without limitation, all claims which Employee does not know or suspect to exist in Employee’s favor at the time of execution hereof, and that the general release agreed upon contemplates the extinguishment of any such claims.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Covenant Not To Sue. </w:t>
      </w:r>
      <w:r>
        <w:rPr>
          <w:rFonts w:ascii="Times New Roman" w:hAnsi="Times New Roman"/>
          <w:color w:val="000000"/>
          <w:sz w:val="24"/>
        </w:rPr>
        <w:t xml:space="preserve">Employee represents and covenants that Employee has not filed, initiated or caused to be filed or initiated, any Claim, charge, suit, complaint, grievance, action or cause of action against the Company or any of the Employee Released Parties. Employee further acknowledges that Employee does not have any injury for which Employee would be entitled to workers’ compensation benefits. Except to the extent that such waiver is precluded by law, Employee further promises and agrees that Employee will not file, initiate, or cause to be filed or initiated any Claim, charge, suit, complaint, grievance, action, or cause of action based upon, arising out of, or relating to any Claim, demand, or cause of action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released herein, nor shall Employee participate, assist or cooperate in any Claim, charge, suit, complaint, grievance, action or proceeding regarding any of the Employee Released Parties, whether before a court or administrative agency or otherwise, unless required to do so by law. The parties further acknowledge that this Agreement will not prevent the Employee from : (a) filing a charge with the Equal Employment Opportunity Commission (or similar state agency) or participating in any investigation conducted by the Equal Employment Opportunity Commission (or similar state agency);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Employee acknowledges and agrees that any Claims by Employee, or brought on Employee’s behalf, for personal relief in connection with such a charge or investigation (such as reinstatement or monetary damages) would be and hereby are barred, or (b) from challenging the effectiveness of the release contained in this agreement as to claims under the ADEA.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 xml:space="preserve">No Assignment. </w:t>
      </w:r>
      <w:r>
        <w:rPr>
          <w:rFonts w:ascii="Times New Roman" w:hAnsi="Times New Roman"/>
          <w:color w:val="000000"/>
          <w:sz w:val="24"/>
        </w:rPr>
        <w:t>Employee represents and warrants that Employee has made no assignment or other transfer, and covenants that Employee will make no assignment or other transfer, of any interest in any Claim which Employee may have against the Employee Released Parties, or any of them.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Disclosure Rights.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this Agreement or any exhibit or attachment hereto shall be construed or applied to require the Company’s prior approval of, prohibit or impede Employee or any person from communicating directly with, cooperating with or providing information to any governmental or regulatory body or any self-regulatory organization or receiving awards from or by a government agency for providing information;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Nothing in this Agreement or any exhibit or attachment hereto prevents Employee or any person from discussing or disclosing information about unlawful acts in the workplace, such as harassment or discrimination or any other conduct that Employee has reason to believe is unlawful.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Nothing in this Agreement or any exhibit or attachment hereto prevents employee from disclosing the terms of this Agreement: (i) to the extent that such disclosure is specifically required by law or legal process or as authorized in writing by the Company (including without limitation, disclosure to the Internal Revenue Service and other tax authorities); (ii) to Employee’s tax advisor(s) or accountant(s) as may be necessary for the preparation of tax returns or other reports required by law; (iii) to Employee’s attorney(s); and/or (iv) to members of Employee’s immediate family,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prior to disclosing any such information (except disclosures required by law or legal process or as authorized in writing), Employee will inform the recipients that they are bound by the limitations of </w:t>
      </w:r>
      <w:r>
        <w:rPr>
          <w:rFonts w:ascii="Times New Roman" w:hAnsi="Times New Roman"/>
          <w:color w:val="000000"/>
          <w:sz w:val="24"/>
          <w:u w:val="single"/>
        </w:rPr>
        <w:t>Section 11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Pursuant to the Defend Trade Secrets Act, Employee is hereby notified that: An individual shall not be held criminally or civilly liable under any Federal or State trade secret law for the disclosure of a trade secret that is made in confidence to a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 xml:space="preserve">Confidentiality. </w:t>
      </w:r>
      <w:r>
        <w:rPr>
          <w:rFonts w:ascii="Times New Roman" w:hAnsi="Times New Roman"/>
          <w:color w:val="000000"/>
          <w:sz w:val="24"/>
        </w:rPr>
        <w:t xml:space="preserve">Subject to </w:t>
      </w:r>
      <w:r>
        <w:rPr>
          <w:rFonts w:ascii="Times New Roman" w:hAnsi="Times New Roman"/>
          <w:color w:val="000000"/>
          <w:sz w:val="24"/>
          <w:u w:val="single"/>
        </w:rPr>
        <w:t>Section 10</w:t>
      </w:r>
      <w:r>
        <w:rPr>
          <w:rFonts w:ascii="Times New Roman" w:hAnsi="Times New Roman"/>
          <w:color w:val="000000"/>
          <w:sz w:val="24"/>
        </w:rPr>
        <w:t xml:space="preserve">, as a material inducement to the Company to enter into this Agreement, Employee agrees that Employee will not, directly or indirectly, disclose to any person or entity any information the terms and conditions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 xml:space="preserve">Notices. </w:t>
      </w:r>
      <w:r>
        <w:rPr>
          <w:rFonts w:ascii="Times New Roman" w:hAnsi="Times New Roman"/>
          <w:color w:val="000000"/>
          <w:sz w:val="24"/>
        </w:rPr>
        <w:t>Any notice to be given hereunder shall be deemed sufficient if sent by email to the addresses listed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w:t>
      </w:r>
    </w:p>
    <w:p>
      <w:pPr>
        <w:pStyle w:val="TextBody"/>
        <w:bidi w:val="0"/>
        <w:jc w:val="left"/>
        <w:rPr>
          <w:rFonts w:ascii="Times New Roman" w:hAnsi="Times New Roman"/>
          <w:color w:val="000000"/>
          <w:sz w:val="24"/>
        </w:rPr>
      </w:pPr>
      <w:r>
        <w:rPr>
          <w:rFonts w:ascii="Times New Roman" w:hAnsi="Times New Roman"/>
          <w:color w:val="000000"/>
          <w:sz w:val="24"/>
        </w:rPr>
        <w:t>Kristina Engeseth</w:t>
      </w:r>
    </w:p>
    <w:p>
      <w:pPr>
        <w:pStyle w:val="TextBody"/>
        <w:bidi w:val="0"/>
        <w:jc w:val="left"/>
        <w:rPr>
          <w:rFonts w:ascii="Times New Roman" w:hAnsi="Times New Roman"/>
          <w:color w:val="000000"/>
          <w:sz w:val="24"/>
        </w:rPr>
      </w:pPr>
      <w:r>
        <w:rPr>
          <w:rFonts w:ascii="Times New Roman" w:hAnsi="Times New Roman"/>
          <w:color w:val="000000"/>
          <w:sz w:val="24"/>
        </w:rPr>
        <w:t>Vice President, Head of People &amp; Culture</w:t>
      </w:r>
    </w:p>
    <w:p>
      <w:pPr>
        <w:pStyle w:val="TextBody"/>
        <w:bidi w:val="0"/>
        <w:jc w:val="left"/>
        <w:rPr>
          <w:rFonts w:ascii="Times New Roman" w:hAnsi="Times New Roman"/>
          <w:sz w:val="20"/>
        </w:rPr>
      </w:pPr>
      <w:r>
        <w:rPr>
          <w:rFonts w:ascii="Times New Roman" w:hAnsi="Times New Roman"/>
          <w:color w:val="000000"/>
          <w:sz w:val="24"/>
        </w:rPr>
        <w:t>kengeseth@aligos.com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Employee:</w:t>
      </w:r>
    </w:p>
    <w:p>
      <w:pPr>
        <w:pStyle w:val="TextBody"/>
        <w:bidi w:val="0"/>
        <w:jc w:val="left"/>
        <w:rPr>
          <w:rFonts w:ascii="Times New Roman" w:hAnsi="Times New Roman"/>
          <w:color w:val="000000"/>
          <w:sz w:val="24"/>
        </w:rPr>
      </w:pPr>
      <w:r>
        <w:rPr>
          <w:rFonts w:ascii="Times New Roman" w:hAnsi="Times New Roman"/>
          <w:color w:val="000000"/>
          <w:sz w:val="24"/>
        </w:rPr>
        <w:t>Leonid Beigelman</w:t>
      </w:r>
    </w:p>
    <w:p>
      <w:pPr>
        <w:pStyle w:val="TextBody"/>
        <w:bidi w:val="0"/>
        <w:jc w:val="left"/>
        <w:rPr>
          <w:rFonts w:ascii="Times New Roman" w:hAnsi="Times New Roman"/>
          <w:sz w:val="20"/>
        </w:rPr>
      </w:pPr>
      <w:r>
        <w:rPr>
          <w:rFonts w:ascii="Times New Roman" w:hAnsi="Times New Roman"/>
          <w:color w:val="000000"/>
          <w:sz w:val="24"/>
        </w:rPr>
        <w:t>lnb22358@gmail.com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Notices and communications shall be effective when actually received by the addressee. Either Party may change the address for notice by sending written notice of a change of address to the other Party in accordance with this Section.</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Attorneys’ Fees. </w:t>
      </w:r>
      <w:r>
        <w:rPr>
          <w:rFonts w:ascii="Times New Roman" w:hAnsi="Times New Roman"/>
          <w:color w:val="000000"/>
          <w:sz w:val="24"/>
        </w:rPr>
        <w:t xml:space="preserve">Each Party shall bear his, her or its own attorney’s fees in connection with the negotiation and preparation of this Agreement. In the event of any dispute arising out of or relating to a Party's performance or nonperformance of its obligations under this Agreement, the prevailing Party shall be entitled to recover attorneys’ fees, costs and expenses actually incurred in connection with any action brought to resolve the dispute, subject to the limited exception in </w:t>
      </w:r>
      <w:r>
        <w:rPr>
          <w:rFonts w:ascii="Times New Roman" w:hAnsi="Times New Roman"/>
          <w:color w:val="000000"/>
          <w:sz w:val="24"/>
          <w:u w:val="single"/>
        </w:rPr>
        <w:t>Section 8</w:t>
      </w:r>
      <w:r>
        <w:rPr>
          <w:rFonts w:ascii="Times New Roman" w:hAnsi="Times New Roman"/>
          <w:color w:val="000000"/>
          <w:sz w:val="24"/>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No Presumption Against Drafter. </w:t>
      </w:r>
      <w:r>
        <w:rPr>
          <w:rFonts w:ascii="Times New Roman" w:hAnsi="Times New Roman"/>
          <w:color w:val="000000"/>
          <w:sz w:val="24"/>
        </w:rPr>
        <w:t>Employee and the Company understand that this Agreement is deemed to have been drafted jointly by the parties. Any uncertainty or ambiguity shall not be construed for or against any party based on attribution of drafting to any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 xml:space="preserve">Entire Agreement. </w:t>
      </w:r>
      <w:r>
        <w:rPr>
          <w:rFonts w:ascii="Times New Roman" w:hAnsi="Times New Roman"/>
          <w:color w:val="000000"/>
          <w:sz w:val="24"/>
        </w:rPr>
        <w:t>Employee and the Company understand that this Agreement, including any exhibits hereto, represents the entire agreement and understanding between the parties with respect to the subject matter hereof and, except as expressly stated in this Agreement, supersedes any prior agreement, understanding or negotiations respecting such subject matter; provided however, that this Agreement shall not limit, modify or supersede Employee’s obligations under any agreement between Employee and the Company providing for confidentiality and non-use of information belonging to the Company or any of its affiliates, for the prohibition of use of the intellectual property and other assets of the Company or any of its affiliates, or prohibiting the solicitation of the employees of the Company or any of its affiliates, including without limitation, that certain Proprietary Information and Inventions Agreement and corresponding amendment, dated as of March 19, 2018. No change to or modification of this Agreement shall be valid or binding unless it is in writing and signed by Employee and a duly authorized representative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 xml:space="preserve">No Reliance. </w:t>
      </w:r>
      <w:r>
        <w:rPr>
          <w:rFonts w:ascii="Times New Roman" w:hAnsi="Times New Roman"/>
          <w:color w:val="000000"/>
          <w:sz w:val="24"/>
        </w:rPr>
        <w:t>Employee and the Company acknowledge that each of them is relying solely upon the contents of this Agreement, that there have been no other representations or statements made by any of the Released Parties or Employee, and that Employee and the Company are not relying on any other representations or statements whatsoever of any of the Employee Released Parties or Employee as an inducement to enter into this Agreement.</w:t>
      </w:r>
    </w:p>
    <w:p>
      <w:pPr>
        <w:pStyle w:val="TextBody"/>
        <w:bidi w:val="0"/>
        <w:jc w:val="left"/>
        <w:rPr>
          <w:rFonts w:ascii="Times New Roman" w:hAnsi="Times New Roman"/>
          <w:color w:val="000000"/>
          <w:sz w:val="24"/>
        </w:rPr>
      </w:pPr>
      <w:r>
        <w:rPr>
          <w:rFonts w:ascii="Times New Roman" w:hAnsi="Times New Roman"/>
          <w:color w:val="000000"/>
          <w:sz w:val="24"/>
        </w:rPr>
        <w:t>IN WITNESS WHEREOF, this Agreement is executed by the parties hereto as of the date indicated by the signature.</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Leonid Beigelman, Ph.D.</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______________________ ___________________________________</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Aligos Therapeutics,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______________________ ____________________________________</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Name: Lawrence Blatt</w:t>
      </w:r>
    </w:p>
    <w:p>
      <w:pPr>
        <w:pStyle w:val="TextBody"/>
        <w:bidi w:val="0"/>
        <w:jc w:val="left"/>
        <w:rPr>
          <w:rFonts w:ascii="Times New Roman" w:hAnsi="Times New Roman"/>
          <w:color w:val="000000"/>
          <w:sz w:val="24"/>
        </w:rPr>
      </w:pPr>
      <w:r>
        <w:rPr>
          <w:rFonts w:ascii="Times New Roman" w:hAnsi="Times New Roman"/>
          <w:color w:val="000000"/>
          <w:sz w:val="24"/>
        </w:rPr>
        <w:t>Title: Chairman and CEO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algs-ex23_1.htm"/>
      <w:bookmarkStart w:id="52" w:name="ksalgsex23_1"/>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the following Registration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Registration Statement (Form S-8 No. 333- 249568) pertaining to the Aligos Therapeutics, Inc. 2018 Equity Incentive Plan, 2020 Incentive Award Plan and 2020 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 Registration Statement (Form S-8 No. 333- 254628) pertaining to the Aligos Therapeutics, Inc. 2020 Incentive Award Plan and 2020 Employee Stock Purchase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(3) Registration Statement (Form S-3 No. 333- 260774) of Aligos Therapeutics, Inc.,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(4) Registration Statement (Form S-8 No. 333- 263447) pertaining to the Aligos Therapeutics, Inc. 2020 Incentive Award Plan and 2020 Employee Stock Purchase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(5) Registration Statement (Form S-8 No. 333-270417) pertaining to the Aligos Therapeutics, Inc. 2020 Incentive Award Plan and 2020 Employee Stock Purchase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(6) Registration Statement (Form S-3 No. 333-275636) of Aligos Therapeutics, Inc.;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our report dated March 12, 2024, with respect to the consolidated financial statements of Aligos Therapeutics, Inc. included in this Annual Report (Form 10-K) of Aligos Therapeutics, Inc. for the year ended December 31, 2023.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San Mateo, California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March 12,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algs-ex31_1.htm"/>
      <w:bookmarkStart w:id="54" w:name="ksalgsex31_1"/>
      <w:bookmarkEnd w:id="53"/>
      <w:bookmarkEnd w:id="5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Lawrence M. Blatt,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Aligos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47" w:type="dxa"/>
        <w:jc w:val="left"/>
        <w:tblInd w:w="0" w:type="dxa"/>
        <w:tblLayout w:type="fixed"/>
        <w:tblCellMar>
          <w:top w:w="28" w:type="dxa"/>
          <w:left w:w="28" w:type="dxa"/>
          <w:bottom w:w="28" w:type="dxa"/>
          <w:right w:w="28" w:type="dxa"/>
        </w:tblCellMar>
      </w:tblPr>
      <w:tblGrid>
        <w:gridCol w:w="1891"/>
        <w:gridCol w:w="109"/>
        <w:gridCol w:w="40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M. Blatt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Lawrence M. Blatt, Ph.D.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Chairman,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algs-ex31_2.htm"/>
      <w:bookmarkStart w:id="56" w:name="ksalgsex31_2"/>
      <w:bookmarkEnd w:id="55"/>
      <w:bookmarkEnd w:id="5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Lesley Ann Calhoun,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Aligos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38" w:type="dxa"/>
        <w:jc w:val="left"/>
        <w:tblInd w:w="0" w:type="dxa"/>
        <w:tblLayout w:type="fixed"/>
        <w:tblCellMar>
          <w:top w:w="28" w:type="dxa"/>
          <w:left w:w="28" w:type="dxa"/>
          <w:bottom w:w="28" w:type="dxa"/>
          <w:right w:w="28" w:type="dxa"/>
        </w:tblCellMar>
      </w:tblPr>
      <w:tblGrid>
        <w:gridCol w:w="1891"/>
        <w:gridCol w:w="40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Lesley Ann Calhoun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7" w:name="algs-ex32_1.htm"/>
      <w:bookmarkStart w:id="58" w:name="ksalgsex32_1"/>
      <w:bookmarkEnd w:id="57"/>
      <w:bookmarkEnd w:id="5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Aligos Therapeutics, Inc. (the “Company”) on Form 10-K for the period ended December 31, 2023 as filed with the Securities and Exchange Commission on the date hereof (the “Report”), I certify, pursuant to 18 U.S.C. § 1350, as adopted pursuant to §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1891"/>
        <w:gridCol w:w="406"/>
        <w:gridCol w:w="14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2024</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M. Blatt</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Lawrence M. Blatt, Ph.D.</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Chairman, and Chief Executive Officer</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9" w:name="algs-ex32_2.htm"/>
      <w:bookmarkStart w:id="60" w:name="ksalgsex32_2"/>
      <w:bookmarkEnd w:id="59"/>
      <w:bookmarkEnd w:id="6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Annual Report of Aligos Therapeutics, Inc. (the “Company”) on Form 10-K for the period ended December 31, 2023 as filed with the Securities and Exchange Commission on the date hereof (the “Report”), I certify, pursuant to 18 U.S.C. § 1350, as adopted pursuant to § 906 of the Sarbanes-Oxley Act of 2002, that: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1891"/>
        <w:gridCol w:w="406"/>
        <w:gridCol w:w="14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2024</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Lesley Ann Calhoun</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61" w:name="algs-ex97_1.htm"/>
      <w:bookmarkStart w:id="62" w:name="ksalgsex97_1"/>
      <w:bookmarkEnd w:id="61"/>
      <w:bookmarkEnd w:id="62"/>
      <w:r>
        <w:rPr>
          <w:rFonts w:ascii="Times New Roman" w:hAnsi="Times New Roman"/>
          <w:b/>
          <w:color w:val="000000"/>
          <w:sz w:val="24"/>
        </w:rPr>
        <w:t>Exhibit 97.1</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ALIGOS THERAPEUTICS, INC. POLICY FOR RECOVERY OF ERRONEOUSLY AWARDED COMPENSATION</w:t>
      </w:r>
    </w:p>
    <w:p>
      <w:pPr>
        <w:pStyle w:val="TextBody"/>
        <w:bidi w:val="0"/>
        <w:spacing w:before="0" w:after="240"/>
        <w:jc w:val="both"/>
        <w:rPr>
          <w:rFonts w:ascii="Times New Roman" w:hAnsi="Times New Roman"/>
          <w:sz w:val="20"/>
        </w:rPr>
      </w:pPr>
      <w:r>
        <w:rPr>
          <w:rFonts w:ascii="Times New Roman" w:hAnsi="Times New Roman"/>
          <w:color w:val="000000"/>
          <w:sz w:val="24"/>
        </w:rPr>
        <w:t>Aligos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adopted this Policy for Recovery of Erroneously Awarded Compensation (the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effective as of October 2, 2023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Capitalized terms used in this Policy but not otherwise defined in the text of this Policy are defined in Section 11 of this Policy.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Persons Subject to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shall apply to current and former Officers of the Company. Each Officer shall be required to sign an acknowledgment pursuant to which such Officer will agree to be bound by the terms of, and comply with, this Policy; provided, that any Officer’s failure to sign any such acknowledgment shall not negate the application of this Policy to the Officer.</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Compensation Subject to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Recovery of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4.</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Manner of Recovery; Limitation on Duplicative Recovery</w:t>
      </w:r>
    </w:p>
    <w:p>
      <w:pPr>
        <w:pStyle w:val="TextBody"/>
        <w:bidi w:val="0"/>
        <w:spacing w:before="0" w:after="240"/>
        <w:jc w:val="both"/>
        <w:rPr>
          <w:rFonts w:ascii="Times New Roman" w:hAnsi="Times New Roman"/>
          <w:sz w:val="20"/>
        </w:rPr>
      </w:pPr>
      <w:r>
        <w:rPr>
          <w:rFonts w:ascii="Times New Roman" w:hAnsi="Times New Roman"/>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|US-DOCS\145466494.3||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5.</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Administration </w:t>
      </w:r>
    </w:p>
    <w:p>
      <w:pPr>
        <w:pStyle w:val="TextBody"/>
        <w:bidi w:val="0"/>
        <w:spacing w:before="0" w:after="240"/>
        <w:jc w:val="both"/>
        <w:rPr>
          <w:rFonts w:ascii="Times New Roman" w:hAnsi="Times New Roman"/>
          <w:sz w:val="20"/>
        </w:rPr>
      </w:pPr>
      <w:r>
        <w:rPr>
          <w:rFonts w:ascii="Times New Roman" w:hAnsi="Times New Roman"/>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spacing w:before="0" w:after="240"/>
        <w:jc w:val="both"/>
        <w:rPr>
          <w:rFonts w:ascii="Times New Roman" w:hAnsi="Times New Roman"/>
          <w:sz w:val="20"/>
        </w:rPr>
      </w:pPr>
      <w:r>
        <w:rPr>
          <w:rFonts w:ascii="Times New Roman" w:hAnsi="Times New Roman"/>
          <w:color w:val="000000"/>
          <w:sz w:val="24"/>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No Indemnification; No Personal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shall be fully indemnified by the Company to the fullest extent under applicable law and Company policy with respect to any actions taken under this Policy. The foregoing sentence shall not limit any other rights to indemnification of the members of the Board under applicable law or Company policy.</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Application; Enforceability</w:t>
      </w:r>
    </w:p>
    <w:p>
      <w:pPr>
        <w:pStyle w:val="TextBody"/>
        <w:bidi w:val="0"/>
        <w:spacing w:before="0" w:after="240"/>
        <w:jc w:val="both"/>
        <w:rPr>
          <w:rFonts w:ascii="Times New Roman" w:hAnsi="Times New Roman"/>
          <w:sz w:val="20"/>
        </w:rPr>
      </w:pPr>
      <w:r>
        <w:rPr>
          <w:rFonts w:ascii="Times New Roman" w:hAnsi="Times New Roman"/>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|US-DOCS\145466494.3||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equity-based plan or award agreement thereunder or similar plan, program or agreement of the Company or an affiliate or required under applicable law (the “</w:t>
      </w:r>
      <w:r>
        <w:rPr>
          <w:rFonts w:ascii="Times New Roman" w:hAnsi="Times New Roman"/>
          <w:b/>
          <w:i/>
          <w:color w:val="000000"/>
          <w:sz w:val="24"/>
        </w:rPr>
        <w:t>Other Recovery Arrangements</w:t>
      </w:r>
      <w:r>
        <w:rPr>
          <w:rFonts w:ascii="Times New Roman" w:hAnsi="Times New Roman"/>
          <w:color w:val="000000"/>
          <w:sz w:val="20"/>
        </w:rPr>
        <w:t>”</w:t>
      </w:r>
      <w:r>
        <w:rPr>
          <w:rFonts w:ascii="Times New Roman" w:hAnsi="Times New Roman"/>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Severability</w:t>
      </w:r>
    </w:p>
    <w:p>
      <w:pPr>
        <w:pStyle w:val="TextBody"/>
        <w:bidi w:val="0"/>
        <w:spacing w:before="0" w:after="240"/>
        <w:jc w:val="both"/>
        <w:rPr>
          <w:rFonts w:ascii="Times New Roman" w:hAnsi="Times New Roman"/>
          <w:sz w:val="20"/>
        </w:rPr>
      </w:pPr>
      <w:r>
        <w:rPr>
          <w:rFonts w:ascii="Times New Roman" w:hAnsi="Times New Roman"/>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10.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Amendment and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11.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before="0" w:after="240"/>
        <w:jc w:val="both"/>
        <w:rPr/>
      </w:pPr>
      <w:r>
        <w:rPr>
          <w:color w:val="000000"/>
        </w:rPr>
        <w:t>“</w:t>
      </w:r>
      <w:r>
        <w:rPr>
          <w:rFonts w:ascii="Times New Roman" w:hAnsi="Times New Roman"/>
          <w:b/>
          <w:i/>
          <w:color w:val="000000"/>
          <w:sz w:val="24"/>
        </w:rPr>
        <w:t>Applicable Rules</w:t>
      </w:r>
      <w:r>
        <w:rPr>
          <w:rFonts w:ascii="Times New Roman" w:hAnsi="Times New Roman"/>
          <w:color w:val="000000"/>
          <w:sz w:val="20"/>
        </w:rPr>
        <w:t xml:space="preserve">” </w:t>
      </w:r>
      <w:r>
        <w:rPr>
          <w:rFonts w:ascii="Times New Roman" w:hAnsi="Times New Roman"/>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before="0" w:after="240"/>
        <w:jc w:val="both"/>
        <w:rPr/>
      </w:pPr>
      <w:r>
        <w:rPr>
          <w:color w:val="000000"/>
        </w:rPr>
        <w:t>“</w:t>
      </w:r>
      <w:r>
        <w:rPr>
          <w:rFonts w:ascii="Times New Roman" w:hAnsi="Times New Roman"/>
          <w:b/>
          <w:i/>
          <w:color w:val="000000"/>
          <w:sz w:val="24"/>
        </w:rPr>
        <w:t>Committee</w:t>
      </w:r>
      <w:r>
        <w:rPr>
          <w:rFonts w:ascii="Times New Roman" w:hAnsi="Times New Roman"/>
          <w:color w:val="000000"/>
          <w:sz w:val="20"/>
        </w:rPr>
        <w:t xml:space="preserve">” </w:t>
      </w:r>
      <w:r>
        <w:rPr>
          <w:rFonts w:ascii="Times New Roman" w:hAnsi="Times New Roman"/>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0" w:after="240"/>
        <w:jc w:val="both"/>
        <w:rPr/>
      </w:pPr>
      <w:r>
        <w:rPr>
          <w:color w:val="000000"/>
        </w:rPr>
        <w:t>“</w:t>
      </w:r>
      <w:r>
        <w:rPr>
          <w:rFonts w:ascii="Times New Roman" w:hAnsi="Times New Roman"/>
          <w:b/>
          <w:i/>
          <w:color w:val="000000"/>
          <w:sz w:val="24"/>
        </w:rPr>
        <w:t>Erroneously Awarded Compensation</w:t>
      </w:r>
      <w:r>
        <w:rPr>
          <w:rFonts w:ascii="Times New Roman" w:hAnsi="Times New Roman"/>
          <w:color w:val="000000"/>
          <w:sz w:val="20"/>
        </w:rPr>
        <w:t xml:space="preserve">” </w:t>
      </w:r>
      <w:r>
        <w:rPr>
          <w:rFonts w:ascii="Times New Roman" w:hAnsi="Times New Roman"/>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b/>
          <w:i/>
          <w:color w:val="000000"/>
          <w:sz w:val="24"/>
        </w:rPr>
        <w:t>Financial Reporting Measure</w:t>
      </w:r>
      <w:r>
        <w:rPr>
          <w:rFonts w:ascii="Times New Roman" w:hAnsi="Times New Roman"/>
          <w:color w:val="000000"/>
          <w:sz w:val="20"/>
        </w:rPr>
        <w:t xml:space="preserve">” </w:t>
      </w:r>
      <w:r>
        <w:rPr>
          <w:rFonts w:ascii="Times New Roman" w:hAnsi="Times New Roman"/>
          <w:color w:val="000000"/>
          <w:sz w:val="24"/>
        </w:rPr>
        <w:t>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GAAP</w:t>
      </w:r>
      <w:r>
        <w:rPr>
          <w:rFonts w:ascii="Times New Roman" w:hAnsi="Times New Roman"/>
          <w:color w:val="000000"/>
          <w:sz w:val="20"/>
        </w:rPr>
        <w:t xml:space="preserve">” </w:t>
      </w:r>
      <w:r>
        <w:rPr>
          <w:rFonts w:ascii="Times New Roman" w:hAnsi="Times New Roman"/>
          <w:color w:val="000000"/>
          <w:sz w:val="24"/>
        </w:rPr>
        <w:t>means United States generally accepted accounting principles.</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|US-DOCS\145466494.3||</w:t>
      </w:r>
    </w:p>
    <w:p>
      <w:pPr>
        <w:pStyle w:val="HorizontalLine"/>
        <w:pBdr>
          <w:bottom w:val="double" w:sz="2" w:space="0" w:color="808080"/>
        </w:pBdr>
        <w:bidi w:val="0"/>
        <w:spacing w:before="0" w:after="283"/>
        <w:jc w:val="left"/>
        <w:rPr/>
      </w:pPr>
      <w:r>
        <w:rPr/>
      </w:r>
    </w:p>
    <w:p>
      <w:pPr>
        <w:pStyle w:val="TextBody"/>
        <w:bidi w:val="0"/>
        <w:spacing w:before="0" w:after="240"/>
        <w:jc w:val="both"/>
        <w:rPr/>
      </w:pPr>
      <w:r>
        <w:rPr>
          <w:color w:val="000000"/>
        </w:rPr>
        <w:t>“</w:t>
      </w:r>
      <w:r>
        <w:rPr>
          <w:rFonts w:ascii="Times New Roman" w:hAnsi="Times New Roman"/>
          <w:b/>
          <w:i/>
          <w:color w:val="000000"/>
          <w:sz w:val="24"/>
        </w:rPr>
        <w:t>IFRS</w:t>
      </w:r>
      <w:r>
        <w:rPr>
          <w:rFonts w:ascii="Times New Roman" w:hAnsi="Times New Roman"/>
          <w:color w:val="000000"/>
          <w:sz w:val="20"/>
        </w:rPr>
        <w:t xml:space="preserve">” </w:t>
      </w:r>
      <w:r>
        <w:rPr>
          <w:rFonts w:ascii="Times New Roman" w:hAnsi="Times New Roman"/>
          <w:color w:val="000000"/>
          <w:sz w:val="24"/>
        </w:rPr>
        <w:t>means international financial reporting standards as adopted by the International Accounting Standards Board.</w:t>
      </w:r>
    </w:p>
    <w:p>
      <w:pPr>
        <w:pStyle w:val="TextBody"/>
        <w:bidi w:val="0"/>
        <w:spacing w:before="0" w:after="240"/>
        <w:jc w:val="both"/>
        <w:rPr/>
      </w:pPr>
      <w:r>
        <w:rPr>
          <w:color w:val="000000"/>
        </w:rPr>
        <w:t>“</w:t>
      </w:r>
      <w:r>
        <w:rPr>
          <w:rFonts w:ascii="Times New Roman" w:hAnsi="Times New Roman"/>
          <w:b/>
          <w:i/>
          <w:color w:val="000000"/>
          <w:sz w:val="24"/>
        </w:rPr>
        <w:t>Impracticable</w:t>
      </w:r>
      <w:r>
        <w:rPr>
          <w:rFonts w:ascii="Times New Roman" w:hAnsi="Times New Roman"/>
          <w:color w:val="000000"/>
          <w:sz w:val="20"/>
        </w:rPr>
        <w:t xml:space="preserve">” </w:t>
      </w:r>
      <w:r>
        <w:rPr>
          <w:rFonts w:ascii="Times New Roman" w:hAnsi="Times New Roman"/>
          <w:color w:val="000000"/>
          <w:sz w:val="24"/>
        </w:rPr>
        <w:t>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240"/>
        <w:jc w:val="both"/>
        <w:rPr/>
      </w:pPr>
      <w:r>
        <w:rPr>
          <w:color w:val="000000"/>
        </w:rPr>
        <w:t>“</w:t>
      </w:r>
      <w:r>
        <w:rPr>
          <w:rFonts w:ascii="Times New Roman" w:hAnsi="Times New Roman"/>
          <w:b/>
          <w:i/>
          <w:color w:val="000000"/>
          <w:sz w:val="24"/>
        </w:rPr>
        <w:t>Incentive-Based Compensation</w:t>
      </w:r>
      <w:r>
        <w:rPr>
          <w:rFonts w:ascii="Times New Roman" w:hAnsi="Times New Roman"/>
          <w:color w:val="000000"/>
          <w:sz w:val="20"/>
        </w:rPr>
        <w:t xml:space="preserve">” </w:t>
      </w:r>
      <w:r>
        <w:rPr>
          <w:rFonts w:ascii="Times New Roman" w:hAnsi="Times New Roman"/>
          <w:color w:val="000000"/>
          <w:sz w:val="24"/>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Officer</w:t>
      </w:r>
      <w:r>
        <w:rPr>
          <w:rFonts w:ascii="Times New Roman" w:hAnsi="Times New Roman"/>
          <w:color w:val="000000"/>
          <w:sz w:val="20"/>
        </w:rPr>
        <w:t xml:space="preserve">” </w:t>
      </w:r>
      <w:r>
        <w:rPr>
          <w:rFonts w:ascii="Times New Roman" w:hAnsi="Times New Roman"/>
          <w:color w:val="000000"/>
          <w:sz w:val="24"/>
        </w:rPr>
        <w:t>means each person who serves as an executive officer of the Company, as defined in Rule 10D</w:t>
        <w:noBreakHyphen/>
        <w:t>1(d) under the Exchange Act.</w:t>
      </w:r>
    </w:p>
    <w:p>
      <w:pPr>
        <w:pStyle w:val="TextBody"/>
        <w:bidi w:val="0"/>
        <w:spacing w:before="0" w:after="240"/>
        <w:jc w:val="both"/>
        <w:rPr/>
      </w:pPr>
      <w:r>
        <w:rPr>
          <w:color w:val="000000"/>
        </w:rPr>
        <w:t>“</w:t>
      </w:r>
      <w:r>
        <w:rPr>
          <w:rFonts w:ascii="Times New Roman" w:hAnsi="Times New Roman"/>
          <w:b/>
          <w:i/>
          <w:color w:val="000000"/>
          <w:sz w:val="24"/>
        </w:rPr>
        <w:t>Restatement</w:t>
      </w:r>
      <w:r>
        <w:rPr>
          <w:rFonts w:ascii="Times New Roman" w:hAnsi="Times New Roman"/>
          <w:color w:val="000000"/>
          <w:sz w:val="20"/>
        </w:rPr>
        <w:t xml:space="preserve">” </w:t>
      </w:r>
      <w:r>
        <w:rPr>
          <w:rFonts w:ascii="Times New Roman" w:hAnsi="Times New Roman"/>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0" w:after="240"/>
        <w:jc w:val="both"/>
        <w:rPr/>
      </w:pPr>
      <w:r>
        <w:rPr>
          <w:color w:val="000000"/>
        </w:rPr>
        <w:t>“</w:t>
      </w:r>
      <w:r>
        <w:rPr>
          <w:rFonts w:ascii="Times New Roman" w:hAnsi="Times New Roman"/>
          <w:b/>
          <w:i/>
          <w:color w:val="000000"/>
          <w:sz w:val="24"/>
        </w:rPr>
        <w:t>Three-Year Period</w:t>
      </w:r>
      <w:r>
        <w:rPr>
          <w:rFonts w:ascii="Times New Roman" w:hAnsi="Times New Roman"/>
          <w:color w:val="000000"/>
          <w:sz w:val="20"/>
        </w:rPr>
        <w:t xml:space="preserve">” </w:t>
      </w:r>
      <w:r>
        <w:rPr>
          <w:rFonts w:ascii="Times New Roman" w:hAnsi="Times New Roman"/>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 xml:space="preserve">ACKNOWLEDGMENT AND CONSENT TO </w:t>
        <w:br/>
        <w:t>POLICY FOR RECOVERY OF ERRONEOUSLY AWARDED COMPENSATION</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has received a copy of the Policy for Recovery of Erroneously Awarded</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|US-DOCS\145466494.3||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Compensation (the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adopted by Aligos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160"/>
        <w:jc w:val="both"/>
        <w:rPr/>
      </w:pPr>
      <w:r>
        <w:rPr/>
        <w:t> </w:t>
      </w:r>
    </w:p>
    <w:p>
      <w:pPr>
        <w:pStyle w:val="TextBody"/>
        <w:bidi w:val="0"/>
        <w:spacing w:before="0" w:after="160"/>
        <w:jc w:val="both"/>
        <w:rPr/>
      </w:pPr>
      <w:r>
        <w:rPr/>
        <w:t> </w:t>
      </w:r>
    </w:p>
    <w:tbl>
      <w:tblPr>
        <w:tblW w:w="7352" w:type="dxa"/>
        <w:jc w:val="left"/>
        <w:tblInd w:w="0" w:type="dxa"/>
        <w:tblLayout w:type="fixed"/>
        <w:tblCellMar>
          <w:top w:w="28" w:type="dxa"/>
          <w:left w:w="28" w:type="dxa"/>
          <w:bottom w:w="28" w:type="dxa"/>
          <w:right w:w="28" w:type="dxa"/>
        </w:tblCellMar>
      </w:tblPr>
      <w:tblGrid>
        <w:gridCol w:w="2401"/>
        <w:gridCol w:w="4951"/>
      </w:tblGrid>
      <w:tr>
        <w:trPr/>
        <w:tc>
          <w:tcPr>
            <w:tcW w:w="240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___________________</w:t>
            </w:r>
          </w:p>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Date</w:t>
            </w:r>
          </w:p>
        </w:tc>
        <w:tc>
          <w:tcPr>
            <w:tcW w:w="495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________________________________________</w:t>
            </w:r>
          </w:p>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Signature</w:t>
            </w:r>
          </w:p>
          <w:p>
            <w:pPr>
              <w:pStyle w:val="TableContents"/>
              <w:bidi w:val="0"/>
              <w:spacing w:before="0" w:after="160"/>
              <w:jc w:val="both"/>
              <w:rPr/>
            </w:pPr>
            <w:r>
              <w:rPr/>
              <w:t> </w:t>
            </w:r>
          </w:p>
        </w:tc>
      </w:tr>
      <w:tr>
        <w:trPr/>
        <w:tc>
          <w:tcPr>
            <w:tcW w:w="2401" w:type="dxa"/>
            <w:tcBorders/>
            <w:tcMar>
              <w:top w:w="0" w:type="dxa"/>
              <w:left w:w="0" w:type="dxa"/>
              <w:bottom w:w="0" w:type="dxa"/>
              <w:right w:w="0" w:type="dxa"/>
            </w:tcMar>
            <w:vAlign w:val="center"/>
          </w:tcPr>
          <w:p>
            <w:pPr>
              <w:pStyle w:val="TableContents"/>
              <w:bidi w:val="0"/>
              <w:spacing w:before="0" w:after="160"/>
              <w:jc w:val="both"/>
              <w:rPr/>
            </w:pPr>
            <w:r>
              <w:rPr/>
              <w:t> </w:t>
            </w:r>
          </w:p>
        </w:tc>
        <w:tc>
          <w:tcPr>
            <w:tcW w:w="495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________________________________________</w:t>
            </w:r>
          </w:p>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Name</w:t>
            </w:r>
          </w:p>
          <w:p>
            <w:pPr>
              <w:pStyle w:val="TableContents"/>
              <w:bidi w:val="0"/>
              <w:spacing w:before="0" w:after="160"/>
              <w:jc w:val="both"/>
              <w:rPr/>
            </w:pPr>
            <w:r>
              <w:rPr/>
              <w:t> </w:t>
            </w:r>
          </w:p>
        </w:tc>
      </w:tr>
      <w:tr>
        <w:trPr/>
        <w:tc>
          <w:tcPr>
            <w:tcW w:w="2401" w:type="dxa"/>
            <w:tcBorders/>
            <w:tcMar>
              <w:top w:w="0" w:type="dxa"/>
              <w:left w:w="0" w:type="dxa"/>
              <w:bottom w:w="0" w:type="dxa"/>
              <w:right w:w="0" w:type="dxa"/>
            </w:tcMar>
            <w:vAlign w:val="center"/>
          </w:tcPr>
          <w:p>
            <w:pPr>
              <w:pStyle w:val="TableContents"/>
              <w:bidi w:val="0"/>
              <w:spacing w:before="0" w:after="160"/>
              <w:jc w:val="both"/>
              <w:rPr/>
            </w:pPr>
            <w:r>
              <w:rPr/>
              <w:t> </w:t>
            </w:r>
          </w:p>
        </w:tc>
        <w:tc>
          <w:tcPr>
            <w:tcW w:w="495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________________________________________</w:t>
            </w:r>
          </w:p>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Title</w:t>
            </w:r>
          </w:p>
        </w:tc>
      </w:tr>
    </w:tbl>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5</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|US-DOCS\145466494.3||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hyperlink" Target="https://www.sec.gov/Archives/edgar/data/1799448/000119312520272852/d46540dex31.htm" TargetMode="External"/><Relationship Id="rId12" Type="http://schemas.openxmlformats.org/officeDocument/2006/relationships/hyperlink" Target="https://www.sec.gov/Archives/edgar/data/1799448/000119312520272852/d46540dex32.htm" TargetMode="External"/><Relationship Id="rId13" Type="http://schemas.openxmlformats.org/officeDocument/2006/relationships/hyperlink" Target="https://www.sec.gov/Archives/edgar/data/1799448/000119312520272852/d46540dex31.htm" TargetMode="External"/><Relationship Id="rId14" Type="http://schemas.openxmlformats.org/officeDocument/2006/relationships/hyperlink" Target="https://www.sec.gov/Archives/edgar/data/1799448/000119312520272852/d46540dex32.htm" TargetMode="External"/><Relationship Id="rId15" Type="http://schemas.openxmlformats.org/officeDocument/2006/relationships/hyperlink" Target="https://www.sec.gov/Archives/edgar/data/1799448/000119312520267346/d31402dex42.htm" TargetMode="External"/><Relationship Id="rId16" Type="http://schemas.openxmlformats.org/officeDocument/2006/relationships/hyperlink" Target="https://www.sec.gov/Archives/edgar/data/0001799448/000156459021014872/algs-ex43_785.htm" TargetMode="External"/><Relationship Id="rId17" Type="http://schemas.openxmlformats.org/officeDocument/2006/relationships/hyperlink" Target="https://www.sec.gov/Archives/edgar/data/1799448/000119312523263158/d533607dex41.htm" TargetMode="External"/><Relationship Id="rId18" Type="http://schemas.openxmlformats.org/officeDocument/2006/relationships/hyperlink" Target="https://www.sec.gov/Archives/edgar/data/1799448/000119312523263158/d533607dex42.htm" TargetMode="External"/><Relationship Id="rId19" Type="http://schemas.openxmlformats.org/officeDocument/2006/relationships/hyperlink" Target="https://www.sec.gov/Archives/edgar/data/1799448/000119312520254760/d31402dex101a.htm" TargetMode="External"/><Relationship Id="rId20" Type="http://schemas.openxmlformats.org/officeDocument/2006/relationships/hyperlink" Target="https://www.sec.gov/Archives/edgar/data/1799448/000119312520254760/d31402dex101b.htm" TargetMode="External"/><Relationship Id="rId21" Type="http://schemas.openxmlformats.org/officeDocument/2006/relationships/hyperlink" Target="https://www.sec.gov/Archives/edgar/data/1799448/000119312520254760/d31402dex102a.htm" TargetMode="External"/><Relationship Id="rId22" Type="http://schemas.openxmlformats.org/officeDocument/2006/relationships/hyperlink" Target="https://www.sec.gov/Archives/edgar/data/1799448/000119312520254760/d31402dex102b.htm" TargetMode="External"/><Relationship Id="rId23" Type="http://schemas.openxmlformats.org/officeDocument/2006/relationships/hyperlink" Target="https://www.sec.gov/Archives/edgar/data/1799448/000119312520254760/d31402dex103.htm" TargetMode="External"/><Relationship Id="rId24" Type="http://schemas.openxmlformats.org/officeDocument/2006/relationships/hyperlink" Target="https://www.sec.gov/Archives/edgar/data/1799448/000119312520267346/d31402dex104.htm" TargetMode="External"/><Relationship Id="rId25" Type="http://schemas.openxmlformats.org/officeDocument/2006/relationships/hyperlink" Target="https://www.sec.gov/Archives/edgar/data/1799448/000119312520254760/d31402dex105a.htm" TargetMode="External"/><Relationship Id="rId26" Type="http://schemas.openxmlformats.org/officeDocument/2006/relationships/hyperlink" Target="https://www.sec.gov/Archives/edgar/data/1799448/000119312520254760/d31402dex105b.htm" TargetMode="External"/><Relationship Id="rId27" Type="http://schemas.openxmlformats.org/officeDocument/2006/relationships/hyperlink" Target="https://www.sec.gov/Archives/edgar/data/1799448/000119312520254760/d31402dex105c.htm" TargetMode="External"/><Relationship Id="rId28" Type="http://schemas.openxmlformats.org/officeDocument/2006/relationships/hyperlink" Target="https://www.sec.gov/Archives/edgar/data/1799448/000119312520254760/d31402dex105d.htm" TargetMode="External"/><Relationship Id="rId29" Type="http://schemas.openxmlformats.org/officeDocument/2006/relationships/hyperlink" Target="https://www.sec.gov/Archives/edgar/data/1799448/000119312520267346/d31402dex106a.htm" TargetMode="External"/><Relationship Id="rId30" Type="http://schemas.openxmlformats.org/officeDocument/2006/relationships/hyperlink" Target="https://www.sec.gov/Archives/edgar/data/1799448/000119312520267346/d31402dex106b.htm" TargetMode="External"/><Relationship Id="rId31" Type="http://schemas.openxmlformats.org/officeDocument/2006/relationships/hyperlink" Target="https://www.sec.gov/Archives/edgar/data/1799448/000119312520267346/d31402dex106c.htm" TargetMode="External"/><Relationship Id="rId32" Type="http://schemas.openxmlformats.org/officeDocument/2006/relationships/hyperlink" Target="https://www.sec.gov/Archives/edgar/data/1799448/000119312520267346/d31402dex106d.htm" TargetMode="External"/><Relationship Id="rId33" Type="http://schemas.openxmlformats.org/officeDocument/2006/relationships/hyperlink" Target="https://www.sec.gov/Archives/edgar/data/1799448/000119312520267346/d31402dex107.htm" TargetMode="External"/><Relationship Id="rId34" Type="http://schemas.openxmlformats.org/officeDocument/2006/relationships/hyperlink" Target="https://www.sec.gov/Archives/edgar/data/1799448/000119312520267346/d31402dex1012.htm" TargetMode="External"/><Relationship Id="rId35" Type="http://schemas.openxmlformats.org/officeDocument/2006/relationships/hyperlink" Target="https://www.sec.gov/Archives/edgar/data/0001799448/000156459021026071/algs-ex101_184.htm" TargetMode="External"/><Relationship Id="rId36" Type="http://schemas.openxmlformats.org/officeDocument/2006/relationships/hyperlink" Target="https://www.sec.gov/Archives/edgar/data/0001799448/000156459021026071/algs-ex102_183.htm" TargetMode="External"/><Relationship Id="rId37" Type="http://schemas.openxmlformats.org/officeDocument/2006/relationships/hyperlink" Target="https://www.sec.gov/Archives/edgar/data/0001799448/000156459021026071/algs-ex103_277.htm" TargetMode="External"/><Relationship Id="rId38" Type="http://schemas.openxmlformats.org/officeDocument/2006/relationships/hyperlink" Target="https://www.sec.gov/Archives/edgar/data/0001799448/000156459021026071/algs-ex103_277.htm" TargetMode="External"/><Relationship Id="rId39" Type="http://schemas.openxmlformats.org/officeDocument/2006/relationships/hyperlink" Target="https://www.sec.gov/Archives/edgar/data/0001799448/000156459021026071/algs-ex104_182.htm" TargetMode="External"/><Relationship Id="rId40" Type="http://schemas.openxmlformats.org/officeDocument/2006/relationships/hyperlink" Target="https://www.sec.gov/Archives/edgar/data/1799448/000095017022003365/algs-ex10_16.htm" TargetMode="External"/><Relationship Id="rId41" Type="http://schemas.openxmlformats.org/officeDocument/2006/relationships/hyperlink" Target="https://www.sec.gov/Archives/edgar/data/1799448/000095017023017890/algs-ex4_3.htm" TargetMode="External"/><Relationship Id="rId42" Type="http://schemas.openxmlformats.org/officeDocument/2006/relationships/hyperlink" Target="https://www.sec.gov/Archives/edgar/data/1799448/000119312523263158/d533607dex101.htm" TargetMode="External"/><Relationship Id="rId43" Type="http://schemas.openxmlformats.org/officeDocument/2006/relationships/hyperlink" Target="https://www.sec.gov/Archives/edgar/data/1799448/000095017023007033/algs-ex21_1.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113577</Words>
  <Characters>633102</Characters>
  <CharactersWithSpaces>746616</CharactersWithSpaces>
  <Paragraphs>7218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