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ind w:left="2580" w:right="820" w:hanging="2580"/>
        <w:spacing w:after="0" w:line="344" w:lineRule="auto"/>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2120"/>
        <w:spacing w:after="0"/>
        <w:tabs>
          <w:tab w:leader="none" w:pos="5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Commission File Number: 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1884045</wp:posOffset>
            </wp:positionH>
            <wp:positionV relativeFrom="paragraph">
              <wp:posOffset>74295</wp:posOffset>
            </wp:positionV>
            <wp:extent cx="1748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23"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42"/>
          <w:szCs w:val="42"/>
          <w:b w:val="1"/>
          <w:bCs w:val="1"/>
          <w:color w:val="auto"/>
        </w:rPr>
        <w:t>Aligos Therapeutics, Inc.</w:t>
      </w:r>
    </w:p>
    <w:p>
      <w:pPr>
        <w:spacing w:after="0" w:line="60"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80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120" w:type="dxa"/>
            <w:vAlign w:val="bottom"/>
          </w:tcPr>
          <w:p>
            <w:pPr>
              <w:spacing w:after="0"/>
              <w:rPr>
                <w:sz w:val="20"/>
                <w:szCs w:val="20"/>
                <w:color w:val="auto"/>
              </w:rPr>
            </w:pPr>
          </w:p>
        </w:tc>
      </w:tr>
      <w:tr>
        <w:trPr>
          <w:trHeight w:val="287"/>
        </w:trPr>
        <w:tc>
          <w:tcPr>
            <w:tcW w:w="5800" w:type="dxa"/>
            <w:vAlign w:val="bottom"/>
          </w:tcPr>
          <w:p>
            <w:pPr>
              <w:jc w:val="center"/>
              <w:ind w:right="40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20" w:type="dxa"/>
            <w:vAlign w:val="bottom"/>
          </w:tcPr>
          <w:p>
            <w:pPr>
              <w:jc w:val="center"/>
              <w:ind w:left="68"/>
              <w:spacing w:after="0"/>
              <w:rPr>
                <w:sz w:val="20"/>
                <w:szCs w:val="20"/>
                <w:color w:val="auto"/>
              </w:rPr>
            </w:pPr>
            <w:r>
              <w:rPr>
                <w:rFonts w:ascii="Times New Roman" w:cs="Times New Roman" w:eastAsia="Times New Roman" w:hAnsi="Times New Roman"/>
                <w:sz w:val="18"/>
                <w:szCs w:val="18"/>
                <w:b w:val="1"/>
                <w:bCs w:val="1"/>
                <w:color w:val="auto"/>
                <w:w w:val="98"/>
              </w:rPr>
              <w:t>82-4724808</w:t>
            </w:r>
          </w:p>
        </w:tc>
      </w:tr>
      <w:tr>
        <w:trPr>
          <w:trHeight w:val="142"/>
        </w:trPr>
        <w:tc>
          <w:tcPr>
            <w:tcW w:w="5800" w:type="dxa"/>
            <w:vAlign w:val="bottom"/>
          </w:tcPr>
          <w:p>
            <w:pPr>
              <w:jc w:val="center"/>
              <w:ind w:right="4104"/>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120" w:type="dxa"/>
            <w:vAlign w:val="bottom"/>
          </w:tcPr>
          <w:p>
            <w:pPr>
              <w:jc w:val="center"/>
              <w:ind w:left="68"/>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5800" w:type="dxa"/>
            <w:vAlign w:val="bottom"/>
          </w:tcPr>
          <w:p>
            <w:pPr>
              <w:jc w:val="center"/>
              <w:ind w:right="408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120" w:type="dxa"/>
            <w:vAlign w:val="bottom"/>
          </w:tcPr>
          <w:p>
            <w:pPr>
              <w:jc w:val="center"/>
              <w:ind w:left="6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102" w:lineRule="exact"/>
        <w:rPr>
          <w:sz w:val="24"/>
          <w:szCs w:val="24"/>
          <w:color w:val="auto"/>
        </w:rPr>
      </w:pPr>
    </w:p>
    <w:p>
      <w:pPr>
        <w:sectPr>
          <w:pgSz w:w="11900" w:h="16838" w:orient="portrait"/>
          <w:cols w:equalWidth="0" w:num="2">
            <w:col w:w="940" w:space="340"/>
            <w:col w:w="9960"/>
          </w:cols>
          <w:pgMar w:left="320" w:top="1045"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240" w:type="dxa"/>
            <w:vAlign w:val="bottom"/>
          </w:tcPr>
          <w:p>
            <w:pPr>
              <w:jc w:val="center"/>
              <w:ind w:left="1318"/>
              <w:spacing w:after="0"/>
              <w:rPr>
                <w:sz w:val="20"/>
                <w:szCs w:val="20"/>
                <w:color w:val="auto"/>
              </w:rPr>
            </w:pPr>
            <w:r>
              <w:rPr>
                <w:rFonts w:ascii="Times New Roman" w:cs="Times New Roman" w:eastAsia="Times New Roman" w:hAnsi="Times New Roman"/>
                <w:sz w:val="18"/>
                <w:szCs w:val="18"/>
                <w:b w:val="1"/>
                <w:bCs w:val="1"/>
                <w:color w:val="auto"/>
                <w:w w:val="99"/>
              </w:rPr>
              <w:t>One Corporate Drive, 2nd Floor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52"/>
        </w:trPr>
        <w:tc>
          <w:tcPr>
            <w:tcW w:w="4240" w:type="dxa"/>
            <w:vAlign w:val="bottom"/>
          </w:tcPr>
          <w:p>
            <w:pPr>
              <w:jc w:val="center"/>
              <w:ind w:left="1298"/>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20" w:type="dxa"/>
            <w:vAlign w:val="bottom"/>
          </w:tcPr>
          <w:p>
            <w:pPr>
              <w:jc w:val="right"/>
              <w:ind w:right="250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3"/>
        </w:trPr>
        <w:tc>
          <w:tcPr>
            <w:tcW w:w="4240" w:type="dxa"/>
            <w:vAlign w:val="bottom"/>
          </w:tcPr>
          <w:p>
            <w:pPr>
              <w:jc w:val="center"/>
              <w:ind w:left="131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20" w:type="dxa"/>
            <w:vAlign w:val="bottom"/>
          </w:tcPr>
          <w:p>
            <w:pPr>
              <w:jc w:val="center"/>
              <w:ind w:right="2121"/>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00"/>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(800) 466-6059</w:t>
            </w:r>
          </w:p>
        </w:tc>
      </w:tr>
      <w:tr>
        <w:trPr>
          <w:trHeight w:val="135"/>
        </w:trPr>
        <w:tc>
          <w:tcPr>
            <w:tcW w:w="4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3420" w:type="dxa"/>
            <w:vAlign w:val="bottom"/>
          </w:tcPr>
          <w:p>
            <w:pPr>
              <w:spacing w:after="0"/>
              <w:rPr>
                <w:sz w:val="11"/>
                <w:szCs w:val="11"/>
                <w:color w:val="auto"/>
              </w:rPr>
            </w:pPr>
          </w:p>
        </w:tc>
      </w:tr>
      <w:tr>
        <w:trPr>
          <w:trHeight w:val="277"/>
        </w:trPr>
        <w:tc>
          <w:tcPr>
            <w:tcW w:w="7820" w:type="dxa"/>
            <w:vAlign w:val="bottom"/>
            <w:gridSpan w:val="7"/>
          </w:tcPr>
          <w:p>
            <w:pPr>
              <w:jc w:val="center"/>
              <w:ind w:left="329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420" w:type="dxa"/>
            <w:vAlign w:val="bottom"/>
          </w:tcPr>
          <w:p>
            <w:pPr>
              <w:spacing w:after="0"/>
              <w:rPr>
                <w:sz w:val="24"/>
                <w:szCs w:val="24"/>
                <w:color w:val="auto"/>
              </w:rPr>
            </w:pPr>
          </w:p>
        </w:tc>
      </w:tr>
      <w:tr>
        <w:trPr>
          <w:trHeight w:val="242"/>
        </w:trPr>
        <w:tc>
          <w:tcPr>
            <w:tcW w:w="4240" w:type="dxa"/>
            <w:vAlign w:val="bottom"/>
          </w:tcPr>
          <w:p>
            <w:pPr>
              <w:jc w:val="center"/>
              <w:ind w:left="78"/>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34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02"/>
        </w:trPr>
        <w:tc>
          <w:tcPr>
            <w:tcW w:w="4240" w:type="dxa"/>
            <w:vAlign w:val="bottom"/>
            <w:tcBorders>
              <w:top w:val="single" w:sz="8" w:color="auto"/>
            </w:tcBorders>
          </w:tcPr>
          <w:p>
            <w:pPr>
              <w:jc w:val="center"/>
              <w:ind w:left="78"/>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top w:val="single" w:sz="8" w:color="auto"/>
            </w:tcBorders>
          </w:tcPr>
          <w:p>
            <w:pPr>
              <w:ind w:left="880"/>
              <w:spacing w:after="0" w:line="202" w:lineRule="exact"/>
              <w:rPr>
                <w:sz w:val="20"/>
                <w:szCs w:val="20"/>
                <w:color w:val="auto"/>
              </w:rPr>
            </w:pPr>
            <w:r>
              <w:rPr>
                <w:rFonts w:ascii="Times New Roman" w:cs="Times New Roman" w:eastAsia="Times New Roman" w:hAnsi="Times New Roman"/>
                <w:sz w:val="18"/>
                <w:szCs w:val="18"/>
                <w:b w:val="1"/>
                <w:bCs w:val="1"/>
                <w:color w:val="auto"/>
              </w:rPr>
              <w:t>ALGS</w:t>
            </w:r>
          </w:p>
        </w:tc>
        <w:tc>
          <w:tcPr>
            <w:tcW w:w="100" w:type="dxa"/>
            <w:vAlign w:val="bottom"/>
          </w:tcPr>
          <w:p>
            <w:pPr>
              <w:spacing w:after="0"/>
              <w:rPr>
                <w:sz w:val="17"/>
                <w:szCs w:val="17"/>
                <w:color w:val="auto"/>
              </w:rPr>
            </w:pPr>
          </w:p>
        </w:tc>
        <w:tc>
          <w:tcPr>
            <w:tcW w:w="940" w:type="dxa"/>
            <w:vAlign w:val="bottom"/>
            <w:tcBorders>
              <w:top w:val="single" w:sz="8" w:color="auto"/>
            </w:tcBorders>
            <w:gridSpan w:val="2"/>
          </w:tcPr>
          <w:p>
            <w:pPr>
              <w:spacing w:after="0"/>
              <w:rPr>
                <w:sz w:val="17"/>
                <w:szCs w:val="17"/>
                <w:color w:val="auto"/>
              </w:rPr>
            </w:pPr>
          </w:p>
        </w:tc>
        <w:tc>
          <w:tcPr>
            <w:tcW w:w="3420" w:type="dxa"/>
            <w:vAlign w:val="bottom"/>
            <w:tcBorders>
              <w:top w:val="single" w:sz="8" w:color="auto"/>
            </w:tcBorders>
          </w:tcPr>
          <w:p>
            <w:pPr>
              <w:jc w:val="center"/>
              <w:ind w:right="861"/>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8"/>
              </w:rPr>
              <w:t>(Nasdaq Capital Market)</w:t>
            </w:r>
          </w:p>
        </w:tc>
      </w:tr>
    </w:tbl>
    <w:p>
      <w:pPr>
        <w:spacing w:after="0" w:line="76"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p>
      <w:pPr>
        <w:ind w:left="20"/>
        <w:spacing w:after="0" w:line="207" w:lineRule="exact"/>
        <w:tabs>
          <w:tab w:leader="none" w:pos="2000" w:val="left"/>
          <w:tab w:leader="none" w:pos="7700" w:val="left"/>
          <w:tab w:leader="none" w:pos="1104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04" w:lineRule="exact"/>
        <w:rPr>
          <w:sz w:val="24"/>
          <w:szCs w:val="24"/>
          <w:color w:val="auto"/>
        </w:rPr>
      </w:pPr>
    </w:p>
    <w:p>
      <w:pPr>
        <w:ind w:left="20"/>
        <w:spacing w:after="0" w:line="207" w:lineRule="exact"/>
        <w:tabs>
          <w:tab w:leader="none" w:pos="2000" w:val="left"/>
          <w:tab w:leader="none" w:pos="7700" w:val="left"/>
          <w:tab w:leader="none" w:pos="1104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04" w:lineRule="exact"/>
        <w:rPr>
          <w:sz w:val="24"/>
          <w:szCs w:val="24"/>
          <w:color w:val="auto"/>
        </w:rPr>
      </w:pPr>
    </w:p>
    <w:p>
      <w:pPr>
        <w:ind w:left="8520"/>
        <w:spacing w:after="0" w:line="207" w:lineRule="exact"/>
        <w:tabs>
          <w:tab w:leader="none" w:pos="110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900" w:val="left"/>
          <w:tab w:leader="none" w:pos="95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11" w:lineRule="exact"/>
        <w:rPr>
          <w:sz w:val="24"/>
          <w:szCs w:val="24"/>
          <w:color w:val="auto"/>
        </w:rPr>
      </w:pPr>
    </w:p>
    <w:p>
      <w:pPr>
        <w:ind w:right="300" w:firstLine="509"/>
        <w:spacing w:after="0" w:line="312" w:lineRule="auto"/>
        <w:rPr>
          <w:sz w:val="20"/>
          <w:szCs w:val="20"/>
          <w:color w:val="auto"/>
        </w:rPr>
      </w:pPr>
      <w:r>
        <w:rPr>
          <w:rFonts w:ascii="Times New Roman" w:cs="Times New Roman" w:eastAsia="Times New Roman" w:hAnsi="Times New Roman"/>
          <w:sz w:val="17"/>
          <w:szCs w:val="17"/>
          <w:color w:val="auto"/>
        </w:rPr>
        <w:t>As of August 2, 2024, the registrant had 79,902,567 shares of common stock, $0.0001 par value per share, outstanding, comprised of 76,810,229 shares of voting common stock, $0.0001 par value per share and 3,092,338 shares of non-voting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72" w:lineRule="exact"/>
        <w:rPr>
          <w:sz w:val="20"/>
          <w:szCs w:val="20"/>
          <w:color w:val="auto"/>
        </w:rPr>
      </w:pPr>
    </w:p>
    <w:p>
      <w:pPr>
        <w:ind w:left="1020" w:right="420" w:hanging="503"/>
        <w:spacing w:after="0" w:line="239" w:lineRule="exact"/>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our drug candidates or any other future drug candidates, and conducting nonclinical studies and clinical trials, including our ALG-055009,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and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clinical trials;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related to the research and development of our pipeline;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involved in, obtaining and maintaining regulatory approval for any of our current or future drug candidates, and any related restrictions or limitations;</w:t>
      </w:r>
    </w:p>
    <w:p>
      <w:pPr>
        <w:spacing w:after="0" w:line="12" w:lineRule="exact"/>
        <w:rPr>
          <w:rFonts w:ascii="Times New Roman" w:cs="Times New Roman" w:eastAsia="Times New Roman" w:hAnsi="Times New Roman"/>
          <w:sz w:val="18"/>
          <w:szCs w:val="18"/>
          <w:color w:val="auto"/>
        </w:rPr>
      </w:pPr>
    </w:p>
    <w:p>
      <w:pPr>
        <w:ind w:left="1020" w:right="560" w:hanging="503"/>
        <w:spacing w:after="0" w:line="259" w:lineRule="exact"/>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size of the potential patient populations for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and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our other drug candidates and any future drug candidates, if approved for commercial use;</w:t>
      </w:r>
    </w:p>
    <w:p>
      <w:pPr>
        <w:spacing w:after="0" w:line="6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collaborations, licensing or other arrangements and the financial terms of any such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expectations;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drug candidates, as well as the pricing and reimbursement of our drug candidates, if approved;</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 candidates and technology, including additional indications for which we may pursue;</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including the projected term of patent protection;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 including competing therapies and procedures;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legal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management, scientific and medical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enforce and defend our intellectual property protection for our drug candidates;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color w:val="auto"/>
        </w:rPr>
        <w:t>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w:t>
      </w:r>
    </w:p>
    <w:p>
      <w:pPr>
        <w:spacing w:after="0" w:line="187"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Securities and Exchange Commission (the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risks and uncertainties affecting our business include the following:</w:t>
      </w:r>
    </w:p>
    <w:p>
      <w:pPr>
        <w:spacing w:after="0" w:line="117" w:lineRule="exact"/>
        <w:rPr>
          <w:sz w:val="20"/>
          <w:szCs w:val="20"/>
          <w:color w:val="auto"/>
        </w:rPr>
      </w:pPr>
    </w:p>
    <w:p>
      <w:pPr>
        <w:ind w:left="1020" w:right="100" w:hanging="503"/>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no products approved for commercial sale. We have incurred significant losses in each fiscal year since inception. We expect to incur losses in each fiscal year for at least the next several years and may never achieve or maintain profitability for a full fiscal year, which, together with our limited operating history, makes it difficult to assess our future viability.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 for a full fiscal year.</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continued listing requirements of the Nasdaq Stock Market LLC (Nasdaq) our common stock may be delisted and the price of our common stock and our ability to access the capital markets could be negatively impacted.</w:t>
      </w:r>
    </w:p>
    <w:p>
      <w:pPr>
        <w:spacing w:after="0" w:line="53"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other therapies, which exposes us to additional risks.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53"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 w:name="page4"/>
    <w:bookmarkEnd w:id="3"/>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9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and Six Months Ended</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70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June 30, 2024 and 2023</w:t>
            </w:r>
          </w:p>
        </w:tc>
        <w:tc>
          <w:tcPr>
            <w:tcW w:w="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 Ended June 30, 2024</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76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and 2023</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60" w:type="dxa"/>
            <w:vAlign w:val="bottom"/>
            <w:tcBorders>
              <w:left w:val="single" w:sz="8" w:color="0000FF"/>
            </w:tcBorders>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gridSpan w:val="2"/>
            <w:vMerge w:val="continue"/>
          </w:tcPr>
          <w:p>
            <w:pPr>
              <w:spacing w:after="0"/>
              <w:rPr>
                <w:sz w:val="24"/>
                <w:szCs w:val="24"/>
                <w:color w:val="auto"/>
              </w:rPr>
            </w:pP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68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70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45,078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135,704</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tcPr>
          <w:p>
            <w:pPr>
              <w:spacing w:after="0"/>
              <w:rPr>
                <w:sz w:val="20"/>
                <w:szCs w:val="20"/>
                <w:color w:val="auto"/>
              </w:rPr>
            </w:pPr>
          </w:p>
        </w:tc>
      </w:tr>
      <w:tr>
        <w:trPr>
          <w:trHeight w:val="237"/>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99,570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r>
      <w:tr>
        <w:trPr>
          <w:trHeight w:val="277"/>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108,811</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8"/>
        </w:trPr>
        <w:tc>
          <w:tcPr>
            <w:tcW w:w="7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from customers, current</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20"/>
                <w:szCs w:val="20"/>
                <w:color w:val="auto"/>
              </w:rPr>
            </w:pPr>
          </w:p>
        </w:tc>
      </w:tr>
      <w:tr>
        <w:trPr>
          <w:trHeight w:val="243"/>
        </w:trPr>
        <w:tc>
          <w:tcPr>
            <w:tcW w:w="7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from collaborations, current</w:t>
            </w:r>
          </w:p>
        </w:tc>
        <w:tc>
          <w:tcPr>
            <w:tcW w:w="3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100" w:type="dxa"/>
            <w:vAlign w:val="bottom"/>
          </w:tcPr>
          <w:p>
            <w:pPr>
              <w:spacing w:after="0"/>
              <w:rPr>
                <w:sz w:val="20"/>
                <w:szCs w:val="20"/>
                <w:color w:val="auto"/>
              </w:rPr>
            </w:pPr>
          </w:p>
        </w:tc>
      </w:tr>
      <w:tr>
        <w:trPr>
          <w:trHeight w:val="241"/>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00" w:type="dxa"/>
            <w:vAlign w:val="bottom"/>
            <w:shd w:val="clear" w:color="auto" w:fill="CFF0FC"/>
          </w:tcPr>
          <w:p>
            <w:pPr>
              <w:spacing w:after="0"/>
              <w:rPr>
                <w:sz w:val="20"/>
                <w:szCs w:val="20"/>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liability</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r>
      <w:tr>
        <w:trPr>
          <w:trHeight w:val="236"/>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41,582</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as of June 30, 2024 and December</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 2023, respectively; no shares issued and outstanding as of June 30, 2024 and December 31, 2023,</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8"/>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520,000,000 shares and 320,000,000 shares authorized as of June</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30, 2024 and December 31, 2023, respectively; 79,785,898 and 75,096,906 shares issued and</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June 30, 2024 and December 31, 2023, respectively.</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578,325</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(516,599 )</w:t>
            </w: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(486,797 )</w:t>
            </w: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0"/>
                <w:szCs w:val="20"/>
                <w:color w:val="auto"/>
              </w:rPr>
            </w:pPr>
          </w:p>
        </w:tc>
      </w:tr>
      <w:tr>
        <w:trPr>
          <w:trHeight w:val="237"/>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67,229</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108,811</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151,527</w:t>
            </w:r>
          </w:p>
        </w:tc>
        <w:tc>
          <w:tcPr>
            <w:tcW w:w="100" w:type="dxa"/>
            <w:vAlign w:val="bottom"/>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-5142865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-5142865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-4508500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-4491355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-4508500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-2939415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-1988185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30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50"/>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shd w:val="clear" w:color="auto" w:fill="CFF0FC"/>
          </w:tcPr>
          <w:p>
            <w:pPr>
              <w:spacing w:after="0"/>
              <w:rPr>
                <w:sz w:val="21"/>
                <w:szCs w:val="21"/>
                <w:color w:val="auto"/>
              </w:rPr>
            </w:pPr>
          </w:p>
        </w:tc>
      </w:tr>
      <w:tr>
        <w:trPr>
          <w:trHeight w:val="25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customers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Pr>
          <w:p>
            <w:pPr>
              <w:spacing w:after="0"/>
              <w:rPr>
                <w:sz w:val="21"/>
                <w:szCs w:val="21"/>
                <w:color w:val="auto"/>
              </w:rPr>
            </w:pPr>
          </w:p>
        </w:tc>
      </w:tr>
      <w:tr>
        <w:trPr>
          <w:trHeight w:val="250"/>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34,916</w:t>
            </w:r>
          </w:p>
        </w:tc>
        <w:tc>
          <w:tcPr>
            <w:tcW w:w="100" w:type="dxa"/>
            <w:vAlign w:val="bottom"/>
          </w:tcPr>
          <w:p>
            <w:pPr>
              <w:spacing w:after="0"/>
              <w:rPr>
                <w:sz w:val="20"/>
                <w:szCs w:val="20"/>
                <w:color w:val="auto"/>
              </w:rPr>
            </w:pPr>
          </w:p>
        </w:tc>
      </w:tr>
      <w:tr>
        <w:trPr>
          <w:trHeight w:val="243"/>
        </w:trPr>
        <w:tc>
          <w:tcPr>
            <w:tcW w:w="6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4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26,027</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52,668</w:t>
            </w:r>
          </w:p>
        </w:tc>
        <w:tc>
          <w:tcPr>
            <w:tcW w:w="100" w:type="dxa"/>
            <w:vAlign w:val="bottom"/>
          </w:tcPr>
          <w:p>
            <w:pPr>
              <w:spacing w:after="0"/>
              <w:rPr>
                <w:sz w:val="20"/>
                <w:szCs w:val="20"/>
                <w:color w:val="auto"/>
              </w:rPr>
            </w:pPr>
          </w:p>
        </w:tc>
      </w:tr>
      <w:tr>
        <w:trPr>
          <w:trHeight w:val="241"/>
        </w:trPr>
        <w:tc>
          <w:tcPr>
            <w:tcW w:w="6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(26,414 )</w:t>
            </w: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(19,141 )</w:t>
            </w: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(48,460 )</w:t>
            </w: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(43,059 )</w:t>
            </w: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31,664</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20"/>
                <w:szCs w:val="20"/>
                <w:color w:val="auto"/>
              </w:rPr>
            </w:pPr>
          </w:p>
        </w:tc>
      </w:tr>
      <w:tr>
        <w:trPr>
          <w:trHeight w:val="241"/>
        </w:trPr>
        <w:tc>
          <w:tcPr>
            <w:tcW w:w="6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(18,034 )</w:t>
            </w: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(29,589 )</w:t>
            </w: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(40,950 )</w:t>
            </w: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(189 )</w:t>
            </w:r>
          </w:p>
        </w:tc>
        <w:tc>
          <w:tcPr>
            <w:tcW w:w="18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(757 )</w:t>
            </w: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(213 )</w:t>
            </w: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(796 )</w:t>
            </w:r>
          </w:p>
        </w:tc>
      </w:tr>
      <w:tr>
        <w:trPr>
          <w:trHeight w:val="20"/>
        </w:trPr>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(18,791 )</w:t>
            </w: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(29,802 )</w:t>
            </w: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(41,746 )</w:t>
            </w:r>
          </w:p>
        </w:tc>
      </w:tr>
      <w:tr>
        <w:trPr>
          <w:trHeight w:val="236"/>
        </w:trPr>
        <w:tc>
          <w:tcPr>
            <w:tcW w:w="6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(51 )</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1"/>
                <w:szCs w:val="21"/>
                <w:color w:val="auto"/>
              </w:rPr>
            </w:pPr>
          </w:p>
        </w:tc>
      </w:tr>
      <w:tr>
        <w:trPr>
          <w:trHeight w:val="20"/>
        </w:trPr>
        <w:tc>
          <w:tcPr>
            <w:tcW w:w="60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80" w:type="dxa"/>
            <w:vAlign w:val="bottom"/>
            <w:tcBorders>
              <w:bottom w:val="single" w:sz="8" w:color="auto"/>
            </w:tcBorders>
            <w:shd w:val="clear" w:color="auto" w:fill="CFF0FC"/>
          </w:tcPr>
          <w:p>
            <w:pPr>
              <w:spacing w:after="0" w:line="20" w:lineRule="exact"/>
              <w:rPr>
                <w:sz w:val="1"/>
                <w:szCs w:val="1"/>
                <w:color w:val="auto"/>
              </w:rPr>
            </w:pPr>
          </w:p>
        </w:tc>
        <w:tc>
          <w:tcPr>
            <w:tcW w:w="900" w:type="dxa"/>
            <w:vAlign w:val="bottom"/>
            <w:tcBorders>
              <w:bottom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tcBorders>
              <w:bottom w:val="single" w:sz="8" w:color="auto"/>
            </w:tcBorders>
            <w:shd w:val="clear" w:color="auto" w:fill="CFF0FC"/>
          </w:tcPr>
          <w:p>
            <w:pPr>
              <w:spacing w:after="0" w:line="20" w:lineRule="exact"/>
              <w:rPr>
                <w:sz w:val="1"/>
                <w:szCs w:val="1"/>
                <w:color w:val="auto"/>
              </w:rPr>
            </w:pPr>
          </w:p>
        </w:tc>
        <w:tc>
          <w:tcPr>
            <w:tcW w:w="840" w:type="dxa"/>
            <w:vAlign w:val="bottom"/>
            <w:tcBorders>
              <w:bottom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(18,793 )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(29,853 )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(41,650 )</w:t>
            </w: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(0.97 )</w:t>
            </w:r>
          </w:p>
        </w:tc>
      </w:tr>
      <w:tr>
        <w:trPr>
          <w:trHeight w:val="24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basic</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156,444,408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43,215,478</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156,299,282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43,063,615</w:t>
            </w:r>
          </w:p>
        </w:tc>
        <w:tc>
          <w:tcPr>
            <w:tcW w:w="100" w:type="dxa"/>
            <w:vAlign w:val="bottom"/>
            <w:shd w:val="clear" w:color="auto" w:fill="CFF0FC"/>
          </w:tcPr>
          <w:p>
            <w:pPr>
              <w:spacing w:after="0"/>
              <w:rPr>
                <w:sz w:val="21"/>
                <w:szCs w:val="21"/>
                <w:color w:val="auto"/>
              </w:rPr>
            </w:pP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diluted</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156,647,917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43,215,478</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156,299,282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43,063,615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-2094230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-2094230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-2094230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-2094230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-1134110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-1134110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-1134110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-1134110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-816610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-816610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-821055</wp:posOffset>
            </wp:positionV>
            <wp:extent cx="93980" cy="196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-821055</wp:posOffset>
            </wp:positionV>
            <wp:extent cx="93980"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-482600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-465455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-482600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-465455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-482600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-465455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500" w:type="dxa"/>
            <w:vAlign w:val="bottom"/>
            <w:gridSpan w:val="3"/>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250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March 31,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75,668,521</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580,973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(521,660 )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related</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560,971</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ESPP purchase</w:t>
            </w:r>
          </w:p>
        </w:tc>
        <w:tc>
          <w:tcPr>
            <w:tcW w:w="124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3,556,406</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1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 employee stock awards</w:t>
            </w:r>
          </w:p>
        </w:tc>
        <w:tc>
          <w:tcPr>
            <w:tcW w:w="124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employee stock purchases</w:t>
            </w:r>
          </w:p>
        </w:tc>
        <w:tc>
          <w:tcPr>
            <w:tcW w:w="1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Vesting of early exercised</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options</w:t>
            </w:r>
          </w:p>
        </w:tc>
        <w:tc>
          <w:tcPr>
            <w:tcW w:w="124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June 30,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79,785,898</w:t>
            </w:r>
          </w:p>
        </w:tc>
        <w:tc>
          <w:tcPr>
            <w:tcW w:w="280" w:type="dxa"/>
            <w:vAlign w:val="bottom"/>
          </w:tcPr>
          <w:p>
            <w:pPr>
              <w:spacing w:after="0"/>
              <w:rPr>
                <w:sz w:val="14"/>
                <w:szCs w:val="14"/>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583,326</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(516,599 )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7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500" w:type="dxa"/>
            <w:vAlign w:val="bottom"/>
            <w:gridSpan w:val="3"/>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250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45"/>
        </w:trPr>
        <w:tc>
          <w:tcPr>
            <w:tcW w:w="27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75,096,906</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578,325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(486,797 )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92,080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related</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560,971</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ESPP purchase</w:t>
            </w:r>
          </w:p>
        </w:tc>
        <w:tc>
          <w:tcPr>
            <w:tcW w:w="124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4,125,531</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1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from</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RSU vesting</w:t>
            </w:r>
          </w:p>
        </w:tc>
        <w:tc>
          <w:tcPr>
            <w:tcW w:w="124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employee stock awards</w:t>
            </w:r>
          </w:p>
        </w:tc>
        <w:tc>
          <w:tcPr>
            <w:tcW w:w="1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 employee stock purchases</w:t>
            </w:r>
          </w:p>
        </w:tc>
        <w:tc>
          <w:tcPr>
            <w:tcW w:w="124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(29,802 )</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(29,802 )</w:t>
            </w: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June 30,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79,785,898</w:t>
            </w:r>
          </w:p>
        </w:tc>
        <w:tc>
          <w:tcPr>
            <w:tcW w:w="280" w:type="dxa"/>
            <w:vAlign w:val="bottom"/>
          </w:tcPr>
          <w:p>
            <w:pPr>
              <w:spacing w:after="0"/>
              <w:rPr>
                <w:sz w:val="14"/>
                <w:szCs w:val="14"/>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583,326</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(516,599 )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-2733675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-2733675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-2733675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-2733675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-2733675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-145415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-145415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-145415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-145415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-145415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7"/>
        </w:trPr>
        <w:tc>
          <w:tcPr>
            <w:tcW w:w="2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3"/>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March 31, 2023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42,940,089</w:t>
            </w:r>
          </w:p>
        </w:tc>
        <w:tc>
          <w:tcPr>
            <w:tcW w:w="1200" w:type="dxa"/>
            <w:vAlign w:val="bottom"/>
            <w:gridSpan w:val="2"/>
            <w:shd w:val="clear" w:color="auto" w:fill="CFF0FC"/>
          </w:tcPr>
          <w:p>
            <w:pPr>
              <w:jc w:val="right"/>
              <w:ind w:right="76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506,320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(422,073 )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related</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 ESPP purchase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562,493</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related</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 employee stock awards</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related</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employee stock purchases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of early exercised</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common stock options</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(18,791 )</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(18,791 )</w:t>
            </w:r>
          </w:p>
        </w:tc>
        <w:tc>
          <w:tcPr>
            <w:tcW w:w="0" w:type="dxa"/>
            <w:vAlign w:val="bottom"/>
          </w:tcPr>
          <w:p>
            <w:pPr>
              <w:spacing w:after="0"/>
              <w:rPr>
                <w:sz w:val="1"/>
                <w:szCs w:val="1"/>
                <w:color w:val="auto"/>
              </w:rPr>
            </w:pPr>
          </w:p>
        </w:tc>
      </w:tr>
      <w:tr>
        <w:trPr>
          <w:trHeight w:val="23"/>
        </w:trPr>
        <w:tc>
          <w:tcPr>
            <w:tcW w:w="29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43,502,582</w:t>
            </w:r>
          </w:p>
        </w:tc>
        <w:tc>
          <w:tcPr>
            <w:tcW w:w="260" w:type="dxa"/>
            <w:vAlign w:val="bottom"/>
          </w:tcPr>
          <w:p>
            <w:pPr>
              <w:spacing w:after="0"/>
              <w:rPr>
                <w:sz w:val="19"/>
                <w:szCs w:val="19"/>
                <w:color w:val="auto"/>
              </w:rPr>
            </w:pP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509,998</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(440,864 )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3"/>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42,922,980</w:t>
            </w:r>
          </w:p>
        </w:tc>
        <w:tc>
          <w:tcPr>
            <w:tcW w:w="1200" w:type="dxa"/>
            <w:vAlign w:val="bottom"/>
            <w:gridSpan w:val="2"/>
            <w:shd w:val="clear" w:color="auto" w:fill="CFF0FC"/>
          </w:tcPr>
          <w:p>
            <w:pPr>
              <w:jc w:val="right"/>
              <w:ind w:right="76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502,613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(399,118 )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17,109</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related</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 ESPP purchase</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562,493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related</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employee stock awards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related</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 employee stock purchases</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early exercised</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options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(41,746 )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(41,746 )</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43,502,582</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509,998</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(440,864 )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-3196590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-3196590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-3196590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-3196590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-3196590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-25400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-8255</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-25400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-8255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6"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(29,802 )</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(41,746 )</w:t>
            </w: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on investments</w:t>
            </w:r>
          </w:p>
        </w:tc>
        <w:tc>
          <w:tcPr>
            <w:tcW w:w="9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(936 )</w:t>
            </w:r>
          </w:p>
        </w:tc>
        <w:tc>
          <w:tcPr>
            <w:tcW w:w="9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(424 )</w:t>
            </w:r>
          </w:p>
        </w:tc>
      </w:tr>
      <w:tr>
        <w:trPr>
          <w:trHeight w:val="247"/>
        </w:trPr>
        <w:tc>
          <w:tcPr>
            <w:tcW w:w="7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of right of use assets</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(16,106 )</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including ESPP</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(1,496 )</w:t>
            </w:r>
          </w:p>
        </w:tc>
      </w:tr>
      <w:tr>
        <w:trPr>
          <w:trHeight w:val="247"/>
        </w:trPr>
        <w:tc>
          <w:tcPr>
            <w:tcW w:w="78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liabilities</w:t>
            </w:r>
          </w:p>
        </w:tc>
        <w:tc>
          <w:tcPr>
            <w:tcW w:w="9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(4,778 )</w:t>
            </w:r>
          </w:p>
        </w:tc>
        <w:tc>
          <w:tcPr>
            <w:tcW w:w="9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(2,202 )</w:t>
            </w:r>
          </w:p>
        </w:tc>
      </w:tr>
      <w:tr>
        <w:trPr>
          <w:trHeight w:val="23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(1,267 )</w:t>
            </w:r>
          </w:p>
        </w:tc>
        <w:tc>
          <w:tcPr>
            <w:tcW w:w="9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(1,184 )</w:t>
            </w:r>
          </w:p>
        </w:tc>
      </w:tr>
      <w:tr>
        <w:trPr>
          <w:trHeight w:val="247"/>
        </w:trPr>
        <w:tc>
          <w:tcPr>
            <w:tcW w:w="78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liabilities</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revenue from collaborations</w:t>
            </w:r>
          </w:p>
        </w:tc>
        <w:tc>
          <w:tcPr>
            <w:tcW w:w="9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(84 )</w:t>
            </w:r>
          </w:p>
        </w:tc>
        <w:tc>
          <w:tcPr>
            <w:tcW w:w="9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(4,640 )</w:t>
            </w:r>
          </w:p>
        </w:tc>
      </w:tr>
      <w:tr>
        <w:trPr>
          <w:trHeight w:val="243"/>
        </w:trPr>
        <w:tc>
          <w:tcPr>
            <w:tcW w:w="78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 from customers</w:t>
            </w:r>
          </w:p>
        </w:tc>
        <w:tc>
          <w:tcPr>
            <w:tcW w:w="9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9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(42,239 )</w:t>
            </w:r>
          </w:p>
        </w:tc>
        <w:tc>
          <w:tcPr>
            <w:tcW w:w="9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(36,003 )</w:t>
            </w:r>
          </w:p>
        </w:tc>
      </w:tr>
      <w:tr>
        <w:trPr>
          <w:trHeight w:val="241"/>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Activities in available-for-sale investments:</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9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(88,573 )</w:t>
            </w:r>
          </w:p>
        </w:tc>
        <w:tc>
          <w:tcPr>
            <w:tcW w:w="9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(76 )</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0"/>
        </w:trPr>
        <w:tc>
          <w:tcPr>
            <w:tcW w:w="78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and cash equivalents (used in) provided by investing activities</w:t>
            </w:r>
          </w:p>
        </w:tc>
        <w:tc>
          <w:tcPr>
            <w:tcW w:w="9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(48,649 )</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44,997</w:t>
            </w:r>
          </w:p>
        </w:tc>
        <w:tc>
          <w:tcPr>
            <w:tcW w:w="100" w:type="dxa"/>
            <w:vAlign w:val="bottom"/>
          </w:tcPr>
          <w:p>
            <w:pPr>
              <w:spacing w:after="0"/>
              <w:rPr>
                <w:sz w:val="20"/>
                <w:szCs w:val="20"/>
                <w:color w:val="auto"/>
              </w:rPr>
            </w:pPr>
          </w:p>
        </w:tc>
      </w:tr>
      <w:tr>
        <w:trPr>
          <w:trHeight w:val="241"/>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finance lease</w:t>
            </w:r>
          </w:p>
        </w:tc>
        <w:tc>
          <w:tcPr>
            <w:tcW w:w="9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(35 )</w:t>
            </w:r>
          </w:p>
        </w:tc>
        <w:tc>
          <w:tcPr>
            <w:tcW w:w="9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r>
      <w:tr>
        <w:trPr>
          <w:trHeight w:val="247"/>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ESPP purchase</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common stock option</w:t>
            </w:r>
          </w:p>
        </w:tc>
        <w:tc>
          <w:tcPr>
            <w:tcW w:w="9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r>
        <w:trPr>
          <w:trHeight w:val="236"/>
        </w:trPr>
        <w:tc>
          <w:tcPr>
            <w:tcW w:w="78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9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(90,626 )</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tcPr>
          <w:p>
            <w:pPr>
              <w:spacing w:after="0"/>
              <w:rPr>
                <w:sz w:val="20"/>
                <w:szCs w:val="20"/>
                <w:color w:val="auto"/>
              </w:rPr>
            </w:pPr>
          </w:p>
        </w:tc>
      </w:tr>
      <w:tr>
        <w:trPr>
          <w:trHeight w:val="243"/>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135,774</w:t>
            </w:r>
          </w:p>
        </w:tc>
        <w:tc>
          <w:tcPr>
            <w:tcW w:w="3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45,148</w:t>
            </w:r>
          </w:p>
        </w:tc>
        <w:tc>
          <w:tcPr>
            <w:tcW w:w="300" w:type="dxa"/>
            <w:vAlign w:val="bottom"/>
          </w:tcPr>
          <w:p>
            <w:pPr>
              <w:spacing w:after="0"/>
              <w:rPr>
                <w:sz w:val="20"/>
                <w:szCs w:val="20"/>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-2382520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-1439545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-488315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to amounts on the Consolidated Balance Sheets:</w:t>
            </w:r>
          </w:p>
        </w:tc>
        <w:tc>
          <w:tcPr>
            <w:tcW w:w="9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45,078</w:t>
            </w:r>
          </w:p>
        </w:tc>
        <w:tc>
          <w:tcPr>
            <w:tcW w:w="300" w:type="dxa"/>
            <w:vAlign w:val="bottom"/>
          </w:tcPr>
          <w:p>
            <w:pPr>
              <w:spacing w:after="0"/>
              <w:rPr>
                <w:sz w:val="20"/>
                <w:szCs w:val="20"/>
                <w:color w:val="auto"/>
              </w:rPr>
            </w:pP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90,828</w:t>
            </w:r>
          </w:p>
        </w:tc>
        <w:tc>
          <w:tcPr>
            <w:tcW w:w="100" w:type="dxa"/>
            <w:vAlign w:val="bottom"/>
          </w:tcPr>
          <w:p>
            <w:pPr>
              <w:spacing w:after="0"/>
              <w:rPr>
                <w:sz w:val="20"/>
                <w:szCs w:val="20"/>
                <w:color w:val="auto"/>
              </w:rPr>
            </w:pPr>
          </w:p>
        </w:tc>
      </w:tr>
      <w:tr>
        <w:trPr>
          <w:trHeight w:val="243"/>
        </w:trPr>
        <w:tc>
          <w:tcPr>
            <w:tcW w:w="7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4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45,148</w:t>
            </w:r>
          </w:p>
        </w:tc>
        <w:tc>
          <w:tcPr>
            <w:tcW w:w="300" w:type="dxa"/>
            <w:vAlign w:val="bottom"/>
          </w:tcPr>
          <w:p>
            <w:pPr>
              <w:spacing w:after="0"/>
              <w:rPr>
                <w:sz w:val="20"/>
                <w:szCs w:val="20"/>
                <w:color w:val="auto"/>
              </w:rPr>
            </w:pP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90,870</w:t>
            </w:r>
          </w:p>
        </w:tc>
        <w:tc>
          <w:tcPr>
            <w:tcW w:w="100" w:type="dxa"/>
            <w:vAlign w:val="bottom"/>
          </w:tcPr>
          <w:p>
            <w:pPr>
              <w:spacing w:after="0"/>
              <w:rPr>
                <w:sz w:val="20"/>
                <w:szCs w:val="20"/>
                <w:color w:val="auto"/>
              </w:rPr>
            </w:pPr>
          </w:p>
        </w:tc>
      </w:tr>
      <w:tr>
        <w:trPr>
          <w:trHeight w:val="484"/>
        </w:trPr>
        <w:tc>
          <w:tcPr>
            <w:tcW w:w="7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financing and investing activities:</w:t>
            </w: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 to market adjustment for available-for-sale investments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(51 )</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r>
      <w:tr>
        <w:trPr>
          <w:trHeight w:val="247"/>
        </w:trPr>
        <w:tc>
          <w:tcPr>
            <w:tcW w:w="7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 of right of use asset through operating lease obligation</w:t>
            </w: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FF0FC"/>
          </w:tcPr>
          <w:p>
            <w:pPr>
              <w:spacing w:after="0"/>
              <w:rPr>
                <w:sz w:val="21"/>
                <w:szCs w:val="21"/>
                <w:color w:val="auto"/>
              </w:rPr>
            </w:pPr>
          </w:p>
        </w:tc>
      </w:tr>
      <w:tr>
        <w:trPr>
          <w:trHeight w:val="234"/>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Vesting of early exercised options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-1090930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-1090930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306070</wp:posOffset>
            </wp:positionV>
            <wp:extent cx="14230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 w:right="9000" w:hanging="512"/>
        <w:spacing w:after="0" w:line="400" w:lineRule="auto"/>
        <w:tabs>
          <w:tab w:leader="none" w:pos="5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b w:val="1"/>
          <w:bCs w:val="1"/>
          <w:i w:val="1"/>
          <w:iCs w:val="1"/>
          <w:color w:val="auto"/>
        </w:rPr>
        <w:t>Description of business</w:t>
      </w: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Aligos is a clinical-stage biopharmaceutical company developing novel therapeutics to address unmet medical needs in viral and liver diseases, including for metabolic dysfunction associated steatohepatitis (MASH), chronic hepatitis B (CHB) and coronaviruses.</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in each fiscal year since its inception. As of June 30, 2024 and December 31, 2023, the Company had an accumulated deficit of $516.6 million and $486.8 million, respectively. Management expects to continue to incur additional substantial losses in future fiscal years in the foreseeable future as a result of its research and development activities.</w:t>
      </w:r>
    </w:p>
    <w:p>
      <w:pPr>
        <w:spacing w:after="0" w:line="17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As of June 30, 2024, the Company has unrestricted cash, cash equivalents and investments of approximately $94.5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 w:name="page13"/>
    <w:bookmarkEnd w:id="12"/>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expects to finance its cash needs through a combination of public or private equity offerings, debt financings, collaborations, strategic alliances, licensing arrangements and/or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the Company expects its existing unrestricted cash, cash equivalents and investments, will enable it to fund its operations for at least 12 months following the date the condensed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and the macro-economic environment generally.</w:t>
      </w:r>
    </w:p>
    <w:p>
      <w:pPr>
        <w:spacing w:after="0" w:line="19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Company’s ability to raise additional funds depends on financial, economic and other factors, many of which are beyond its control. For example, if there is a disruption of global financial markets,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has always maintained a dual banking system to limit its credit and liquidity risk.</w:t>
      </w:r>
    </w:p>
    <w:p>
      <w:pPr>
        <w:spacing w:after="0" w:line="284" w:lineRule="exact"/>
        <w:rPr>
          <w:sz w:val="20"/>
          <w:szCs w:val="20"/>
          <w:color w:val="auto"/>
        </w:rPr>
      </w:pPr>
    </w:p>
    <w:p>
      <w:pPr>
        <w:ind w:left="520" w:right="7420" w:hanging="512"/>
        <w:spacing w:after="0" w:line="378" w:lineRule="auto"/>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and applicable rules and regulations of the Securities and Exchange Commission (the SEC) regarding interim financial reporting. Accordingly, they do not include all of the information and footnotes required by U.S. GAAP for complete financial statements.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included herein was derived from the audited consolidated financial statements as of that date but does not include all of the information and notes required by U.S. GAAP for complete financial statements. Certain information and note disclosures normally included in the financial statements prepared in accordance with U.S. GAAP have been condensed or omitted pursuant to requirements for interim financial statements. As such, the information included in this Quarterly Report on Form 10-Q should be read in conjunction with the audited consolidated financial statements and the related notes thereto as of and for the year ended December 31, 2023, included in the Company’s Annual Report on Form 10-K filed with the SEC on March 12, 2024.</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consolidated balance sheet as of June 30, 2024, the consolidated statements of operations and comprehensive income (loss) for the three and six months ended June 30, 2024 and 2023, the consolidated statements of stockholders’ equity for the three and six months ended June 30, 2024 and 2023, and the consolidated statements of cash flows for the six months ended June 30, 2024 and 2023 are unaudited. The unaudited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consolidated financial position as of June 30, 2024 and the consolidated results of its operations and cash flows for the six months ended June 30, 2024 and 2023. The consolidated financial data and other information disclosed in these notes related to the three and six months ended June 30, 2024 and 2023 are unaudited. The consolidated results for the three and six months ended June 30, 2024 are not necessarily indicative of results to be expected for the year ending December 31, 2024, any other interim periods, or any future year 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 and estimates</w:t>
      </w:r>
    </w:p>
    <w:p>
      <w:pPr>
        <w:spacing w:after="0" w:line="35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No material changes were made to the Company’s significant accounting policies disclosed in Note 2, Summary of significant accounting policies, in its Annual Report on Form 10-K, filed with the SEC on March 12, 2024, for the year ended December 31, 2023.</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280)(ASU 2023-07). The guidance improves reportable segment disclosures requirements, primarily through enhanced disclosures about significant segment expenses. The standard is effective for fiscal years beginning after December 15, 2023, and interim periods within fiscal years beginning after December 15, 2024. Early adoption is permitted. The Company is evaluating the potential impact of this standard on its consolidated financial statements.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considered all recent accounting pronouncements issued, but not yet effective, and does not expect any to have a material effect on the Company’s condensed consolidated financial statements other than those discussed in its Annual Report on Form 10-K, filed with the SEC on March 12, 2024, for the year ended December 31, 2023.</w:t>
      </w:r>
    </w:p>
    <w:p>
      <w:pPr>
        <w:spacing w:after="0" w:line="280"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property and equipment as of June 30, 2024 and December 31, 2023 were as follows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80" w:type="dxa"/>
            <w:vAlign w:val="bottom"/>
            <w:shd w:val="clear" w:color="auto" w:fill="CFF0FC"/>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 and equipment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FF0FC"/>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Asset under construction</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r>
      <w:tr>
        <w:trPr>
          <w:trHeight w:val="241"/>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at cost</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(11,292 )</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(10,755 )</w:t>
            </w:r>
          </w:p>
        </w:tc>
      </w:tr>
      <w:tr>
        <w:trPr>
          <w:trHeight w:val="277"/>
        </w:trPr>
        <w:tc>
          <w:tcPr>
            <w:tcW w:w="5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was $0.3 million and $0.5 million, respectively, for the three and six months ended June 30, 2024 and $0.4 million and $0.9 million for the three and six months ended June 30, 2023, respectively. Finance leases are also included in property and equipment as vehicles and lab equipment on the condensed consolidated balance sheets.</w:t>
      </w:r>
    </w:p>
    <w:p>
      <w:pPr>
        <w:spacing w:after="0" w:line="280"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amortized cost, gross unrealized gains and losses, and estimated fair values of total fixed-maturity securities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58"/>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center"/>
              <w:ind w:left="48"/>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jc w:val="center"/>
              <w:ind w:right="50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5"/>
                <w:szCs w:val="15"/>
                <w:color w:val="auto"/>
              </w:rPr>
            </w:pPr>
          </w:p>
        </w:tc>
        <w:tc>
          <w:tcPr>
            <w:tcW w:w="9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560" w:type="dxa"/>
            <w:vAlign w:val="bottom"/>
          </w:tcPr>
          <w:p>
            <w:pPr>
              <w:spacing w:after="0"/>
              <w:rPr>
                <w:sz w:val="15"/>
                <w:szCs w:val="15"/>
                <w:color w:val="auto"/>
              </w:rPr>
            </w:pPr>
          </w:p>
        </w:tc>
      </w:tr>
      <w:tr>
        <w:trPr>
          <w:trHeight w:val="187"/>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9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bonds</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49,510</w:t>
            </w:r>
          </w:p>
        </w:tc>
        <w:tc>
          <w:tcPr>
            <w:tcW w:w="116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900"/>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As of December 31, 2023, the Company did not hold any available for sale securities.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fair value are related to changes in market interest rates. The Company expects to collect all contractual principal and interest payments.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maturities of securities available-for-sale as of June 30, 2024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7"/>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maturing in:</w:t>
            </w:r>
          </w:p>
        </w:tc>
        <w:tc>
          <w:tcPr>
            <w:tcW w:w="18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49,510</w:t>
            </w:r>
          </w:p>
        </w:tc>
        <w:tc>
          <w:tcPr>
            <w:tcW w:w="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74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49,510</w:t>
            </w:r>
          </w:p>
        </w:tc>
        <w:tc>
          <w:tcPr>
            <w:tcW w:w="280" w:type="dxa"/>
            <w:vAlign w:val="bottom"/>
            <w:tcBorders>
              <w:top w:val="single" w:sz="8" w:color="CFF0FC"/>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-187960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interest income of $0.3 million and $0.9 million for the three and six months ended June 30, 2024, respectively, and $1.0 million and $1.7 million for the three and six months ended June 30, 2023, respectively, as a component of interest and other income (expense), net on the Company’s condensed consolidated statements of operations and comprehensive income (loss).</w:t>
      </w:r>
    </w:p>
    <w:p>
      <w:pPr>
        <w:spacing w:after="0" w:line="280"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consisted of the following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6,673</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payables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w:t>
            </w:r>
          </w:p>
        </w:tc>
      </w:tr>
      <w:tr>
        <w:trPr>
          <w:trHeight w:val="24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w:t>
            </w:r>
          </w:p>
        </w:tc>
      </w:tr>
      <w:tr>
        <w:trPr>
          <w:trHeight w:val="237"/>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16,842</w:t>
            </w:r>
          </w:p>
        </w:tc>
      </w:tr>
      <w:tr>
        <w:trPr>
          <w:trHeight w:val="20"/>
        </w:trPr>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-187960</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0"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20, 2020, the Company amended its certificate of incorporation to increase the total shares of common stock authorized for issuance to 320,000,000 and decrease the total shares of preferred stock authorized for issuance to 10,000,000 with a par value of $0.0001 per share. 300,000,000 shares of the common stock were designated as “Voting Common Stock” and 20,000,000 shares of the common stock were designated as “Non-Voting Common Stock”.</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On June 27, 2024, the Company amended its certificate of incorporation to increase the total shares of voting common stock authorized for issuance from 300,000,000 to 500,000,000.</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holders of shares of voting common stock are entitled to one vote for each share of common stock at all meetings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Warrants and Pre-Funded Warrants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2023, the Company completed a private investment in public equity (PIPE) offering and entered into a securities purchase agreement (the Securities Purchase Agreement) with certain institutional and accredited investors, pursuant to which the Company agreed to offer, issue and sell to these investors 31,429,266 shares of common stock, par value $0.0001 per share (the Common Stock), pre-funded warrants to purchase an aggregate of 81,054,686 shares of Common Stock (the Pre-Funded Warrants), and warrants to purchase an aggregate of 56,241,973 shares of Common Stock (the Common Warrants, and together with the Pre-Funded Warrants, the Warrants). Each Pre-Funded Warrant has an exercise price of $0.0001 per share of common stock, was immediately exercisable and is exercisable until exercised in full. Each accompanying Common Warrant has an exercise price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 w:name="page16"/>
    <w:bookmarkEnd w:id="15"/>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$0.7568 per share of common stock, is immediately exercisable and will expire on October 25, 2030. The closing of the offering occurred on October 25, 2023. The Company received gross proceeds of $92.1 million, and after deducting the placement agent fees and expenses and offering costs, net proceeds were $86.2 million.</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measured the fair value of the Common Stock and the Pre-Funded Warrants based on the $0.7568 per share purchase price stated in the Securities Purchase Agreement. The Company measured the fair value of the Common Warrants using the Black-Scholes option pricing model.</w:t>
      </w:r>
    </w:p>
    <w:p>
      <w:pPr>
        <w:spacing w:after="0" w:line="270"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Company used the with-and-without method to allocate the net proceeds received from the sale of the Common Stock, the Pre-Funded Warrants, and the Common Warrants on the Consolidated Balance Sheets as follows:</w:t>
      </w:r>
    </w:p>
    <w:p>
      <w:pPr>
        <w:spacing w:after="0" w:line="331"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As of October 25, 2023</w:t>
            </w:r>
          </w:p>
        </w:tc>
      </w:tr>
      <w:tr>
        <w:trPr>
          <w:trHeight w:val="47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100" w:type="dxa"/>
            <w:vAlign w:val="bottom"/>
          </w:tcPr>
          <w:p>
            <w:pPr>
              <w:spacing w:after="0"/>
              <w:rPr>
                <w:sz w:val="24"/>
                <w:szCs w:val="24"/>
                <w:color w:val="auto"/>
              </w:rPr>
            </w:pPr>
          </w:p>
        </w:tc>
      </w:tr>
      <w:tr>
        <w:trPr>
          <w:trHeight w:val="25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900" w:type="dxa"/>
            <w:vAlign w:val="bottom"/>
            <w:shd w:val="clear" w:color="auto" w:fill="CFF0FC"/>
          </w:tcPr>
          <w:p>
            <w:pPr>
              <w:spacing w:after="0"/>
              <w:rPr>
                <w:sz w:val="21"/>
                <w:szCs w:val="21"/>
                <w:color w:val="auto"/>
              </w:rPr>
            </w:pPr>
          </w:p>
        </w:tc>
        <w:tc>
          <w:tcPr>
            <w:tcW w:w="3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100" w:type="dxa"/>
            <w:vAlign w:val="bottom"/>
            <w:shd w:val="clear" w:color="auto" w:fill="CFF0FC"/>
          </w:tcPr>
          <w:p>
            <w:pPr>
              <w:spacing w:after="0"/>
              <w:rPr>
                <w:sz w:val="21"/>
                <w:szCs w:val="21"/>
                <w:color w:val="auto"/>
              </w:rPr>
            </w:pPr>
          </w:p>
        </w:tc>
      </w:tr>
      <w:tr>
        <w:trPr>
          <w:trHeight w:val="24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Common Warrants</w:t>
            </w:r>
          </w:p>
        </w:tc>
        <w:tc>
          <w:tcPr>
            <w:tcW w:w="90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25,427</w:t>
            </w:r>
          </w:p>
        </w:tc>
        <w:tc>
          <w:tcPr>
            <w:tcW w:w="100" w:type="dxa"/>
            <w:vAlign w:val="bottom"/>
          </w:tcPr>
          <w:p>
            <w:pPr>
              <w:spacing w:after="0"/>
              <w:rPr>
                <w:sz w:val="21"/>
                <w:szCs w:val="21"/>
                <w:color w:val="auto"/>
              </w:rPr>
            </w:pPr>
          </w:p>
        </w:tc>
      </w:tr>
      <w:tr>
        <w:trPr>
          <w:trHeight w:val="23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92,147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information about shares issuable under the Pre-Funded Warrants outstanding at June 30, 2024:</w:t>
      </w:r>
    </w:p>
    <w:p>
      <w:pPr>
        <w:spacing w:after="0" w:line="394"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4760" w:type="dxa"/>
            <w:vAlign w:val="bottom"/>
            <w:gridSpan w:val="2"/>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Pre-funded warrant shares outstanding</w:t>
            </w:r>
          </w:p>
        </w:tc>
      </w:tr>
      <w:tr>
        <w:trPr>
          <w:trHeight w:val="47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81,054,686</w:t>
            </w:r>
          </w:p>
        </w:tc>
        <w:tc>
          <w:tcPr>
            <w:tcW w:w="100" w:type="dxa"/>
            <w:vAlign w:val="bottom"/>
          </w:tcPr>
          <w:p>
            <w:pPr>
              <w:spacing w:after="0"/>
              <w:rPr>
                <w:sz w:val="24"/>
                <w:szCs w:val="24"/>
                <w:color w:val="auto"/>
              </w:rPr>
            </w:pPr>
          </w:p>
        </w:tc>
      </w:tr>
      <w:tr>
        <w:trPr>
          <w:trHeight w:val="25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w:t>
            </w:r>
          </w:p>
        </w:tc>
        <w:tc>
          <w:tcPr>
            <w:tcW w:w="4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4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(4,125,531 )</w:t>
            </w:r>
          </w:p>
        </w:tc>
      </w:tr>
      <w:tr>
        <w:trPr>
          <w:trHeight w:val="236"/>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4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76,929,155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76,929,155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-156845</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8" w:lineRule="exact"/>
        <w:rPr>
          <w:sz w:val="20"/>
          <w:szCs w:val="20"/>
          <w:color w:val="auto"/>
        </w:rPr>
      </w:pPr>
    </w:p>
    <w:p>
      <w:pPr>
        <w:jc w:val="both"/>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activities of the Company’s warrant liability, which represents a recurring measurement that is classified with Level 3 of the fair value hierarchy wherein the fair value is estimated using significant unobservable inputs:</w:t>
      </w:r>
    </w:p>
    <w:p>
      <w:pPr>
        <w:spacing w:after="0" w:line="331"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6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Common warrant liability</w:t>
            </w:r>
          </w:p>
        </w:tc>
      </w:tr>
      <w:tr>
        <w:trPr>
          <w:trHeight w:val="47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Beginning liability as of January 1, 2024</w:t>
            </w: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tcPr>
          <w:p>
            <w:pPr>
              <w:spacing w:after="0"/>
              <w:rPr>
                <w:sz w:val="24"/>
                <w:szCs w:val="24"/>
                <w:color w:val="auto"/>
              </w:rPr>
            </w:pPr>
          </w:p>
        </w:tc>
      </w:tr>
      <w:tr>
        <w:trPr>
          <w:trHeight w:val="25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warrants issued</w:t>
            </w:r>
          </w:p>
        </w:tc>
        <w:tc>
          <w:tcPr>
            <w:tcW w:w="480" w:type="dxa"/>
            <w:vAlign w:val="bottom"/>
            <w:shd w:val="clear" w:color="auto" w:fill="CFF0FC"/>
          </w:tcPr>
          <w:p>
            <w:pPr>
              <w:spacing w:after="0"/>
              <w:rPr>
                <w:sz w:val="21"/>
                <w:szCs w:val="21"/>
                <w:color w:val="auto"/>
              </w:rPr>
            </w:pPr>
          </w:p>
        </w:tc>
        <w:tc>
          <w:tcPr>
            <w:tcW w:w="2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liability</w:t>
            </w:r>
          </w:p>
        </w:tc>
        <w:tc>
          <w:tcPr>
            <w:tcW w:w="480" w:type="dxa"/>
            <w:vAlign w:val="bottom"/>
          </w:tcPr>
          <w:p>
            <w:pPr>
              <w:spacing w:after="0"/>
              <w:rPr>
                <w:sz w:val="21"/>
                <w:szCs w:val="21"/>
                <w:color w:val="auto"/>
              </w:rPr>
            </w:pPr>
          </w:p>
        </w:tc>
        <w:tc>
          <w:tcPr>
            <w:tcW w:w="2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(16,106 )</w:t>
            </w:r>
          </w:p>
        </w:tc>
      </w:tr>
      <w:tr>
        <w:trPr>
          <w:trHeight w:val="237"/>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liability as of June 30, 2024</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Common Warrants was measured using the Black Scholes option pricing model and will be remeasured each reporting period, and the change in fair value will be recorded in earnings. The assumptions that the Company used to determine the fair value at issuance and the reporting date of the Common Warrants granted to participants were as follows:</w:t>
      </w:r>
    </w:p>
    <w:p>
      <w:pPr>
        <w:spacing w:after="0" w:line="345"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26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r>
      <w:tr>
        <w:trPr>
          <w:trHeight w:val="46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38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tcPr>
          <w:p>
            <w:pPr>
              <w:spacing w:after="0"/>
              <w:rPr>
                <w:sz w:val="24"/>
                <w:szCs w:val="24"/>
                <w:color w:val="auto"/>
              </w:rPr>
            </w:pPr>
          </w:p>
        </w:tc>
      </w:tr>
      <w:tr>
        <w:trPr>
          <w:trHeight w:val="24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4.27 %</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4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r>
      <w:tr>
        <w:trPr>
          <w:trHeight w:val="24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77.54 %</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-454025</wp:posOffset>
            </wp:positionV>
            <wp:extent cx="6489065"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89065" cy="15430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-145415</wp:posOffset>
            </wp:positionV>
            <wp:extent cx="648906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89065" cy="1543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shares issuable under the Common Warrants outstanding at June 30, 2024:</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0" w:right="459" w:bottom="1440" w:gutter="0" w:footer="0" w:header="0"/>
        </w:sectPr>
      </w:pPr>
    </w:p>
    <w:bookmarkStart w:id="16" w:name="page17"/>
    <w:bookmarkEnd w:id="16"/>
    <w:tbl>
      <w:tblPr>
        <w:tblLayout w:type="fixed"/>
        <w:tblInd w:w="52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476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Common warrant shares outstanding</w:t>
            </w:r>
          </w:p>
        </w:tc>
      </w:tr>
      <w:tr>
        <w:trPr>
          <w:trHeight w:val="237"/>
        </w:trPr>
        <w:tc>
          <w:tcPr>
            <w:tcW w:w="5460" w:type="dxa"/>
            <w:vAlign w:val="bottom"/>
          </w:tcPr>
          <w:p>
            <w:pPr>
              <w:spacing w:after="0"/>
              <w:rPr>
                <w:sz w:val="20"/>
                <w:szCs w:val="20"/>
                <w:color w:val="auto"/>
              </w:rPr>
            </w:pPr>
          </w:p>
        </w:tc>
        <w:tc>
          <w:tcPr>
            <w:tcW w:w="4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4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56,241,973</w:t>
            </w:r>
          </w:p>
        </w:tc>
        <w:tc>
          <w:tcPr>
            <w:tcW w:w="100" w:type="dxa"/>
            <w:vAlign w:val="bottom"/>
            <w:shd w:val="clear" w:color="auto" w:fill="CFF0FC"/>
          </w:tcPr>
          <w:p>
            <w:pPr>
              <w:spacing w:after="0"/>
              <w:rPr>
                <w:sz w:val="21"/>
                <w:szCs w:val="21"/>
                <w:color w:val="auto"/>
              </w:rPr>
            </w:pPr>
          </w:p>
        </w:tc>
      </w:tr>
      <w:tr>
        <w:trPr>
          <w:trHeight w:val="23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4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4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56,241,973</w:t>
            </w:r>
          </w:p>
        </w:tc>
        <w:tc>
          <w:tcPr>
            <w:tcW w:w="100" w:type="dxa"/>
            <w:vAlign w:val="bottom"/>
          </w:tcPr>
          <w:p>
            <w:pPr>
              <w:spacing w:after="0"/>
              <w:rPr>
                <w:sz w:val="20"/>
                <w:szCs w:val="20"/>
                <w:color w:val="auto"/>
              </w:rPr>
            </w:pPr>
          </w:p>
        </w:tc>
      </w:tr>
      <w:tr>
        <w:trPr>
          <w:trHeight w:val="237"/>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4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56,241,973</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-325120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right="8640" w:hanging="512"/>
        <w:spacing w:after="0" w:line="412" w:lineRule="auto"/>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b w:val="1"/>
          <w:bCs w:val="1"/>
          <w:i w:val="1"/>
          <w:iCs w:val="1"/>
          <w:color w:val="auto"/>
        </w:rPr>
        <w:t>Stock options</w:t>
      </w:r>
    </w:p>
    <w:p>
      <w:pPr>
        <w:spacing w:after="0" w:line="49"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Company’s stock option compensation expense was approximately $1.9 million and $4.4 million, respectively, and during the three and six months ended June 30, 2023, the Company’s stock option compensation expense was approximately $3.0 million and $6.5 million, respectively. There was no recognized tax benefit in either of the periods. As of June 30, 2024, the unamortized expense balance was $7.1 million, to be amortized over a weighted average period of 1.95 years.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during the six months ended June 30, 2024 is as follows: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w:t>
            </w:r>
          </w:p>
        </w:tc>
        <w:tc>
          <w:tcPr>
            <w:tcW w:w="200" w:type="dxa"/>
            <w:vAlign w:val="bottom"/>
          </w:tcPr>
          <w:p>
            <w:pPr>
              <w:spacing w:after="0"/>
              <w:rPr>
                <w:sz w:val="12"/>
                <w:szCs w:val="12"/>
                <w:color w:val="auto"/>
              </w:rPr>
            </w:pPr>
          </w:p>
        </w:tc>
        <w:tc>
          <w:tcPr>
            <w:tcW w:w="108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 options</w:t>
            </w:r>
          </w:p>
        </w:tc>
        <w:tc>
          <w:tcPr>
            <w:tcW w:w="200" w:type="dxa"/>
            <w:vAlign w:val="bottom"/>
          </w:tcPr>
          <w:p>
            <w:pPr>
              <w:spacing w:after="0"/>
              <w:rPr>
                <w:sz w:val="16"/>
                <w:szCs w:val="16"/>
                <w:color w:val="auto"/>
              </w:rPr>
            </w:pPr>
          </w:p>
        </w:tc>
        <w:tc>
          <w:tcPr>
            <w:tcW w:w="10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44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10,376,838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3,183,515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Replacement options from Exchange</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1,906,153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(1,544,211 )</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options from Exchange</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(3,880,332 )</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10,041,963</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as of June 30,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10,041,963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June 30,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3,436,608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-316865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and six months ended June 30, 2024 was $0.30 and $0.74 per share, respectively, and during the three and six months ended June 30, 2023 was $0.79 and $0.93 per share,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Option exchange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January 2024, the Company commenced a stock option exchange program (the Exchange Offer) pursuant to which eligible employees were provided the opportunity to exchange eligible stock options for a number of new replacement option grants at the exchange ratio of one replacement option for every 1.4 eligible options tendered for those priced between $2.10 to $11.85, and one replacement option for every 3.4 eligible options tendered for those priced over $11.86. The Exchange Offer concluded in February 2024.</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Exchange Offer, the Company canceled 3,880,332 eligible options and granted 1,906,153 replacement options. The exchange of these options was accounted for as a modification of share-based compensation awards. The Company recognized $3.0 thousand of unamortized compensation cost related to the canceled options as well as the incremental compensation cost associated with the replacement options over their one year vesting term.</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3" w:right="37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zero and $0.1 million of stock-based compensation expense related to restricted stock units. During the three and six months ended June 30, 2023, the Company did not record any stock-based compensation expense related to restricted stock awards. As of June 30, 2024, the unamortized expense balance was $43 thousand, to be amortized over a weighted average period of 3.0 years.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stock activity during the six months ended June 30, 2024 is as follows:</w:t>
      </w:r>
    </w:p>
    <w:p>
      <w:pPr>
        <w:spacing w:after="0" w:line="200" w:lineRule="exact"/>
        <w:rPr>
          <w:sz w:val="20"/>
          <w:szCs w:val="20"/>
          <w:color w:val="auto"/>
        </w:rPr>
      </w:pP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6060" w:type="dxa"/>
            <w:vAlign w:val="bottom"/>
          </w:tcPr>
          <w:p>
            <w:pPr>
              <w:spacing w:after="0"/>
              <w:rPr>
                <w:sz w:val="16"/>
                <w:szCs w:val="16"/>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of Awards</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Issued and unvested as of January 1, 2024</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134,120</w:t>
            </w:r>
          </w:p>
        </w:tc>
        <w:tc>
          <w:tcPr>
            <w:tcW w:w="10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4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(2,490 )</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1"/>
        </w:trPr>
        <w:tc>
          <w:tcPr>
            <w:tcW w:w="6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Issued and unvested as of June 30,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154,580</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-642620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-642620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5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did not issue shares of common stock, upon exercise of unvested stock options or purchases for unvested restricted stock awards.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total stock-based compensation expense related to the employee stock purchase plan of $0.1 million and $0.3 million, respectively. During the three and six months ended June 30, 2023, the Company recorded total stock-based compensation expense related to the employee stock purchase plan of $0.2 million and $0.4 million, respectively. During the six months ended June 30, 2024 and 2023, 560,971 and 562,493 purchases of awards under this plan were made, respectively.</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for the three and six months ended June 30, 2024 and 2023 (in thousands):</w:t>
      </w:r>
    </w:p>
    <w:p>
      <w:pPr>
        <w:spacing w:after="0" w:line="327" w:lineRule="exact"/>
        <w:rPr>
          <w:sz w:val="20"/>
          <w:szCs w:val="20"/>
          <w:color w:val="auto"/>
        </w:rPr>
      </w:pPr>
    </w:p>
    <w:tbl>
      <w:tblPr>
        <w:tblLayout w:type="fixed"/>
        <w:tblInd w:w="154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6"/>
                <w:szCs w:val="16"/>
                <w:color w:val="auto"/>
              </w:rPr>
            </w:pPr>
          </w:p>
        </w:tc>
      </w:tr>
      <w:tr>
        <w:trPr>
          <w:trHeight w:val="226"/>
        </w:trPr>
        <w:tc>
          <w:tcPr>
            <w:tcW w:w="3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r>
      <w:tr>
        <w:trPr>
          <w:trHeight w:val="237"/>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80" w:type="dxa"/>
            <w:vAlign w:val="bottom"/>
            <w:shd w:val="clear" w:color="auto" w:fill="CFF0FC"/>
          </w:tcPr>
          <w:p>
            <w:pPr>
              <w:spacing w:after="0"/>
              <w:rPr>
                <w:sz w:val="20"/>
                <w:szCs w:val="20"/>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80" w:type="dxa"/>
            <w:vAlign w:val="bottom"/>
          </w:tcPr>
          <w:p>
            <w:pPr>
              <w:spacing w:after="0"/>
              <w:rPr>
                <w:sz w:val="21"/>
                <w:szCs w:val="21"/>
                <w:color w:val="auto"/>
              </w:rPr>
            </w:pPr>
          </w:p>
        </w:tc>
      </w:tr>
      <w:tr>
        <w:trPr>
          <w:trHeight w:val="276"/>
        </w:trPr>
        <w:tc>
          <w:tcPr>
            <w:tcW w:w="35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-25400</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ind w:left="5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Level 1 quoted prices), such as quoted prices in active markets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for identical or similar assets or liabilities, or other inputs that are observable or can be corroborated by observable market data.</w:t>
      </w:r>
    </w:p>
    <w:p>
      <w:pPr>
        <w:spacing w:after="0" w:line="65" w:lineRule="exact"/>
        <w:rPr>
          <w:sz w:val="20"/>
          <w:szCs w:val="20"/>
          <w:color w:val="auto"/>
        </w:rPr>
      </w:pPr>
    </w:p>
    <w:p>
      <w:pPr>
        <w:ind w:left="520"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that are significant to determining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including pricing models, discounted cash flow methodologies and similar techniques.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8" w:name="page19"/>
    <w:bookmarkEnd w:id="18"/>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45,078</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(11,490 )</w:t>
            </w:r>
          </w:p>
        </w:tc>
      </w:tr>
      <w:tr>
        <w:trPr>
          <w:trHeight w:val="20"/>
        </w:trPr>
        <w:tc>
          <w:tcPr>
            <w:tcW w:w="7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94,536</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(11,490 )</w:t>
            </w:r>
          </w:p>
        </w:tc>
      </w:tr>
      <w:tr>
        <w:trPr>
          <w:trHeight w:val="20"/>
        </w:trPr>
        <w:tc>
          <w:tcPr>
            <w:tcW w:w="7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5"/>
        </w:trPr>
        <w:tc>
          <w:tcPr>
            <w:tcW w:w="7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7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135,704</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(27,596 )</w:t>
            </w:r>
          </w:p>
        </w:tc>
      </w:tr>
      <w:tr>
        <w:trPr>
          <w:trHeight w:val="20"/>
        </w:trPr>
        <w:tc>
          <w:tcPr>
            <w:tcW w:w="7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2"/>
        </w:trPr>
        <w:tc>
          <w:tcPr>
            <w:tcW w:w="71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135,704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(27,596 )</w:t>
            </w:r>
          </w:p>
        </w:tc>
      </w:tr>
      <w:tr>
        <w:trPr>
          <w:trHeight w:val="20"/>
        </w:trPr>
        <w:tc>
          <w:tcPr>
            <w:tcW w:w="7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-1482090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-1482090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520" w:right="7540" w:hanging="512"/>
        <w:spacing w:after="0" w:line="400" w:lineRule="auto"/>
        <w:tabs>
          <w:tab w:leader="none" w:pos="5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License and collaboration agreements </w:t>
      </w:r>
      <w:r>
        <w:rPr>
          <w:rFonts w:ascii="Times New Roman" w:cs="Times New Roman" w:eastAsia="Times New Roman" w:hAnsi="Times New Roman"/>
          <w:sz w:val="17"/>
          <w:szCs w:val="17"/>
          <w:b w:val="1"/>
          <w:bCs w:val="1"/>
          <w:i w:val="1"/>
          <w:iCs w:val="1"/>
          <w:color w:val="auto"/>
        </w:rPr>
        <w:t>Agreement with Emory University (Emory)</w:t>
      </w:r>
    </w:p>
    <w:p>
      <w:pPr>
        <w:ind w:firstLine="666"/>
        <w:spacing w:after="0" w:line="253" w:lineRule="auto"/>
        <w:rPr>
          <w:sz w:val="20"/>
          <w:szCs w:val="20"/>
          <w:color w:val="auto"/>
        </w:rPr>
      </w:pPr>
      <w:r>
        <w:rPr>
          <w:rFonts w:ascii="Times New Roman" w:cs="Times New Roman" w:eastAsia="Times New Roman" w:hAnsi="Times New Roman"/>
          <w:sz w:val="18"/>
          <w:szCs w:val="18"/>
          <w:color w:val="auto"/>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19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 In connection with the research plan, the Company provided Emory funding up to $0.3 million per year.</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has agreed to pay Emory up to an aggregate of $125.0 million upon the achievement of specified development, regulatory, and commercial milestones, and all ongoing patent costs. During the three and six months ended June 30, 2024 and 2023, the Company had no expenses related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 w:name="page20"/>
    <w:bookmarkEnd w:id="19"/>
    <w:p>
      <w:pPr>
        <w:ind w:right="160"/>
        <w:spacing w:after="0" w:line="282" w:lineRule="auto"/>
        <w:rPr>
          <w:sz w:val="20"/>
          <w:szCs w:val="20"/>
          <w:color w:val="auto"/>
        </w:rPr>
      </w:pPr>
      <w:r>
        <w:rPr>
          <w:rFonts w:ascii="Times New Roman" w:cs="Times New Roman" w:eastAsia="Times New Roman" w:hAnsi="Times New Roman"/>
          <w:sz w:val="18"/>
          <w:szCs w:val="18"/>
          <w:color w:val="auto"/>
        </w:rPr>
        <w:t>more than three years after the effective date. During the three and six months ended June 30, 2024 and 2023, the Company made no payments associated with royalties and recognized no expense or accruals.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Luxna Biotech Co., Ltd. (Luxna)</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MASH,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which expired in December 2021. As consideration for this agreement, the Company paid an upfront license fee of $0.6 million.</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$0.2 million in April 2020.</w:t>
      </w:r>
    </w:p>
    <w:p>
      <w:pPr>
        <w:spacing w:after="0" w:line="18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is obligated to make payments to Luxna, in aggregate, totaling up to but no more than $55.5 million upon the achievement of specified development, regulatory, and commercial milestones. During the three and six months ended June 30, 2024 and 2023, the Company recognized no expenses related to milestone payments. The Company is also required to pay Luxna a low-single digit royalty percentage on net sale of applicable products, if any. During the three and six months ended June 30, 2024 and 2023, the Company made no payments associated with royalties.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Katholieke Universiteit Leuven (KU Leuven)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has expired. An amendment to the agreement was agreed in July 2023 to include a new collaboration plan.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The Company is also required to pay a revenue share to KU Leuven should the program be partnered with an external party.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three and six months ended June 30, 2024, the Company made no payments of royalties or milestones.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Merck</w:t>
      </w:r>
    </w:p>
    <w:p>
      <w:pPr>
        <w:spacing w:after="0" w:line="121" w:lineRule="exact"/>
        <w:rPr>
          <w:sz w:val="20"/>
          <w:szCs w:val="20"/>
          <w:color w:val="auto"/>
        </w:rPr>
      </w:pPr>
    </w:p>
    <w:p>
      <w:pPr>
        <w:ind w:right="80" w:firstLine="674"/>
        <w:spacing w:after="0" w:line="266" w:lineRule="auto"/>
        <w:rPr>
          <w:sz w:val="20"/>
          <w:szCs w:val="20"/>
          <w:color w:val="auto"/>
        </w:rPr>
      </w:pPr>
      <w:r>
        <w:rPr>
          <w:rFonts w:ascii="Times New Roman" w:cs="Times New Roman" w:eastAsia="Times New Roman" w:hAnsi="Times New Roman"/>
          <w:sz w:val="18"/>
          <w:szCs w:val="18"/>
          <w:color w:val="auto"/>
        </w:rPr>
        <w:t>In December 2020, the Company and Merck &amp; Co. entered into an exclusive License and Research Collaboration Agreement under which Merck and the Company agreed to apply the Company’s oligonucleotide platform technology to discover, research, optimize and develop oligonucleotides directed against a MASH target and up to one additional liver-targeted cardiometabolic and/or fibrosis target. Under the terms of the agreement, the Company received an upfront payment of $12 million from Merck. With respect to the collaboration target, the Company will be eligible for up to $458.0 million in development and commercialization milestones 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18"/>
          <w:szCs w:val="18"/>
          <w:color w:val="auto"/>
        </w:rPr>
        <w:t>well as tiered royalties on net sales. 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 The Company is primarily responsible for designing, preparing and evaluating the oligonucleotide molecules and delivering optimized lead molecules, and Merck is responsible for subsequent research, clinical development and commercialization efforts.</w:t>
      </w:r>
    </w:p>
    <w:p>
      <w:pPr>
        <w:spacing w:after="0" w:line="75" w:lineRule="exact"/>
        <w:rPr>
          <w:sz w:val="20"/>
          <w:szCs w:val="20"/>
          <w:color w:val="auto"/>
        </w:rPr>
      </w:pPr>
    </w:p>
    <w:p>
      <w:pPr>
        <w:ind w:firstLine="674"/>
        <w:spacing w:after="0" w:line="253" w:lineRule="auto"/>
        <w:rPr>
          <w:sz w:val="20"/>
          <w:szCs w:val="20"/>
          <w:color w:val="auto"/>
        </w:rPr>
      </w:pPr>
      <w:r>
        <w:rPr>
          <w:rFonts w:ascii="Times New Roman" w:cs="Times New Roman" w:eastAsia="Times New Roman" w:hAnsi="Times New Roman"/>
          <w:sz w:val="18"/>
          <w:szCs w:val="18"/>
          <w:color w:val="auto"/>
        </w:rPr>
        <w:t>In January 2022, the Company and Merck entered into an amendment to the exclusive License and Research Collaboration Agreement (the First Amendment, together with the Original Agreement, the Expanded Arrangement). As a result of the First Amendment, the collaboration with Merck was expanded to include the Company's grant of rights to Merck of an early-stage program with respect to a second undisclosed MASH target, on which the Company had previously been working independently. In addition, under this Expanded Arrangement, Merck has the ability to add an additional third target of interest in the cardiometabolic/fibrosis space to the collaboration. This right to add an additional third target expired in January 2023. Under the Expanded Arrangement, the Company received an upfront payment of $15 million from Merck for the Company's grant of rights to the program directed at a second undisclosed MASH target. With respect to the second target in the collaboration, the Company is eligible to receive up to approximately $460.0 million in development and commercialization milestones as well as tiered royalties on net sales. 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w:t>
      </w:r>
    </w:p>
    <w:p>
      <w:pPr>
        <w:spacing w:after="0" w:line="86" w:lineRule="exact"/>
        <w:rPr>
          <w:sz w:val="20"/>
          <w:szCs w:val="20"/>
          <w:color w:val="auto"/>
        </w:rPr>
      </w:pPr>
    </w:p>
    <w:p>
      <w:pPr>
        <w:ind w:right="180" w:firstLine="674"/>
        <w:spacing w:after="0" w:line="282" w:lineRule="auto"/>
        <w:rPr>
          <w:sz w:val="20"/>
          <w:szCs w:val="20"/>
          <w:color w:val="auto"/>
        </w:rPr>
      </w:pPr>
      <w:r>
        <w:rPr>
          <w:rFonts w:ascii="Times New Roman" w:cs="Times New Roman" w:eastAsia="Times New Roman" w:hAnsi="Times New Roman"/>
          <w:sz w:val="18"/>
          <w:szCs w:val="18"/>
          <w:color w:val="auto"/>
        </w:rPr>
        <w:t>In February 2023, Merck provided to the Company written notice of termination for one of the targets in the collaboration. In May 2024, Merck provided to the Company written notice of termination for the second of the targets in the collaboration.</w:t>
      </w:r>
    </w:p>
    <w:p>
      <w:pPr>
        <w:spacing w:after="0" w:line="54" w:lineRule="exact"/>
        <w:rPr>
          <w:sz w:val="20"/>
          <w:szCs w:val="20"/>
          <w:color w:val="auto"/>
        </w:rPr>
      </w:pPr>
    </w:p>
    <w:p>
      <w:pPr>
        <w:ind w:right="20" w:firstLine="674"/>
        <w:spacing w:after="0" w:line="252" w:lineRule="auto"/>
        <w:rPr>
          <w:sz w:val="20"/>
          <w:szCs w:val="20"/>
          <w:color w:val="auto"/>
        </w:rPr>
      </w:pPr>
      <w:r>
        <w:rPr>
          <w:rFonts w:ascii="Times New Roman" w:cs="Times New Roman" w:eastAsia="Times New Roman" w:hAnsi="Times New Roman"/>
          <w:sz w:val="18"/>
          <w:szCs w:val="18"/>
          <w:color w:val="auto"/>
        </w:rPr>
        <w:t>The Company determined that the Original Agreement and First Amendment fall within the scope of ASC 808, Collaborative Arrangements (ASC 808), due to Merck and the Company being joint active participants, as well as both parties having significant risks and rewards. The Company analogized to ASC 606, Revenue from Contracts with Customers (ASC 606), for the accounting of payments including upfront payments and other milestones. Management of the Company determined that there was one performance obligation for each of the agreements given the deliverables are not distinct. The Company evaluated the performance obligation within each agreement and determined the performance obligations are satisfied over time as Merck jointly owns any collaboration intellectual property that is developed during the research term. Given the nature of the arrangements, the Company believes that the satisfaction of its performance obligations is best measured by the progress of its efforts. As such, the Company has used an input method based on costs incurred to recognize revenue associated with the upfront payments. This assessment is performed separately for each of the Original Agreement and the First Amendment,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spacing w:after="0" w:line="89" w:lineRule="exact"/>
        <w:rPr>
          <w:sz w:val="20"/>
          <w:szCs w:val="20"/>
          <w:color w:val="auto"/>
        </w:rPr>
      </w:pPr>
    </w:p>
    <w:p>
      <w:pPr>
        <w:ind w:right="200" w:firstLine="674"/>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recognized $0.3 million and $5.2 million, respectively, in revenue from collaborative arrangements related to upfront payments. During the three and six months ended June 30, 2024 and 2023, the Company recognized no revenue from collaborative arrangements related to milestone payments. The unrecognized portion of the upfront payments received during the three and six months ended June 30, 2024 and 2023 is recorded on the consolidated balance sheets as “Deferred revenue from collaborations”.</w:t>
      </w:r>
    </w:p>
    <w:p>
      <w:pPr>
        <w:spacing w:after="0" w:line="72" w:lineRule="exact"/>
        <w:rPr>
          <w:sz w:val="20"/>
          <w:szCs w:val="20"/>
          <w:color w:val="auto"/>
        </w:rPr>
      </w:pPr>
    </w:p>
    <w:p>
      <w:pPr>
        <w:ind w:firstLine="674"/>
        <w:spacing w:after="0" w:line="282" w:lineRule="auto"/>
        <w:rPr>
          <w:sz w:val="20"/>
          <w:szCs w:val="20"/>
          <w:color w:val="auto"/>
        </w:rPr>
      </w:pPr>
      <w:r>
        <w:rPr>
          <w:rFonts w:ascii="Times New Roman" w:cs="Times New Roman" w:eastAsia="Times New Roman" w:hAnsi="Times New Roman"/>
          <w:sz w:val="18"/>
          <w:szCs w:val="18"/>
          <w:color w:val="auto"/>
        </w:rPr>
        <w:t>Changes in deferred revenue balances arose as a result of the Company recognizing the following revenue from collaborative arrangements during the periods below (in thousands):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60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r>
      <w:tr>
        <w:trPr>
          <w:trHeight w:val="47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from collaborations as of January 1</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80" w:type="dxa"/>
            <w:vAlign w:val="bottom"/>
          </w:tcPr>
          <w:p>
            <w:pPr>
              <w:spacing w:after="0"/>
              <w:rPr>
                <w:sz w:val="24"/>
                <w:szCs w:val="24"/>
                <w:color w:val="auto"/>
              </w:rPr>
            </w:pPr>
          </w:p>
        </w:tc>
      </w:tr>
      <w:tr>
        <w:trPr>
          <w:trHeight w:val="25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 received in the period</w:t>
            </w:r>
          </w:p>
        </w:tc>
        <w:tc>
          <w:tcPr>
            <w:tcW w:w="9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shd w:val="clear" w:color="auto" w:fill="CFF0FC"/>
          </w:tcPr>
          <w:p>
            <w:pPr>
              <w:spacing w:after="0"/>
              <w:rPr>
                <w:sz w:val="21"/>
                <w:szCs w:val="21"/>
                <w:color w:val="auto"/>
              </w:rPr>
            </w:pPr>
          </w:p>
        </w:tc>
      </w:tr>
      <w:tr>
        <w:trPr>
          <w:trHeight w:val="23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collaborations recognized in the period</w:t>
            </w:r>
          </w:p>
        </w:tc>
        <w:tc>
          <w:tcPr>
            <w:tcW w:w="9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(292 )</w:t>
            </w:r>
          </w:p>
        </w:tc>
        <w:tc>
          <w:tcPr>
            <w:tcW w:w="3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(5,175 )</w:t>
            </w:r>
          </w:p>
        </w:tc>
      </w:tr>
      <w:tr>
        <w:trPr>
          <w:trHeight w:val="277"/>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from collaborations as of June 30</w:t>
            </w:r>
          </w:p>
        </w:tc>
        <w:tc>
          <w:tcPr>
            <w:tcW w:w="92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-24765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2022, the Company was awarded a grant of $1.1 million by the National Institute of Health (NIH) for research to target coronaviruses. The grant is for multiple years with the amount updated after each year of progress through 2025, subject to the annual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1" w:name="page22"/>
    <w:bookmarkEnd w:id="21"/>
    <w:p>
      <w:pPr>
        <w:ind w:right="220"/>
        <w:spacing w:after="0" w:line="282" w:lineRule="auto"/>
        <w:rPr>
          <w:sz w:val="20"/>
          <w:szCs w:val="20"/>
          <w:color w:val="auto"/>
        </w:rPr>
      </w:pPr>
      <w:r>
        <w:rPr>
          <w:rFonts w:ascii="Times New Roman" w:cs="Times New Roman" w:eastAsia="Times New Roman" w:hAnsi="Times New Roman"/>
          <w:sz w:val="18"/>
          <w:szCs w:val="18"/>
          <w:color w:val="auto"/>
        </w:rPr>
        <w:t>reapplication and approval by the NIH. In 2023, the approved grant awarded was an additional $1.4 million. In 2024, the approved grant awarded was an additional $1.5 million.</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2023, the Company was awarded a contract of $8.5 million by the National Institute of Allergies and Infectious Diseases (NIAID) for research to target coronaviruses. In March 2024, the Company entered into an amendment to the above contract and was awarded an additional $1.3 million, making the total contract value $9.8 million. The contract ends in early 2026.</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U.S. GAAP does not contain authoritative accounting standards for grants or contracts provided by governmental entities to a for-profit entity. Absent authoritative accounting standards, interpretative guidance issued and commonly applied by financial statement preparers allows for the selection of accounting policies amongst acceptable alternatives. The Company determined it most appropriate to account for grants by analogy to International Accounting Standards 20 (IAS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xml:space="preserve"> Under this model, reimbursements the Company receives from the U.S. government for qualifying expenditures under the NIH grant will be recognized in earnings as a reduction to Research and development expense when there is reasonable assurance that the Company will receive the grant. IAS 20 does not define “reasonable assurance”; however, based on certain interpretations, it is analogous to “probable” as defined in FASB ASC 450-20-20 under U.S. GAAP, which is the definition the Company has applied. The grants and contracts will be recognized in earnings as a reduction of the related expenses.</w:t>
      </w:r>
    </w:p>
    <w:p>
      <w:pPr>
        <w:spacing w:after="0" w:line="200" w:lineRule="exact"/>
        <w:rPr>
          <w:sz w:val="20"/>
          <w:szCs w:val="20"/>
          <w:color w:val="auto"/>
        </w:rPr>
      </w:pPr>
    </w:p>
    <w:p>
      <w:pPr>
        <w:spacing w:after="0" w:line="244"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ADCT</w:t>
      </w:r>
    </w:p>
    <w:p>
      <w:pPr>
        <w:spacing w:after="0" w:line="121" w:lineRule="exact"/>
        <w:rPr>
          <w:sz w:val="20"/>
          <w:szCs w:val="20"/>
          <w:color w:val="auto"/>
        </w:rPr>
      </w:pPr>
    </w:p>
    <w:p>
      <w:pPr>
        <w:ind w:right="20" w:firstLine="674"/>
        <w:spacing w:after="0" w:line="253" w:lineRule="auto"/>
        <w:rPr>
          <w:sz w:val="20"/>
          <w:szCs w:val="20"/>
          <w:color w:val="auto"/>
        </w:rPr>
      </w:pPr>
      <w:r>
        <w:rPr>
          <w:rFonts w:ascii="Times New Roman" w:cs="Times New Roman" w:eastAsia="Times New Roman" w:hAnsi="Times New Roman"/>
          <w:sz w:val="18"/>
          <w:szCs w:val="18"/>
          <w:color w:val="auto"/>
        </w:rPr>
        <w:t>The Company determined that the ADC Therapeutics (ADCT) agreement falls within the scope of ASC 606, Revenue from Contracts with Customers (ASC 606). The agreement did not fall under the ASC 808 guidance due to ADCT and the Company not being joint active participants, nor both parties having significant risks and rewards. Management of the Company determined that there was one performance obligation for the agreements given the deliverables are not distinct. The Company evaluated the performance obligation and determined the performance obligations are satisfied over time. Given the nature of the arrangement, the Company believes that the satisfaction of its performance obligations is best measured by the progress of its efforts.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Amoytop</w:t>
      </w:r>
    </w:p>
    <w:p>
      <w:pPr>
        <w:spacing w:after="0" w:line="121" w:lineRule="exact"/>
        <w:rPr>
          <w:sz w:val="20"/>
          <w:szCs w:val="20"/>
          <w:color w:val="auto"/>
        </w:rPr>
      </w:pPr>
    </w:p>
    <w:p>
      <w:pPr>
        <w:ind w:right="40" w:firstLine="674"/>
        <w:spacing w:after="0" w:line="271" w:lineRule="auto"/>
        <w:rPr>
          <w:sz w:val="20"/>
          <w:szCs w:val="20"/>
          <w:color w:val="auto"/>
        </w:rPr>
      </w:pPr>
      <w:r>
        <w:rPr>
          <w:rFonts w:ascii="Times New Roman" w:cs="Times New Roman" w:eastAsia="Times New Roman" w:hAnsi="Times New Roman"/>
          <w:sz w:val="18"/>
          <w:szCs w:val="18"/>
          <w:color w:val="auto"/>
        </w:rPr>
        <w:t>In May 2023, the Company and Xiamen Amoytop Biotech Co., Ltd (Amoytop) entered into an exclusive Development Agreement and Research Collaboration Agreement with a focus on nucleic acid technology for HBV treatment, with the Company granting to Amoytop an exclusive option to enter into an exclusive license to develop and commercialize such compounds. Under the terms of the agreement, the Company received an upfront payment of $7.0 million, less withholding taxes of $1.1 million from Amoytop. With respect to the agreement, the Company will be eligible for up to $109.0 million in development and commercialization milestones as well as tiered royalties on net sales. These potential payments consist of (i) potential development milestones (such as for the commencement of a Good Laboratory Practice toxicology study for a collaboration compound, approval of IND by regulatory authority, initiation of Phase 2 and 3 clinical trials, and regulatory approval of a licensed product), and (ii) sales-based milestones.</w:t>
      </w:r>
    </w:p>
    <w:p>
      <w:pPr>
        <w:spacing w:after="0" w:line="65" w:lineRule="exact"/>
        <w:rPr>
          <w:sz w:val="20"/>
          <w:szCs w:val="20"/>
          <w:color w:val="auto"/>
        </w:rPr>
      </w:pPr>
    </w:p>
    <w:p>
      <w:pPr>
        <w:ind w:right="60" w:firstLine="674"/>
        <w:spacing w:after="0" w:line="282" w:lineRule="auto"/>
        <w:rPr>
          <w:sz w:val="20"/>
          <w:szCs w:val="20"/>
          <w:color w:val="auto"/>
        </w:rPr>
      </w:pPr>
      <w:r>
        <w:rPr>
          <w:rFonts w:ascii="Times New Roman" w:cs="Times New Roman" w:eastAsia="Times New Roman" w:hAnsi="Times New Roman"/>
          <w:sz w:val="18"/>
          <w:szCs w:val="18"/>
          <w:color w:val="auto"/>
        </w:rPr>
        <w:t>In May 2024, the Company and Amoytop entered into a nine month extension to the Development Agreement and Research Collaboration Agreement, covering work performed through January 2025. Under the terms of the agreement, the Company received an upfront payment of $1.5 million.</w:t>
      </w:r>
    </w:p>
    <w:p>
      <w:pPr>
        <w:spacing w:after="0" w:line="54" w:lineRule="exact"/>
        <w:rPr>
          <w:sz w:val="20"/>
          <w:szCs w:val="20"/>
          <w:color w:val="auto"/>
        </w:rPr>
      </w:pPr>
    </w:p>
    <w:p>
      <w:pPr>
        <w:ind w:right="20" w:firstLine="674"/>
        <w:spacing w:after="0" w:line="254" w:lineRule="auto"/>
        <w:rPr>
          <w:sz w:val="20"/>
          <w:szCs w:val="20"/>
          <w:color w:val="auto"/>
        </w:rPr>
      </w:pPr>
      <w:r>
        <w:rPr>
          <w:rFonts w:ascii="Times New Roman" w:cs="Times New Roman" w:eastAsia="Times New Roman" w:hAnsi="Times New Roman"/>
          <w:sz w:val="18"/>
          <w:szCs w:val="18"/>
          <w:color w:val="auto"/>
        </w:rPr>
        <w:t>The Company determined that the Amoytop agreement and extension falls within the scope of ASC 606, Revenue from Contracts with Customers (ASC 606). The agreement did not fall under the ASC 808 guidance due to Amoytop and the Company not being joint active participants, and both parties not having significant risks and rewards. Management of the Company determined that there were three performance obligations for the agreement given the deliverables are distinct. The Company evaluated the standalone selling price for each obligation based on available data for similar arrangements. The Company evaluated the performance obligations and determined the provision of R&amp;D services for the collaboration compound performance obligation will be satisfied over time, the research license including data and know-how has been satisfied, and the provision of materials will be satisfied upon delivery. Given the nature of the arrangement, the Company believes that the satisfaction of its performance obligations is best measured by the progress of its efforts as it relates to the performance of the R&amp;D services. As such, the Company has used an input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ind w:right="200"/>
        <w:spacing w:after="0" w:line="256" w:lineRule="auto"/>
        <w:rPr>
          <w:sz w:val="20"/>
          <w:szCs w:val="20"/>
          <w:color w:val="auto"/>
        </w:rPr>
      </w:pPr>
      <w:r>
        <w:rPr>
          <w:rFonts w:ascii="Times New Roman" w:cs="Times New Roman" w:eastAsia="Times New Roman" w:hAnsi="Times New Roman"/>
          <w:sz w:val="18"/>
          <w:szCs w:val="18"/>
          <w:color w:val="auto"/>
        </w:rPr>
        <w:t>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spacing w:after="0" w:line="79" w:lineRule="exact"/>
        <w:rPr>
          <w:sz w:val="20"/>
          <w:szCs w:val="20"/>
          <w:color w:val="auto"/>
        </w:rPr>
      </w:pPr>
    </w:p>
    <w:p>
      <w:pPr>
        <w:ind w:right="300" w:firstLine="674"/>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recognized $1.8 million and $4.4 million, respectively, in revenue from customers related to upfront payments. During the three months ended June 30, 2024 and 2023, the Company recognized no revenue from customers related to milestone payments. The unrecognized portion of the upfront payments received during the three months ended June 30, 2024 and 2023 is recorded on the consolidated balance sheets as “Deferred revenue from customers”.</w:t>
      </w:r>
    </w:p>
    <w:p>
      <w:pPr>
        <w:spacing w:after="0" w:line="72" w:lineRule="exact"/>
        <w:rPr>
          <w:sz w:val="20"/>
          <w:szCs w:val="20"/>
          <w:color w:val="auto"/>
        </w:rPr>
      </w:pPr>
    </w:p>
    <w:p>
      <w:pPr>
        <w:ind w:right="360" w:firstLine="674"/>
        <w:spacing w:after="0" w:line="282" w:lineRule="auto"/>
        <w:rPr>
          <w:sz w:val="20"/>
          <w:szCs w:val="20"/>
          <w:color w:val="auto"/>
        </w:rPr>
      </w:pPr>
      <w:r>
        <w:rPr>
          <w:rFonts w:ascii="Times New Roman" w:cs="Times New Roman" w:eastAsia="Times New Roman" w:hAnsi="Times New Roman"/>
          <w:sz w:val="18"/>
          <w:szCs w:val="18"/>
          <w:color w:val="auto"/>
        </w:rPr>
        <w:t>Changes in deferred revenue balances arose as a result of the Company recognizing the following revenue from customers during the periods below (in thousands):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60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r>
      <w:tr>
        <w:trPr>
          <w:trHeight w:val="236"/>
        </w:trPr>
        <w:tc>
          <w:tcPr>
            <w:tcW w:w="6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from customers as of January 1</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FF0FC"/>
          </w:tcPr>
          <w:p>
            <w:pPr>
              <w:spacing w:after="0"/>
              <w:rPr>
                <w:sz w:val="21"/>
                <w:szCs w:val="21"/>
                <w:color w:val="auto"/>
              </w:rPr>
            </w:pPr>
          </w:p>
        </w:tc>
      </w:tr>
      <w:tr>
        <w:trPr>
          <w:trHeight w:val="23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received in the period</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80" w:type="dxa"/>
            <w:vAlign w:val="bottom"/>
          </w:tcPr>
          <w:p>
            <w:pPr>
              <w:spacing w:after="0"/>
              <w:rPr>
                <w:sz w:val="20"/>
                <w:szCs w:val="20"/>
                <w:color w:val="auto"/>
              </w:rPr>
            </w:pPr>
          </w:p>
        </w:tc>
      </w:tr>
      <w:tr>
        <w:trPr>
          <w:trHeight w:val="24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customers recognized in the period</w:t>
            </w:r>
          </w:p>
        </w:tc>
        <w:tc>
          <w:tcPr>
            <w:tcW w:w="8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(1,755 )</w:t>
            </w:r>
          </w:p>
        </w:tc>
        <w:tc>
          <w:tcPr>
            <w:tcW w:w="3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(4,434 )</w:t>
            </w:r>
          </w:p>
        </w:tc>
      </w:tr>
      <w:tr>
        <w:trPr>
          <w:trHeight w:val="237"/>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revenue from customers as of June 30</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80" w:type="dxa"/>
            <w:vAlign w:val="bottom"/>
            <w:tcBorders>
              <w:top w:val="single" w:sz="8" w:color="CFF0FC"/>
            </w:tcBorders>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-187960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Contingent liabilities requiring accrual were appropriately accrued as of June 30, 2024 and December 31, 2023. The Company enters into contracts in the normal course of business that includes arrangements with clinical research organizations, vendors for preclinical research and vendors for manufacturing. These agreements generally allow for cancellation with notice. As of June 30, 2024, the Company had no material non-cancellable purchase commitments.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$213.0 thousand for the six months ended June 30, 2024, primarily related to the Company's international operations.</w:t>
      </w:r>
    </w:p>
    <w:p>
      <w:pPr>
        <w:spacing w:after="0" w:line="5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Company has a history of losses in prior fiscal years and projects losses for the full year 2024. The Company continues to maintain a full valuation allowance on its net deferred tax assets.</w:t>
      </w:r>
    </w:p>
    <w:p>
      <w:pPr>
        <w:spacing w:after="0" w:line="293"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income (loss) per share of the Company (in thousands, except share and per share data):</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76"/>
        </w:trPr>
        <w:tc>
          <w:tcPr>
            <w:tcW w:w="4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5,061</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(18,791 )</w:t>
            </w:r>
          </w:p>
        </w:tc>
        <w:tc>
          <w:tcPr>
            <w:tcW w:w="160" w:type="dxa"/>
            <w:vAlign w:val="bottom"/>
          </w:tcPr>
          <w:p>
            <w:pPr>
              <w:spacing w:after="0"/>
              <w:rPr>
                <w:sz w:val="20"/>
                <w:szCs w:val="20"/>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(29,802 )</w:t>
            </w: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(41,746 )</w:t>
            </w:r>
          </w:p>
        </w:tc>
        <w:tc>
          <w:tcPr>
            <w:tcW w:w="0" w:type="dxa"/>
            <w:vAlign w:val="bottom"/>
          </w:tcPr>
          <w:p>
            <w:pPr>
              <w:spacing w:after="0"/>
              <w:rPr>
                <w:sz w:val="1"/>
                <w:szCs w:val="1"/>
                <w:color w:val="auto"/>
              </w:rPr>
            </w:pPr>
          </w:p>
        </w:tc>
      </w:tr>
      <w:tr>
        <w:trPr>
          <w:trHeight w:val="23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stock outstanding</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156,444,408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43,215,478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156,299,282</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43,063,615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shares issuable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203,509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stock outstanding, assuming</w:t>
            </w:r>
          </w:p>
        </w:tc>
        <w:tc>
          <w:tcPr>
            <w:tcW w:w="3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156,647,917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43,215,478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156,299,282</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43,063,615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dilution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per share - basic</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320" w:type="dxa"/>
            <w:vAlign w:val="bottom"/>
            <w:tcBorders>
              <w:bottom w:val="single" w:sz="8" w:color="CFF0FC"/>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3"/>
                <w:szCs w:val="23"/>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share - 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(0.43 )</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(0.19 )</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(0.97 )</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-196215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-179070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-196215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-179070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-196215</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-179070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-196215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-179070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3" w:name="page24"/>
    <w:bookmarkEnd w:id="23"/>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options to purchase common stock, unvested restricted stock and warrants to purchase common stock, have been excluded from the computation of diluted net income (loss) per share as the effect would be to reduce the net income (loss) per share. Therefore, the weighted-average number of shares of Common Stock outstanding used to calculate both basic and diluted net income (loss) per share is the same. The Company excluded the following potential shares of Common Stock, presented based on amounts outstanding at each period end, from the computation of diluted net income (loss) per share for the periods indicated because including them would have had an anti-dilutive effect:</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2120" w:type="dxa"/>
            <w:vAlign w:val="bottom"/>
            <w:gridSpan w:val="3"/>
          </w:tcPr>
          <w:p>
            <w:pPr>
              <w:jc w:val="center"/>
              <w:ind w:left="74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3"/>
          </w:tcPr>
          <w:p>
            <w:pPr>
              <w:jc w:val="center"/>
              <w:ind w:left="86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020" w:type="dxa"/>
            <w:vAlign w:val="bottom"/>
          </w:tcPr>
          <w:p>
            <w:pPr>
              <w:spacing w:after="0"/>
              <w:rPr>
                <w:sz w:val="16"/>
                <w:szCs w:val="16"/>
                <w:color w:val="auto"/>
              </w:rPr>
            </w:pPr>
          </w:p>
        </w:tc>
        <w:tc>
          <w:tcPr>
            <w:tcW w:w="2120" w:type="dxa"/>
            <w:vAlign w:val="bottom"/>
            <w:tcBorders>
              <w:bottom w:val="single" w:sz="8" w:color="auto"/>
            </w:tcBorders>
            <w:gridSpan w:val="3"/>
          </w:tcPr>
          <w:p>
            <w:pPr>
              <w:jc w:val="center"/>
              <w:ind w:left="74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8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020" w:type="dxa"/>
            <w:vAlign w:val="bottom"/>
          </w:tcPr>
          <w:p>
            <w:pPr>
              <w:spacing w:after="0"/>
              <w:rPr>
                <w:sz w:val="14"/>
                <w:szCs w:val="14"/>
                <w:color w:val="auto"/>
              </w:rPr>
            </w:pPr>
          </w:p>
        </w:tc>
        <w:tc>
          <w:tcPr>
            <w:tcW w:w="13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9,798,963</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10,506,661</w:t>
            </w:r>
          </w:p>
        </w:tc>
        <w:tc>
          <w:tcPr>
            <w:tcW w:w="3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10,041,963</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10,506,661</w:t>
            </w:r>
          </w:p>
        </w:tc>
        <w:tc>
          <w:tcPr>
            <w:tcW w:w="100" w:type="dxa"/>
            <w:vAlign w:val="bottom"/>
            <w:shd w:val="clear" w:color="auto" w:fill="CFF0FC"/>
          </w:tcPr>
          <w:p>
            <w:pPr>
              <w:spacing w:after="0"/>
              <w:rPr>
                <w:sz w:val="20"/>
                <w:szCs w:val="20"/>
                <w:color w:val="auto"/>
              </w:rPr>
            </w:pPr>
          </w:p>
        </w:tc>
      </w:tr>
      <w:tr>
        <w:trPr>
          <w:trHeight w:val="224"/>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Unvested restricted stock</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40,405</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154,580</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46"/>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56,241,973</w:t>
            </w:r>
          </w:p>
        </w:tc>
        <w:tc>
          <w:tcPr>
            <w:tcW w:w="2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56,241,973</w:t>
            </w:r>
          </w:p>
        </w:tc>
        <w:tc>
          <w:tcPr>
            <w:tcW w:w="2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20"/>
        </w:trPr>
        <w:tc>
          <w:tcPr>
            <w:tcW w:w="40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66,081,341</w:t>
            </w: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10,506,661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66,438,516</w:t>
            </w: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10,506,661</w:t>
            </w:r>
          </w:p>
        </w:tc>
        <w:tc>
          <w:tcPr>
            <w:tcW w:w="10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-179070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-179070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-179070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-179070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In preparing the interim financial statements for the three and six months ended June 30, 2024, the Company evaluated subsequent events for recognition and measurement purposes during which time the following events has occurred that require disclosure: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Amoytop agreement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July 2024, the Company and Amoytop entered into a clinical trial collaboration and supply agreement whereby Amoytop has agreed to sponsor and perform a Phase 1b exploratory clinical study evaluating the efficacy and safety of ALG-000184 in combination with PEGBING® (Mipeginterferon alfa-2b) in CHB patients in China. The clinical study is expected to begin after approval (if any) by the National Medical Products Administration in China.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4" w:name="page25"/>
    <w:bookmarkEnd w:id="2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novel therapeutics to address unmet medical needs in liver diseases and viral infections, including in the areas of metabolic dysfunction associated steatohepatitis (MASH), chronic hepatitis B (CHB) and coronavirus infections (e.g., SARS-CoV-2, SARS-CoV, MERS-CoV, and other related infections). The Aligos team has a demonstrated track record of success in drug development and medicinal chemistry in liver and viral diseases, resulting in three potential best-in-class drug candidates, all of which are currently in clinical studies.</w:t>
      </w:r>
    </w:p>
    <w:p>
      <w:pPr>
        <w:spacing w:after="0" w:line="35" w:lineRule="exact"/>
        <w:rPr>
          <w:sz w:val="20"/>
          <w:szCs w:val="20"/>
          <w:color w:val="auto"/>
        </w:rPr>
      </w:pPr>
    </w:p>
    <w:p>
      <w:pPr>
        <w:ind w:firstLine="509"/>
        <w:spacing w:after="0" w:line="225" w:lineRule="exact"/>
        <w:rPr>
          <w:sz w:val="20"/>
          <w:szCs w:val="20"/>
          <w:color w:val="auto"/>
        </w:rPr>
      </w:pPr>
      <w:r>
        <w:rPr>
          <w:rFonts w:ascii="Times New Roman" w:cs="Times New Roman" w:eastAsia="Times New Roman" w:hAnsi="Times New Roman"/>
          <w:sz w:val="18"/>
          <w:szCs w:val="18"/>
          <w:color w:val="auto"/>
        </w:rPr>
        <w:t>Our pipeline of drug candidates includes ALG-055009 for MASH, ALG-000184 for CHB,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for coronavirus infections, and we also have a portfolio of preclinical programs. ALG-055009 is our potential best-in-class thyroid hormone receptor beta (THR-β) agonist for MASH with enhanced pharmacologic properties vs. competitor THR-β agonists. Phase 1 data demonstrated linear pharmacokinetics (PK) with low variability, a well-tolerated safety profile, and expected thyromimetic effects. Phase 2a enrollment was completed in May 2024 and topline data are expected in the early fourth quarter of 2024. ALG-000184 is our potential best-/first-in-class CAM-E for CHB with enhanced pharmacologic properties vs. competitor CAM-E drugs and has demonstrated greater HBV DNA suppression compared to the standard of care, nucleos(t)ide analogs (NAs), as well as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reductions in viral antigens. Dosing with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is ongoing in 96-week Phase 1b cohorts with interim readouts expected throughout the year that will be presented at upcoming scientific conferences.</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MASH</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primary area of focus is MASH, a complex, chronic liver disease which is a leading cause of liver-related morbidity including cirrhosis, hepatocellular carcinoma, liver transplant, and end-stage liver disease. The FDA recently approved the first drug for the treatment of MASH, resmetirom, a THR-β agonist, but a need remains for better therapies due to resmetirom’s sub-optimal risk-benefit profile, particularly its likely sub-maximal efficacy. To achieve this, we have purpose-built ALG-055009 to have increased potency (~50-fold greater vs. resmetirom in head-to-head in vitro studies) and ß selectivity as well as enhanced pharmacologic properties to deliver a better PK profile; we believe all of these advantages make ALG-055009 well positioned to be a potential best-in-class THR-β agonist.</w:t>
      </w:r>
    </w:p>
    <w:p>
      <w:pPr>
        <w:spacing w:after="0" w:line="79" w:lineRule="exact"/>
        <w:rPr>
          <w:sz w:val="20"/>
          <w:szCs w:val="20"/>
          <w:color w:val="auto"/>
        </w:rPr>
      </w:pPr>
    </w:p>
    <w:p>
      <w:pPr>
        <w:ind w:right="40" w:firstLine="509"/>
        <w:spacing w:after="0" w:line="218" w:lineRule="exact"/>
        <w:rPr>
          <w:sz w:val="20"/>
          <w:szCs w:val="20"/>
          <w:color w:val="auto"/>
        </w:rPr>
      </w:pPr>
      <w:r>
        <w:rPr>
          <w:rFonts w:ascii="Times New Roman" w:cs="Times New Roman" w:eastAsia="Times New Roman" w:hAnsi="Times New Roman"/>
          <w:sz w:val="18"/>
          <w:szCs w:val="18"/>
          <w:color w:val="auto"/>
        </w:rPr>
        <w:t>ALG-055009 completed evaluation in a Phase 1 study in healthy volunteers (HVs) (oral single ascending doses (SAD)) and in subjects with hyperlipidemia (14 oral daily doses). Clinical data after single doses up to 4 mg and multiple doses up to 1 mg showed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was well tolerated, had dose proportional PK with low intersubject variability, and demonstrated expected thyromimetic effects (i.e., generally dose proportional increases in sex hormone binding globulin and decreases in various atherogenic lipids and thyroid hormones). In this same study, we also evaluated relative bioavailability where we showed the soft gelatin capsules being used in current studies deliver similar exposures compared to the solution used in Phase 1 studies; we observed low intersubject PK variability and there was no evidence of a meaningful food effect. Based on these promising Phase 1 data, we initiated the Phase 2a HERALD study (NCT06342947) at sites across the United States. The study is a 12-week randomized, placebo-controlled trial evaluating 4 doses (0.3 mg, 0.5 mg, 0.7 mg, and 0.9 mg) of ALG-055009 vs. placebo in approximately 100 subjects with presumed liver fibrosis at stages 1-3 (F1-F3) with MASH. In addition to collecting safety and PK data, this study is also designed to assess multiple efficacy biomarkers, which include MRI-PDFF and other non-invasive tests previously shown to be impacted by treatment with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ß agonists. We anticipate announcing topline safety and 12-week MRI-PDFF data from this study in the early fourth quarter of 2024.</w:t>
      </w:r>
    </w:p>
    <w:p>
      <w:pPr>
        <w:spacing w:after="0" w:line="53" w:lineRule="exact"/>
        <w:rPr>
          <w:sz w:val="20"/>
          <w:szCs w:val="20"/>
          <w:color w:val="auto"/>
        </w:rPr>
      </w:pPr>
    </w:p>
    <w:p>
      <w:pPr>
        <w:ind w:right="180" w:firstLine="509"/>
        <w:spacing w:after="0" w:line="245" w:lineRule="exact"/>
        <w:rPr>
          <w:sz w:val="20"/>
          <w:szCs w:val="20"/>
          <w:color w:val="auto"/>
        </w:rPr>
      </w:pPr>
      <w:r>
        <w:rPr>
          <w:rFonts w:ascii="Times New Roman" w:cs="Times New Roman" w:eastAsia="Times New Roman" w:hAnsi="Times New Roman"/>
          <w:sz w:val="18"/>
          <w:szCs w:val="18"/>
          <w:color w:val="auto"/>
        </w:rPr>
        <w:t>In addition to our small molecule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ß program, we also have an oligonucleotide program for MASH, which is currently in the preclinical stage of development.</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CHB</w:t>
      </w:r>
    </w:p>
    <w:p>
      <w:pPr>
        <w:spacing w:after="0" w:line="121" w:lineRule="exact"/>
        <w:rPr>
          <w:sz w:val="20"/>
          <w:szCs w:val="20"/>
          <w:color w:val="auto"/>
        </w:rPr>
      </w:pPr>
    </w:p>
    <w:p>
      <w:pPr>
        <w:ind w:right="200" w:firstLine="509"/>
        <w:spacing w:after="0" w:line="227" w:lineRule="exact"/>
        <w:rPr>
          <w:sz w:val="20"/>
          <w:szCs w:val="20"/>
          <w:color w:val="auto"/>
        </w:rPr>
      </w:pPr>
      <w:r>
        <w:rPr>
          <w:rFonts w:ascii="Times New Roman" w:cs="Times New Roman" w:eastAsia="Times New Roman" w:hAnsi="Times New Roman"/>
          <w:sz w:val="18"/>
          <w:szCs w:val="18"/>
          <w:color w:val="auto"/>
        </w:rPr>
        <w:t>Our second area of focus seeks to enhance the viral suppression and rate of functional cure for CHB, which often results in life-threatening conditions such as cirrhosis, end-stage liver disease and, the most common form of liver cancer, hepatocellular carcinoma (HCC). To achieve this, we are developing a portfolio of differentiated CHB drug candidates, including a small molecule Capsid Assembly Modulator that results in the production of empty viral capsids (CAM-E) and small molecule inhibitors of the Programmed Cell Death Ligand 1 (PD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1/PD-L1) interaction.</w:t>
      </w:r>
    </w:p>
    <w:p>
      <w:pPr>
        <w:spacing w:after="0" w:line="24" w:lineRule="exact"/>
        <w:rPr>
          <w:sz w:val="20"/>
          <w:szCs w:val="20"/>
          <w:color w:val="auto"/>
        </w:rPr>
      </w:pPr>
    </w:p>
    <w:p>
      <w:pPr>
        <w:ind w:right="260" w:firstLine="509"/>
        <w:spacing w:after="0" w:line="259" w:lineRule="exact"/>
        <w:rPr>
          <w:sz w:val="20"/>
          <w:szCs w:val="20"/>
          <w:color w:val="auto"/>
        </w:rPr>
      </w:pPr>
      <w:r>
        <w:rPr>
          <w:rFonts w:ascii="Times New Roman" w:cs="Times New Roman" w:eastAsia="Times New Roman" w:hAnsi="Times New Roman"/>
          <w:sz w:val="18"/>
          <w:szCs w:val="18"/>
          <w:color w:val="auto"/>
        </w:rPr>
        <w:t>We have completed the initial Phase 1a study in HVs for our CAM-E,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and a Phase 1b dose ranging study evaluating the safety, PK and antiviral activity of 10-300 mg doses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for 28 days among untreated HBV e-antigen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5" w:name="page26"/>
    <w:bookmarkEnd w:id="25"/>
    <w:p>
      <w:pPr>
        <w:spacing w:after="0" w:line="207" w:lineRule="exact"/>
        <w:rPr>
          <w:sz w:val="20"/>
          <w:szCs w:val="20"/>
          <w:color w:val="auto"/>
        </w:rPr>
      </w:pPr>
      <w:r>
        <w:rPr>
          <w:rFonts w:ascii="Times New Roman" w:cs="Times New Roman" w:eastAsia="Times New Roman" w:hAnsi="Times New Roman"/>
          <w:sz w:val="18"/>
          <w:szCs w:val="18"/>
          <w:color w:val="auto"/>
        </w:rPr>
        <w:t>(HBeAg) positive/negative CHB subjects. For these studies,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was found to be well tolerated with a favorable PK profile and demonstrated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potentially best-in-class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HBV DNA and RNA reductions at all doses tested, as well as HBV surface antigen (HBsAg) reductions in a subset of</w:t>
      </w:r>
    </w:p>
    <w:p>
      <w:pPr>
        <w:spacing w:after="0" w:line="207" w:lineRule="exact"/>
        <w:rPr>
          <w:sz w:val="20"/>
          <w:szCs w:val="20"/>
          <w:color w:val="auto"/>
        </w:rPr>
      </w:pPr>
      <w:r>
        <w:rPr>
          <w:rFonts w:ascii="Times New Roman" w:cs="Times New Roman" w:eastAsia="Times New Roman" w:hAnsi="Times New Roman"/>
          <w:sz w:val="18"/>
          <w:szCs w:val="18"/>
          <w:color w:val="auto"/>
        </w:rPr>
        <w:t>HBeAg positive subjects receiving 300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(Hou et. al, AASLD 2022). Based on the favorable profile after dosing up to 300 mg</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x 28 days, additional Phase 1b cohorts are currently ongoing and evaluating the risk-benefit profile of up to 300 mg doses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or without entecavir (ETV) therapy for up to 96 weeks in HBeAg positive/negative CHB subjects. Preliminary data have been presented for several of</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these cohorts (Agarwal et al., EASL 2024, Yuen et al., EASL 2024) and indicate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dosed for up to 72 weeks was well tolerated with 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favorable PK profile and potentially best-in-class antiviral activity.</w:t>
      </w:r>
    </w:p>
    <w:p>
      <w:pPr>
        <w:spacing w:after="0" w:line="9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Data from ≤72 weeks following an oral daily dose of 300 mg ALG-000184 monotherapy demonstrated sustained HBV DNA suppression (&lt;LLOQ &lt;10 IU/mL) in 9/10 (90%) HBeAg-positive CHB subjects. This monotherapy arm also showed that as HBeAg declined to near undetectability in this</w:t>
      </w:r>
    </w:p>
    <w:p>
      <w:pPr>
        <w:spacing w:after="0" w:line="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patient population, anti-HBe antibody (HBeAb) levels exhibited a positive increasing trend. Data from ≤60 weeks who received a daily single dose of 300 mg ALG-000184 monotherapy demonstrated complete suppression of HBV DNA (&lt;LLOQ 10 IU/mL) and RNA (&lt;LLOQ 10 copies/mL) for all 11 HBeAg-negative CHB subjects (100%), with reduction in HBcrAg levels indicating inhibition of HBV replication, as well as inhibition of cccDNA establishment/replenishment. In both patient populations, ALG-000184 continued to be well tolerated with no viral breakthrough.</w:t>
      </w:r>
    </w:p>
    <w:p>
      <w:pPr>
        <w:spacing w:after="0" w:line="68"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Compared to Phase 3 studies with the current standard of care NAs, tenofovir disproxil fumarate (TDF) and tenofovir alafenamide (TAF) (Buti et al., Lancet Gastro, 2016), these Phase 1b data indicate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treatment may result in a substantially higher proportion of subjects with HBV DNA levels &lt; LLOQ (10 IU/mL) at Week 48, which is the approvable endpoint for chronic suppressive therapy in HBV (FDA Guidance, Chronic Hepatitis B Virus Infection: Developing Drugs for Treatment Guidance for Industry, April 2022 – Section III.B.1.a). We recently received supportive feedback from the FDA regarding chronic suppressive therapy with ALG-000184. Subsequent clinical studies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can be conducted to show superiority to standard of care with the proportion of subjects with HBV DNA levels &lt; LLOQ (10 IU/mL) at Week 48, as the primary approvable endpoint. Additionally, in combination with other mechanisms of action such as those in our CHB portfolio, ALG-000184 may lead to higher rates of functional cure. Dosing of HBeAg positive/negative subjects with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 ETV in ongoing cohorts will continue throughout 2024 and interim safety, PK, and antiviral activity data will be presented at scientific conferences throughout the year.</w:t>
      </w:r>
    </w:p>
    <w:p>
      <w:pPr>
        <w:spacing w:after="0" w:line="55" w:lineRule="exact"/>
        <w:rPr>
          <w:sz w:val="20"/>
          <w:szCs w:val="20"/>
          <w:color w:val="auto"/>
        </w:rPr>
      </w:pPr>
    </w:p>
    <w:p>
      <w:pPr>
        <w:ind w:right="120" w:firstLine="509"/>
        <w:spacing w:after="0" w:line="231" w:lineRule="exact"/>
        <w:rPr>
          <w:sz w:val="20"/>
          <w:szCs w:val="20"/>
          <w:color w:val="auto"/>
        </w:rPr>
      </w:pPr>
      <w:r>
        <w:rPr>
          <w:rFonts w:ascii="Times New Roman" w:cs="Times New Roman" w:eastAsia="Times New Roman" w:hAnsi="Times New Roman"/>
          <w:sz w:val="18"/>
          <w:szCs w:val="18"/>
          <w:color w:val="auto"/>
        </w:rPr>
        <w:t>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available data indicated evidence of HBsAg lowering at all 3 dose levels evaluated. We plan to seek additional external funding to further advance this drug candidate in clinical development.</w:t>
      </w:r>
    </w:p>
    <w:p>
      <w:pPr>
        <w:spacing w:after="0" w:line="92"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8"/>
          <w:szCs w:val="18"/>
          <w:color w:val="auto"/>
        </w:rPr>
        <w:t>We are also exploring ways to boost immune responses via small molecule inhibitors of the Programmed Cell Death Ligand 1 (PD-L1) transmembrane protein and its interaction with Programmed Cell Death Protein 1 (PD-1). We have rationally designed these T cell activating drug candidates to partition preferentially to the liver and thereby potentially mitigate systemic toxicity with the goal to develop better tolerated PD-1/PD-L1 inhibitors for CHB patients. Lead molecules developed to date show similar in vivo efficacy in tumor models to approved PD-1/PD-L1 antibodies. Our small molecule lead compounds also demonstrate greater PD-L1 target occupancy at a lower dose in a humanized PD-L1 subcutaneous tumor model compared to competitor small molecule PD-L1 inhibitors. We have recently selected two lead molecules and have completed scale-up to enable further advancement towards clinical development.</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Coronavirus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third area of focus is to develop drug candidates with pan-coronavirus antiviral activity, including against Severe Acute Respiratory Syndrome coronavirus 2 (SARS-CoV-2), the virus responsible for COVID-19. In this area of focus, we are exploring small molecule coronavirus 3CL protease inhibitors (PIs) in collaboration with Katholieke Universiteit Leuven (KU Leuven), the Center for Innovation and Stimulation of Drug Discovery (CISTIM) and the Centre for Drug Design and Discovery (CD3).</w:t>
      </w:r>
    </w:p>
    <w:p>
      <w:pPr>
        <w:spacing w:after="0" w:line="31" w:lineRule="exact"/>
        <w:rPr>
          <w:sz w:val="20"/>
          <w:szCs w:val="20"/>
          <w:color w:val="auto"/>
        </w:rPr>
      </w:pPr>
    </w:p>
    <w:p>
      <w:pPr>
        <w:ind w:right="60" w:firstLine="509"/>
        <w:spacing w:after="0" w:line="226" w:lineRule="exact"/>
        <w:rPr>
          <w:sz w:val="20"/>
          <w:szCs w:val="20"/>
          <w:color w:val="auto"/>
        </w:rPr>
      </w:pPr>
      <w:r>
        <w:rPr>
          <w:rFonts w:ascii="Times New Roman" w:cs="Times New Roman" w:eastAsia="Times New Roman" w:hAnsi="Times New Roman"/>
          <w:sz w:val="18"/>
          <w:szCs w:val="18"/>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has been shown to be at least 6-fold more potent than nirmatrelvir and other PIs in clinical development against a panel of SARS-CoV-2 variants (including Omicron). It also has demonstrated broad pan-coronavirus activity, including against SARS-CoV and MERS-CoV. Single doses up to 2000 mg and multiple doses up to 800 mg Q12 for 7 days have been well tolerated with an acceptable PK profile that indicates ritonavir boosting is not required. Based on these Phase 1 data (Wilkes et al, ESCMID, 2024), the projected efficacious dose range to treat SARS-CoV-2 is 200-600 mg ALG-097558 Q12 x 5 days. Future development of ALG-097558, including ongoing Phase 2 enabling activities, will be funded by external sources, including public funding sources as described below.</w:t>
      </w:r>
    </w:p>
    <w:p>
      <w:pPr>
        <w:spacing w:after="0" w:line="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Preclinical activities for our coronavirus program were partially funded through a grant from the National Institutes of Health (NIH) and the National Institute of Allergy and Infectious Diseases (NIAID) Antiviral Drug Discovery (AViDD) Centers for Pathogens of Pandemic Concern program through the Metropolitan AntiViral Drug Accelerator (MAVDA) consortium. Specific clinical and nonclinical studies for the ALG-097558 program and the follow up compound, are now also being funded with federal funds from the NIAID, NIH, Department of Health and Human Services, under Contract No. 75N93023C00052. We filed an IND 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6" w:name="page27"/>
    <w:bookmarkEnd w:id="26"/>
    <w:p>
      <w:pPr>
        <w:ind w:right="100"/>
        <w:spacing w:after="0" w:line="261" w:lineRule="auto"/>
        <w:rPr>
          <w:sz w:val="20"/>
          <w:szCs w:val="20"/>
          <w:color w:val="auto"/>
        </w:rPr>
      </w:pPr>
      <w:r>
        <w:rPr>
          <w:rFonts w:ascii="Times New Roman" w:cs="Times New Roman" w:eastAsia="Times New Roman" w:hAnsi="Times New Roman"/>
          <w:sz w:val="18"/>
          <w:szCs w:val="18"/>
          <w:color w:val="auto"/>
        </w:rPr>
        <w:t>the third quarter of 2024 and clinical studies in special populations are planned to be initiated in the second half of 2024 through the end of 2025 as part of this NIAID contract. We expect to receive approximately $13.8 million in funds across these two NIH awards and contracts to support these activities. We are also presently seeking additional external funding (e.g., from governmental agencies) to support future studies (e.g., Phase 2) as we advance ALG-097558 for the treatment of COVID-19 and future coronavirus pandemics.</w:t>
      </w:r>
    </w:p>
    <w:p>
      <w:pPr>
        <w:spacing w:after="0" w:line="234" w:lineRule="exact"/>
        <w:rPr>
          <w:sz w:val="20"/>
          <w:szCs w:val="20"/>
          <w:color w:val="auto"/>
        </w:rPr>
      </w:pPr>
    </w:p>
    <w:p>
      <w:pPr>
        <w:ind w:firstLine="666"/>
        <w:spacing w:after="0" w:line="254"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in each year since our formation in February 2018. Our net losses were $29.8 million and $41.7 million for the six months ended June 30, 2024 and 2023, respectively, and our net losses were $87.7 million for the year ended December 31, 2023. We have had no revenue from product sales. As of June 30, 2024, we had an accumulated deficit of $516.6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 force and outsource a substantial portion of our clinical trial work to third parties.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revenues consist of the following:</w:t>
      </w:r>
    </w:p>
    <w:p>
      <w:pPr>
        <w:spacing w:after="0" w:line="115"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Collaboration revenue </w:t>
      </w:r>
      <w:r>
        <w:rPr>
          <w:rFonts w:ascii="Times New Roman" w:cs="Times New Roman" w:eastAsia="Times New Roman" w:hAnsi="Times New Roman"/>
          <w:sz w:val="18"/>
          <w:szCs w:val="18"/>
          <w:color w:val="auto"/>
        </w:rPr>
        <w:t>includes recognition of our upfront payments pursuant to the Merck Original Agreement and First Amendment.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collaboration revenue, we utilize an input method to recognize revenue over time as costs are incurred.</w:t>
      </w:r>
    </w:p>
    <w:p>
      <w:pPr>
        <w:spacing w:after="0" w:line="50"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 revenue </w:t>
      </w:r>
      <w:r>
        <w:rPr>
          <w:rFonts w:ascii="Times New Roman" w:cs="Times New Roman" w:eastAsia="Times New Roman" w:hAnsi="Times New Roman"/>
          <w:sz w:val="18"/>
          <w:szCs w:val="18"/>
          <w:color w:val="auto"/>
        </w:rPr>
        <w:t>includes recognition of revenue generated from research and development services under third-party contracts with customers.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to record contract revenue, we utilize an input method to recognize revenue over time as costs are incurred.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solely of research and development costs and general and administrative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75" w:lineRule="exact"/>
        <w:rPr>
          <w:sz w:val="20"/>
          <w:szCs w:val="20"/>
          <w:color w:val="auto"/>
        </w:rPr>
      </w:pPr>
    </w:p>
    <w:p>
      <w:pPr>
        <w:ind w:left="1020" w:right="4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employee-related costs, including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in-process research and development, including license fees and milestones paid to third-party collaborators for technologies with no alternative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materials, including fees paid to contract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collaborators that perform nonclinical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depreciation, and other expenses, which include direct and allocated expenses for rent and maintenance of facilities, insurance, and other supplies.</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7" w:name="page28"/>
    <w:bookmarkEnd w:id="27"/>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18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track direct external research and development expenses on a program-specific basis (metabolic dysfunction-associated steatohepatitis, chronic hepatitis B, coronaviruses and early-stage programs). The following table summarizes these research and development costs,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6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6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 research and development expenses by development program:</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Metabolic dysfunction-associated steatohepatitis program</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20"/>
                <w:szCs w:val="20"/>
                <w:color w:val="auto"/>
              </w:rPr>
            </w:pPr>
          </w:p>
        </w:tc>
      </w:tr>
      <w:tr>
        <w:trPr>
          <w:trHeight w:val="247"/>
        </w:trPr>
        <w:tc>
          <w:tcPr>
            <w:tcW w:w="6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Chronic Hepatitis B program</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shd w:val="clear" w:color="auto" w:fill="CFF0FC"/>
          </w:tcPr>
          <w:p>
            <w:pPr>
              <w:spacing w:after="0"/>
              <w:rPr>
                <w:sz w:val="21"/>
                <w:szCs w:val="21"/>
                <w:color w:val="auto"/>
              </w:rPr>
            </w:pPr>
          </w:p>
        </w:tc>
      </w:tr>
      <w:tr>
        <w:trPr>
          <w:trHeight w:val="239"/>
        </w:trPr>
        <w:tc>
          <w:tcPr>
            <w:tcW w:w="6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Coronaviruses program</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Pr>
          <w:p>
            <w:pPr>
              <w:spacing w:after="0"/>
              <w:rPr>
                <w:sz w:val="20"/>
                <w:szCs w:val="20"/>
                <w:color w:val="auto"/>
              </w:rPr>
            </w:pPr>
          </w:p>
        </w:tc>
      </w:tr>
      <w:tr>
        <w:trPr>
          <w:trHeight w:val="247"/>
        </w:trPr>
        <w:tc>
          <w:tcPr>
            <w:tcW w:w="61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early-stage programs</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14,730</w:t>
            </w:r>
          </w:p>
        </w:tc>
        <w:tc>
          <w:tcPr>
            <w:tcW w:w="100" w:type="dxa"/>
            <w:vAlign w:val="bottom"/>
          </w:tcPr>
          <w:p>
            <w:pPr>
              <w:spacing w:after="0"/>
              <w:rPr>
                <w:sz w:val="20"/>
                <w:szCs w:val="20"/>
                <w:color w:val="auto"/>
              </w:rPr>
            </w:pPr>
          </w:p>
        </w:tc>
      </w:tr>
      <w:tr>
        <w:trPr>
          <w:trHeight w:val="247"/>
        </w:trPr>
        <w:tc>
          <w:tcPr>
            <w:tcW w:w="6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34,916</w:t>
            </w:r>
          </w:p>
        </w:tc>
        <w:tc>
          <w:tcPr>
            <w:tcW w:w="10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-505460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-505460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-505460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-187960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-187960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Interest and other income, net comprises interest income, net and other income, net. Interest income, net primarily consists of interest earned on our cash, cash equivalents, and investments. Other income, net consists primarily of the change in fair value of our common warrant liability, investments and foreign currency gains/losses.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the three and six months ended June 30, 2024 and 2023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7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center"/>
              <w:ind w:left="394"/>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2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(2,592 )</w:t>
            </w:r>
          </w:p>
        </w:tc>
        <w:tc>
          <w:tcPr>
            <w:tcW w:w="2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(4,883 )</w:t>
            </w:r>
          </w:p>
        </w:tc>
        <w:tc>
          <w:tcPr>
            <w:tcW w:w="26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customers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(3,233 )</w:t>
            </w: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-75 %</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2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(2,679 )</w:t>
            </w:r>
          </w:p>
        </w:tc>
        <w:tc>
          <w:tcPr>
            <w:tcW w:w="2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34,916</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(2,870 )</w:t>
            </w: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2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(4,709 )</w:t>
            </w:r>
          </w:p>
        </w:tc>
        <w:tc>
          <w:tcPr>
            <w:tcW w:w="2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26,027</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52,668</w:t>
            </w:r>
          </w:p>
        </w:tc>
        <w:tc>
          <w:tcPr>
            <w:tcW w:w="2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(2,161 )</w:t>
            </w:r>
          </w:p>
        </w:tc>
        <w:tc>
          <w:tcPr>
            <w:tcW w:w="2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(26,414 )</w:t>
            </w:r>
          </w:p>
        </w:tc>
        <w:tc>
          <w:tcPr>
            <w:tcW w:w="20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(19,141 )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(7,273 )</w:t>
            </w: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(48,460 )</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(43,059 )</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(5,401 )</w:t>
            </w:r>
          </w:p>
        </w:tc>
        <w:tc>
          <w:tcPr>
            <w:tcW w:w="2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50"/>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(636 )</w:t>
            </w:r>
          </w:p>
        </w:tc>
        <w:tc>
          <w:tcPr>
            <w:tcW w:w="2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-67 %</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(804 )</w:t>
            </w:r>
          </w:p>
        </w:tc>
        <w:tc>
          <w:tcPr>
            <w:tcW w:w="26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20522 %</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4328 %</w:t>
            </w: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and other income, net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2760 %</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796 %</w:t>
            </w:r>
          </w:p>
        </w:tc>
      </w:tr>
      <w:tr>
        <w:trPr>
          <w:trHeight w:val="225"/>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(18,034 )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-129 %</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(29,589 )</w:t>
            </w: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(40,950 )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(189 )</w:t>
            </w:r>
          </w:p>
        </w:tc>
        <w:tc>
          <w:tcPr>
            <w:tcW w:w="20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-75 %</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(213 )</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(796 )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(18,791 )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-127 %</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(29,802 )</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(41,746 )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-2134235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-1824990</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291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collaborations</w:t>
      </w:r>
    </w:p>
    <w:p>
      <w:pPr>
        <w:spacing w:after="0" w:line="119"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Revenue from collaborations decreased by $2.6 million and $4.9 million, respectively, for the three and six months ended June 30, 2024, when compared to the same period in 2023. The decrease was primarily due to the completion of the Amended Agreement with Merck in the first quarter of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customers</w:t>
      </w:r>
    </w:p>
    <w:p>
      <w:pPr>
        <w:spacing w:after="0" w:line="11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Revenue from customers decreased by $3.2 million and $2.7 million, respectively, for the three and six months ended June 30, 2024, when compared to the same period in 2023. The decrease was due to the near completion of the original agreement with Amoytop.</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$4.3 million during the three months ended June 30, 2024, compared to the same period in 2023. The increase in the three-month period was primarily due to a $6.4 million increase in third party expenses due to increased clinical study costs. This was partially offset by a $0.9 million decrease in employee-related costs including a $0.3 million decrease in stock-based compensation, a $0.1 million decrease in travel and recruiting, a $1.0 million decrease in in facility and other expenses.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$2.5 million during the six months ended June 30, 2024, compared to the same period in 2023. The increase in the six-month period was primarily due to a $6.5 million increase in third party expenses due to increased clinical study costs. This was partially offset by a $2.8 million decrease in employee-related costs including a $1.1 million decrease in stock-based compensation, a $0.1 million decrease in depreciation, and a decrease of $1.0 million in facility and other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$2.9 million during the three months ended June 30, 2024, compared to the same period in 2023. This was primarily due to a $1.6 million decrease in third party expenses due to reduced legal and IP spend, a $0.2 million decrease in facility and other expenses, and a $1.0 million decrease in employee-related costs.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32" w:right="279" w:bottom="1440" w:gutter="0" w:footer="0" w:header="0"/>
        </w:sectPr>
      </w:pPr>
    </w:p>
    <w:bookmarkStart w:id="29" w:name="page30"/>
    <w:bookmarkEnd w:id="29"/>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$4.7 million during the six months ended June 30, 2024, compared to the same period in 2023. This was primarily due to a $2.8 million decrease in third party expenses due to reduced legal and IP spend, a $0.6 million decrease in facility and other expenses, and a $1.2 million decrease in employee-related costs.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3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interest and other income, net for the three and six months ended June 30, 2024 and 2023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64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(636 )</w:t>
            </w:r>
          </w:p>
        </w:tc>
        <w:tc>
          <w:tcPr>
            <w:tcW w:w="2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(804 )</w:t>
            </w:r>
          </w:p>
        </w:tc>
        <w:tc>
          <w:tcPr>
            <w:tcW w:w="26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57"/>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31,345</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20522 %</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4327 %</w:t>
            </w:r>
          </w:p>
        </w:tc>
        <w:tc>
          <w:tcPr>
            <w:tcW w:w="0" w:type="dxa"/>
            <w:vAlign w:val="bottom"/>
          </w:tcPr>
          <w:p>
            <w:pPr>
              <w:spacing w:after="0"/>
              <w:rPr>
                <w:sz w:val="1"/>
                <w:szCs w:val="1"/>
                <w:color w:val="auto"/>
              </w:rPr>
            </w:pPr>
          </w:p>
        </w:tc>
      </w:tr>
      <w:tr>
        <w:trPr>
          <w:trHeight w:val="205"/>
        </w:trPr>
        <w:tc>
          <w:tcPr>
            <w:tcW w:w="2920" w:type="dxa"/>
            <w:vAlign w:val="bottom"/>
          </w:tcPr>
          <w:p>
            <w:pPr>
              <w:ind w:left="380"/>
              <w:spacing w:after="0" w:line="205" w:lineRule="exact"/>
              <w:rPr>
                <w:sz w:val="20"/>
                <w:szCs w:val="20"/>
                <w:color w:val="auto"/>
              </w:rPr>
            </w:pPr>
            <w:r>
              <w:rPr>
                <w:rFonts w:ascii="Times New Roman" w:cs="Times New Roman" w:eastAsia="Times New Roman" w:hAnsi="Times New Roman"/>
                <w:sz w:val="18"/>
                <w:szCs w:val="18"/>
                <w:color w:val="auto"/>
              </w:rPr>
              <w:t>Total interest and other income,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31,664</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30,557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16,762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2760 %</w:t>
            </w:r>
          </w:p>
        </w:tc>
        <w:tc>
          <w:tcPr>
            <w:tcW w:w="1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8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decreased by $0.6 million and $0.8 million for the three and six months ended June 30, 2024 when compared to the same periods ended June 30, 2023, primarily due to a general decrease in market interest rates.</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Other income, net increased by $31.2 million and $17.6 million, respectively, for the three and six months ended June 30, 2024 compared to the same periods ended June 30, 2023, due to the change in fair value of the Common Warrants associated with the Securities Purchase Agreement which are remeasured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We have incurred net losses in each year since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w:t>
      </w:r>
    </w:p>
    <w:p>
      <w:pPr>
        <w:spacing w:after="0" w:line="6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Our operations have been financed primarily by net proceeds from the sale and issuance of our convertible preferred stock, proceeds from public offerings, revenue from customer and collaboration agreements, and proceeds from private placements of our common stock, warrants and pre-funded warrants, and the issuance of convertible debt.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we had cash, cash equivalents and investments of $94.5 million.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19" w:lineRule="exact"/>
        <w:rPr>
          <w:sz w:val="20"/>
          <w:szCs w:val="20"/>
          <w:color w:val="auto"/>
        </w:rPr>
      </w:pPr>
    </w:p>
    <w:p>
      <w:pPr>
        <w:ind w:right="100" w:firstLine="509"/>
        <w:spacing w:after="0" w:line="220" w:lineRule="exact"/>
        <w:rPr>
          <w:sz w:val="20"/>
          <w:szCs w:val="20"/>
          <w:color w:val="auto"/>
        </w:rPr>
      </w:pPr>
      <w:r>
        <w:rPr>
          <w:rFonts w:ascii="Times New Roman" w:cs="Times New Roman" w:eastAsia="Times New Roman" w:hAnsi="Times New Roman"/>
          <w:sz w:val="18"/>
          <w:szCs w:val="18"/>
          <w:color w:val="auto"/>
        </w:rPr>
        <w:t>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MASH drug candidate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which we have initiated clinical trials, as well as our research and development of our other drug candidates within our CHB and coronavirus programs.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we incur costs associated with operating as a public company. We expect that our expenses will increase substantially to the extent we:</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current and future clinical trials, and additional nonclinical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nonclinical and clinical development of other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marketing approvals for any of our drug candidates that successfully complete clinical trials, if any;</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20" w:right="279" w:bottom="1440" w:gutter="0" w:footer="0" w:header="0"/>
        </w:sectPr>
      </w:pPr>
    </w:p>
    <w:bookmarkStart w:id="30" w:name="page31"/>
    <w:bookmarkEnd w:id="30"/>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our drug candidates for clinical development and potentially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milestones triggering payments by us under our current and potential future licensing and/or collaboration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or expand existing facilities to support our ongoing development activity;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any future commercialization efforts and any additional requirement of being a public company.</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cash equivalents and investments will enable us to fund our planned operating expenses and capital expenditure requirements through at least the twelve months from the date of issuing our financial statements. We have based this estimate on assumptions that may prove to be wrong, and we could exhaust our available capital resources sooner than we expect. Furthermore, we may elect to raise additional capital on an opportunistic basis to fund operations.</w:t>
      </w:r>
    </w:p>
    <w:p>
      <w:pPr>
        <w:spacing w:after="0" w:line="18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72" w:lineRule="exact"/>
        <w:rPr>
          <w:sz w:val="20"/>
          <w:szCs w:val="20"/>
          <w:color w:val="auto"/>
        </w:rPr>
      </w:pPr>
    </w:p>
    <w:p>
      <w:pPr>
        <w:ind w:left="1020" w:right="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7" w:lineRule="exact"/>
        <w:rPr>
          <w:rFonts w:ascii="Times New Roman" w:cs="Times New Roman" w:eastAsia="Times New Roman" w:hAnsi="Times New Roman"/>
          <w:sz w:val="18"/>
          <w:szCs w:val="18"/>
          <w:color w:val="auto"/>
        </w:rPr>
      </w:pPr>
    </w:p>
    <w:p>
      <w:pPr>
        <w:ind w:left="1020" w:right="12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 including milestone payments to our licensors;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1" w:name="page32"/>
    <w:bookmarkEnd w:id="31"/>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your ownership interest.</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(42,239 )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(36,003 )</w:t>
            </w: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(used in) provided by investing activities</w:t>
            </w:r>
          </w:p>
        </w:tc>
        <w:tc>
          <w:tcPr>
            <w:tcW w:w="2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(48,649 )</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44,997</w:t>
            </w:r>
          </w:p>
        </w:tc>
        <w:tc>
          <w:tcPr>
            <w:tcW w:w="80" w:type="dxa"/>
            <w:vAlign w:val="bottom"/>
          </w:tcPr>
          <w:p>
            <w:pPr>
              <w:spacing w:after="0"/>
              <w:rPr>
                <w:sz w:val="20"/>
                <w:szCs w:val="20"/>
                <w:color w:val="auto"/>
              </w:rPr>
            </w:pPr>
          </w:p>
        </w:tc>
      </w:tr>
      <w:tr>
        <w:trPr>
          <w:trHeight w:val="247"/>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(90,626 )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-791845</wp:posOffset>
            </wp:positionV>
            <wp:extent cx="6858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-791845</wp:posOffset>
            </wp:positionV>
            <wp:extent cx="6858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2024, operating activities utilized $42.2 million of cash, primarily resulting from our net loss of $29.8 million and net changes in operating assets and liabilities of $1.4 million, partially offset by non-cash charges of $11.1 million. Net cash used in operating activities resulted in changes in our operating assets and liabilities of $1.4 million, consisting of a decrease of $4.8 million in accrued liabilities, a decrease of $1.3 million in operating lease liabilities, a decrease of $0.1 million in deferred revenue from collaborations, an increase of $0.1 million in deferred revenue from customers, and a decrease in other assets of $0.3 million, partially offset by an increase of $4.3 million in accounts payable. The decrease in deferred revenue from collaborations was due to the recognition of revenue from collaborations due to progress towards the completion of the projects. The decrease in accrued liabilities was largely due to the bonus payments that occurred in the first quarter of 2024. The decrease in accounts payable is due to the timing of payments to vendors.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2023, operating activities utilized $36.0 million of cash, primarily resulting from our net loss of $41.7 million and net changes in operating assets and liabilities of $3.0 million, partially offset by non-cash charges of $8.8 million. Net cash used in operating activities resulted in changes in our operating assets and liabilities of $3.0 million, consisting of a decrease of $1.5 million in accounts payable, a decrease of $2.2 million in accrued liabilities, a decrease of $1.2 million in operating lease liabilities, and a decrease of $4.6 million in deferred revenue from collaborations, partially offset by a decrease in other assets of $4.3 million and an increase of $2.2 million in deferred revenue from customers. The decrease in deferred revenue from collaborations was due to the recognition of revenue from collaborations due to progress towards the completion of the projects. The decrease in accrued liabilities was largely due to charges related to the discontinuation of our ASO and STOPs drug candidates. The decrease in accounts payable is due to the timing of payments to vendors.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investing activities used $48.6 million of cash, primarily due to $88.6 million of purchase of short-term investments partially offset by $40.0 million related to maturities of short-term investments.</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investing activities provided $45.0 million of cash, primarily due to $45.0 million of investment maturities.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financing activities was $262.0 thousand, consisting primarily due to proceeds from the ESPP purchase.</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net cash provided by financing activities was $413.0 thousand, consisting primarily of proceeds from the ESPP purchase and from the exercise of stock options, partially offset by payments of our finance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have no material changes to our contractual obligations and commitments as of June 30, 2024 as disclosed in the contractual obligations and commitment section in our Annual Report on Form 10-K filed with the SEC on March 12,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For a discussion of our critical accounting estimates, see “Management’s discussion and analysis of financial condition and results of operations” and the notes to our audited financial statements in our annual report on Form 10-K, filed with the SEC on March 12, 2024 for the year ended December 31, 2023, and the notes to the financial statements appearing elsewhere in this Quarterly Report on Form 10-Q. There have been no material changes to these critical accounting policies and estimates through June 30, 2024 from those discussed in our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the expected impact of recently adopted accounting pronouncements, see Note 2. Summary of significant accounting policies in the “Notes to Unaudited Condensed Consolidated Financial Statements” contained in Part I, Item 1 of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six months ended June 30, 2024, compared to the disclosures in Part II, Item 7A of our Annual Report on Form 10-K for the year ended December 31, 2023.</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2"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We have established disclosure controls and procedures (as defined in Rules 13a-15(e) and 15d-15(e) under the Exchange Act) designed to ensure that information required to be disclosed in the reports that we file or submit under the Securities Exchange Act of 1934, as amended, or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June 30, 2024, our disclosure controls and procedures were effective at the reasonable assurance level.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that occurred during the fiscal quarter ended June 30, 2024 that has materially affected, or is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While the outcome of any such proceedings cannot be predicted with certainty, we are not currently involved in any legal proceedings that we believe are, individually or in the aggregate, material to our business, results of operations or financial condition. However, regardless of the outcome, litigation can have an adverse impact on our business, financial condition, results of operations and prospects because of associated costs and diversion of management time.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carefully consider the risks described below, as well as the other information in this Quarterly Report on Form 10-Q, including our consolidated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need for additional capital</w:t>
      </w:r>
    </w:p>
    <w:p>
      <w:pPr>
        <w:spacing w:after="0" w:line="22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p>
    <w:p>
      <w:pPr>
        <w:spacing w:after="0" w:line="1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w:t>
      </w:r>
    </w:p>
    <w:p>
      <w:pPr>
        <w:spacing w:after="0" w:line="183"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each fiscal year since inception, we have incurred significant net losses. We generated $29.8 million losses for the six months ended June 30, 2024, and $87.7 million losses for the year ended December 31, 2023. As of June 30, 2024, we had a total stockholders’ equity of $67.2 million. We have funded our operations to date primarily with proceeds from the sale of common stock, preferred stock, convertible notes, revenue from customer and collaboration agreements, and warrants.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 for a full fiscal year.</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and nonclinical development of drug candidates and programs and identifying and developing new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marketing approvals for any drug candidates that we develop;</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35" w:name="page36"/>
    <w:bookmarkEnd w:id="35"/>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adequate coverage and reimbursement by third-party payors for drug candidates that we develop;</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drug candidates that we develop as viable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and market developments;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enforcing and expanding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infringement or other intellectual property-related claims,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for a full fiscal year and may need to obtain additional funding to continue operations.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In October 2023, we closed a private placement, which resulted in gross proceeds of approximately $92.1 million, before deducting placement agent fees and expenses. As of June 30, 2024, we had cash, cash equivalents and investments of $94.5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1020" w:right="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7" w:lineRule="exact"/>
        <w:rPr>
          <w:rFonts w:ascii="Times New Roman" w:cs="Times New Roman" w:eastAsia="Times New Roman" w:hAnsi="Times New Roman"/>
          <w:sz w:val="18"/>
          <w:szCs w:val="18"/>
          <w:color w:val="auto"/>
        </w:rPr>
      </w:pPr>
    </w:p>
    <w:p>
      <w:pPr>
        <w:ind w:left="1020" w:right="12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 including milestone payments to our licensors;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common stock, preferred stock, convertible notes and warrants. For example, in November 2021, we filed a Registration Statement on Form S-3 covering the offering of up to $400.0 million of common stock, preferred stock, debt securities, warrants and units, which was declared effective by the SEC in November 2021 (November 2021 Shelf Registration Statement). In October 2023, we completed a private placement of common stock, warrants and pre-funded warrants.</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and the macro-economic environment generally.</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ability to raise additional funds depends on financial, economic and other factors, many of which are beyond our control. For example, if there is a disruption of global financial markets,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72" w:lineRule="exact"/>
        <w:rPr>
          <w:sz w:val="20"/>
          <w:szCs w:val="20"/>
          <w:color w:val="auto"/>
        </w:rPr>
      </w:pPr>
    </w:p>
    <w:p>
      <w:pPr>
        <w:ind w:left="1020" w:right="2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nonclinical studies, clinical trials or other research and development activities or eliminate one or more of our development programs altogether; or</w:t>
      </w:r>
    </w:p>
    <w:p>
      <w:pPr>
        <w:spacing w:after="0" w:line="53" w:lineRule="exact"/>
        <w:rPr>
          <w:rFonts w:ascii="Times New Roman" w:cs="Times New Roman" w:eastAsia="Times New Roman" w:hAnsi="Times New Roman"/>
          <w:sz w:val="18"/>
          <w:szCs w:val="18"/>
          <w:color w:val="auto"/>
        </w:rPr>
      </w:pPr>
    </w:p>
    <w:p>
      <w:pPr>
        <w:jc w:val="both"/>
        <w:ind w:left="1020" w:right="30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currently have a shelf registration statement effective, however, our ability to raise capital under this registration statement may be limited by, among other things, SEC rules and regulations impacting the eligibility of smaller companies to use Form S-3 for primary offerings of securities. Based on our public float, as of the date of the filing of this Annual Report on Form 10-K, we are only permitted to utilize a shelf registration statement, subject to Instruction I.B.6 to Form S-3, which is referred to as the “baby shelf” rule. For so long as our public float is less than $75.0 million, we may not sell more than the equivalent of one-third of our public float during any 12 consecutive months pursuant to the baby shelf rules. Although alternative public and private transaction structures may be available, these may require additional time and cost, may impose operational restrictions on us, and may not be available on attractive terms.</w:t>
      </w:r>
    </w:p>
    <w:p>
      <w:pPr>
        <w:spacing w:after="0" w:line="18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15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54" w:lineRule="exact"/>
        <w:rPr>
          <w:sz w:val="20"/>
          <w:szCs w:val="20"/>
          <w:color w:val="auto"/>
        </w:rPr>
      </w:pPr>
    </w:p>
    <w:p>
      <w:pPr>
        <w:ind w:left="1020" w:right="1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which may change from time to time;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 in the United States and internationally;</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7" w:name="page38"/>
    <w:bookmarkEnd w:id="37"/>
    <w:p>
      <w:pPr>
        <w:ind w:left="1020" w:right="2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as well as building out our supply chain, which may vary depending on the quantity produced, and the terms of any agreements we enter into with third-party suppliers;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due under any current or future collaboration or license agreement, including our existing license agreements with Emory University (Emory) and KU Leuven;</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any future approved products, and potential future drugs that compete with our products;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to establish a sales, marketing, medical affairs and distribution infrastructure to commercialize any products for which we may obtain marketing approval and intend to commercialize on our own or jointly with current or future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in 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future approved products, which may vary significantly over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principles or our accounting policies;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must satisfy Nasdaq’s continued listing requirements, including, among other things, a minimum closing bid price of $1.00 per share, a minimum number of independent directors on the audit committee of the board of directors, and timely filing of all periodic financial reports, or risk delisting, which would have a material adverse effect on our business. In the event we are delisted from Nasdaq, the only established trading market for our common stock would be eliminated, and we would be forced to list our shares on the OTC Markets or another quotation medium, depending on our ability to meet the specific listing requirements of those quotation systems. As a result, an investor would likely find it more difficult to trade or obtain accurate price quotations for our shares. 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September 5, 2023, we received a letter from Nasdaq indicating that, for the last 30 consecutive business days, the bid price for our common stock had closed below the minimum $1.00 per share required for continued inclusion on the Nasdaq Global Select Market under the Nasdaq Listing Rules. The notice had no immediate effect on the listing or trading of our common stock. On March 6, 2024, our common stock began trading on the Nasdaq Capital Market, making us eligible for an additional compliance period that ends on September 3, 2024.</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Under Nasdaq Listing Rule 5810(c)(3)(A), if the closing bid price of our Common Shares is at or above $1.00 for a minimum of 10 consecutive business days by September 3, 2024, we would regain compliance with the minimum bid price requirement and our Common Shares would continue to be eligible for listing on the Nasdaq Capital Market, absent noncompliance with any other requirement for continued listing.</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June 27, 2024, our stockholders approved a proposal to grant authority to our board of directors to amend our amended and restated certificate of incorporation to effect a reverse stock split of our voting and non-voting common stock within a range of not less than 1-for-5 and not more than 1-for-30, if our board of directors deems it within the best interests of Aligos Therapeutics, Inc.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8" w:name="page39"/>
    <w:bookmarkEnd w:id="38"/>
    <w:p>
      <w:pPr>
        <w:spacing w:after="0" w:line="258" w:lineRule="auto"/>
        <w:rPr>
          <w:sz w:val="20"/>
          <w:szCs w:val="20"/>
          <w:color w:val="auto"/>
        </w:rPr>
      </w:pPr>
      <w:r>
        <w:rPr>
          <w:rFonts w:ascii="Times New Roman" w:cs="Times New Roman" w:eastAsia="Times New Roman" w:hAnsi="Times New Roman"/>
          <w:sz w:val="18"/>
          <w:szCs w:val="18"/>
          <w:color w:val="auto"/>
        </w:rPr>
        <w:t>August 2024, we expect to complete a reverse stock split at a ratio that is within the range approved by our stockholders and that we intend to result in trading of shares of our voting common stock on the Nasdaq Capital Market on a split-adjusted basis at a price which exceeds $1.00 per share in compliance with applicable Nasdaq listing standards, following the effectiveness of the reverse stock split. However, there can be no assurance that we will be able to regain compliance with the minimum bid price requirement during the 180-day compliance period with respect to the minimum bid price requirement.</w:t>
      </w:r>
    </w:p>
    <w:p>
      <w:pPr>
        <w:spacing w:after="0" w:line="183"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Effective May 21, 2024 Jack Nielsen resigned as a member of our board of directors, which resulted in one vacancy on our audit committee. On May 29, 2024, we received a letter from Nasdaq regarding our noncompliance with Nasdaq Listing Rule 5605 (“Rule 5605”) which requires, among other things, that the audit committee be comprised of a minimum of three independent directors. Pursuant to Rule 5605, we were granted a cure period to regain compliance (i) until the earlier of our next annual shareholders’ meeting or May 21, 2025; or (ii) if the next annual shareholders’ meeting is held before November 18, 2024, then no later than November 18, 2024. There can be no assurance that we will be able to regain compliance with Rule 5605 prior to the end of the cure period, maintain compliance with the other listing requirements, or maintain the listing of our common stock on Nasdaq.</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Delisting from Nasdaq could make trading our common stock more difficult for investors, potentially leading to declines in our share price and liquidity. In addition, 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acceptance of our common stock as currency or the value accorded by other parties. If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w:t>
      </w:r>
    </w:p>
    <w:p>
      <w:pPr>
        <w:spacing w:after="0" w:line="18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adversely affected by the effects of health pandemics or epidemics and in particular in regions where we or third parties on which we rely have significant manufacturing facilities, concentrations of clinical trial sites or other business operations, including the San Francisco Bay Area where our headquarters are located.</w:t>
      </w:r>
    </w:p>
    <w:p>
      <w:pPr>
        <w:spacing w:after="0" w:line="17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business could be materially adversely affected by the effects of health pandemics or epidemics. For instance, the outbreak of COVID-19, which the World Health Organization had declared a global pandemic,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had implemented work-from-home policies for most of our employees until March 2022 when we allowed our employees to return to work at our U.S. facility. Government-imposed quarantines and any future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health pandemics or epidemics and other limitations on our ability to conduct our business in the ordinary course. These and similar, and perhaps more severe, disruptions in our operations could negatively impact our business, operating results and financial condition in the future.</w:t>
      </w:r>
    </w:p>
    <w:p>
      <w:pPr>
        <w:spacing w:after="0" w:line="19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Quarantines, shutdowns and shelter-in-place and similar government orders related to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health pandemics or epidemics may at any time disrupt our supply chain and delay or limit our ability to obtain sufficient materials for our drug candidates.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our current clinical trial and planned clinical trials may be affected by any future public health pandemics or epidemics. Site initiation and patient enrollment may be delayed due to prioritization of hospital resources toward the disease,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the disease, may be delayed or disrupted, which may adversely impact our clinical trial operations.</w:t>
      </w:r>
    </w:p>
    <w:p>
      <w:pPr>
        <w:spacing w:after="0" w:line="183"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addition, any future significant outbreak of contagious diseases in the human population could similarly adversely affect the economies and financial markets of many countries, including the United States, resulting in an economic downturn that could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39" w:name="page40"/>
    <w:bookmarkEnd w:id="39"/>
    <w:p>
      <w:pPr>
        <w:ind w:right="20"/>
        <w:spacing w:after="0" w:line="282" w:lineRule="auto"/>
        <w:rPr>
          <w:sz w:val="20"/>
          <w:szCs w:val="20"/>
          <w:color w:val="auto"/>
        </w:rPr>
      </w:pPr>
      <w:r>
        <w:rPr>
          <w:rFonts w:ascii="Times New Roman" w:cs="Times New Roman" w:eastAsia="Times New Roman" w:hAnsi="Times New Roman"/>
          <w:sz w:val="18"/>
          <w:szCs w:val="18"/>
          <w:color w:val="auto"/>
        </w:rPr>
        <w:t>suppress demand for our future products. Any of these events could have a material adverse effect on our business, financial condition, results of operations or cash flows.</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health pandemics or epidemics could materially adversely affect the value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regulatory process</w:t>
      </w:r>
    </w:p>
    <w:p>
      <w:pPr>
        <w:spacing w:after="0" w:line="22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175"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Our clinical development efforts across our drug candidates are in an early stage. We have initiated clinical trials for our most advanced drug candidates in many countries (e.g., New Zealand, Hong Kong, the United Kingdom).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CHB portfolio previously included our STOPS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drug candidate, ALG-010133, one of our proprietary s-antigen transport-inhibiting oligonucleotide polymers that was in a Phase 1b dose range finding trial (NCT04485663) evaluating subjects with CHB as well as our proprietary antisense oligonucleotide, ALG-020572, that was in a Phase 1a/1b umbrella study (NCT05001022) and for which dosing in CHB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CHB subject and several additional subjects experiencing ALT flares. Finally, 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w:t>
      </w:r>
    </w:p>
    <w:p>
      <w:pPr>
        <w:spacing w:after="0" w:line="20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8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are evaluating drug candidates in clinical trials in many countries (e.g., New Zealand, Hong Kong, the United Kingdom).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0" w:name="page41"/>
    <w:bookmarkEnd w:id="40"/>
    <w:p>
      <w:pPr>
        <w:spacing w:after="0" w:line="258" w:lineRule="auto"/>
        <w:rPr>
          <w:sz w:val="20"/>
          <w:szCs w:val="20"/>
          <w:color w:val="auto"/>
        </w:rPr>
      </w:pPr>
      <w:r>
        <w:rPr>
          <w:rFonts w:ascii="Times New Roman" w:cs="Times New Roman" w:eastAsia="Times New Roman" w:hAnsi="Times New Roman"/>
          <w:sz w:val="18"/>
          <w:szCs w:val="18"/>
          <w:color w:val="auto"/>
        </w:rPr>
        <w:t>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current and future drug candidates depends on many factors, which may include the following:</w:t>
      </w:r>
    </w:p>
    <w:p>
      <w:pPr>
        <w:spacing w:after="0" w:line="117" w:lineRule="exact"/>
        <w:rPr>
          <w:sz w:val="20"/>
          <w:szCs w:val="20"/>
          <w:color w:val="auto"/>
        </w:rPr>
      </w:pPr>
    </w:p>
    <w:p>
      <w:pPr>
        <w:ind w:left="1020" w:right="2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utilize our drug discovery platforms;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53"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investigational new drug applications (INDs), clinical trial applications (CTAs) and/or similar applications in other jurisdictions for our planned and future clinical trials;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 that supports an acceptable risk-benefit profile of our drug candidates in the intended populations;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clinical supply for our clinical trials and commercial manufacturing, if our drug candidates are approved;</w:t>
      </w:r>
    </w:p>
    <w:p>
      <w:pPr>
        <w:spacing w:after="0" w:line="53" w:lineRule="exact"/>
        <w:rPr>
          <w:rFonts w:ascii="Times New Roman" w:cs="Times New Roman" w:eastAsia="Times New Roman" w:hAnsi="Times New Roman"/>
          <w:sz w:val="18"/>
          <w:szCs w:val="18"/>
          <w:color w:val="auto"/>
        </w:rPr>
      </w:pPr>
    </w:p>
    <w:p>
      <w:pPr>
        <w:ind w:left="1020" w:right="120" w:hanging="503"/>
        <w:spacing w:after="0" w:line="312"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drug candidates in select indications or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exclusivity for our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our drug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drug candidate’s benefits and uses,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drug candidates following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225"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1" w:name="page42"/>
    <w:bookmarkEnd w:id="41"/>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New Zealand, Hong Kong, the United Kingdom). The rest of our programs are in nonclinical research or earlier stages of development, including our other chronic hepatitis B (CHB)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19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75" w:lineRule="exact"/>
        <w:rPr>
          <w:sz w:val="20"/>
          <w:szCs w:val="20"/>
          <w:color w:val="auto"/>
        </w:rPr>
      </w:pPr>
    </w:p>
    <w:p>
      <w:pPr>
        <w:ind w:left="1020" w:right="4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by us or third parties to comply with regulatory requirements, including the requirements of good laboratory practice (GLP);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nonclinical or other in vivo or in vitro data to support the initiation of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and obtaining regulatory authorization to commence clinical trials;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quantities of our drug candidates for use in nonclinical studies and clinical trials from third-party suppliers on a timely basis; and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other global-scale potentially catastrophic events, including other public health pandemics or epidemics, terrorism, war, and climate changes.</w:t>
      </w:r>
    </w:p>
    <w:p>
      <w:pPr>
        <w:spacing w:after="0" w:line="162"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15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2" w:name="page43"/>
    <w:bookmarkEnd w:id="42"/>
    <w:p>
      <w:pPr>
        <w:ind w:left="520"/>
        <w:spacing w:after="0"/>
        <w:rPr>
          <w:sz w:val="20"/>
          <w:szCs w:val="20"/>
          <w:color w:val="auto"/>
        </w:rPr>
      </w:pPr>
      <w:r>
        <w:rPr>
          <w:rFonts w:ascii="Times New Roman" w:cs="Times New Roman" w:eastAsia="Times New Roman" w:hAnsi="Times New Roman"/>
          <w:sz w:val="18"/>
          <w:szCs w:val="18"/>
          <w:color w:val="auto"/>
        </w:rPr>
        <w:t>Our current and future drug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comparable foreign regulatory authorities that a drug candidate is safe or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interpretation of data from clinical trials or nonclinical studies;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drug candidates may not be sufficient to support the submission of an NDA to the FDA or other submission or to obtain regulatory approval in the United States, the European Union (EU)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comparable foreign regulatory authorities may significantly change in a manner rendering our clinical data insufficient for approval.</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172"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157"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010133. This decision was based on emerging data from the Phase 1 Study ALG-010133-101, that indicated that at the projected efficacious dose (400 mg, estimated to achieve liver exposures &gt;3 x EC90 for HBsAg inhibition) there was no meaningful HBsAg reduction. Furthermore, higher doses levels (maximum feasible dose is 600 mg) that were planned to be evaluated in a subsequent cohort were very unlikely to reach the 1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IU/mL HBsAg reduction level that we had previously defined as necessary to advance the program. As another example, in March 2022, we discontinued further development of our ASO drug candidate for CHB,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020572, due to an unanticipated serious adverse event involving significant increase in ALT in one CHB subject and several other subjects experiencing ALT flares in the same study. Finally, 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while available data indicate evidence of HBsAg lowering at all 3 dose levels</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43" w:name="page44"/>
    <w:bookmarkEnd w:id="43"/>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68" w:lineRule="exact"/>
        <w:rPr>
          <w:sz w:val="20"/>
          <w:szCs w:val="20"/>
          <w:color w:val="auto"/>
        </w:rPr>
      </w:pPr>
    </w:p>
    <w:p>
      <w:pPr>
        <w:ind w:left="1020" w:right="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(CROs);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materials for drug candidates we develop or other materials necessary to conduct clinical trials may be insufficient or inadequate;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disruptions by man-made or natural disasters or public health pandemics or epidemics or other business interruptions.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Further, we are currently conducting clinical trials in many countries (e.g., New Zealand, Hong Kong, the United Kingdom).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187" w:lineRule="exact"/>
        <w:rPr>
          <w:sz w:val="20"/>
          <w:szCs w:val="20"/>
          <w:color w:val="auto"/>
        </w:rPr>
      </w:pPr>
    </w:p>
    <w:p>
      <w:pPr>
        <w:ind w:right="60" w:firstLine="509"/>
        <w:spacing w:after="0" w:line="219" w:lineRule="exact"/>
        <w:rPr>
          <w:sz w:val="20"/>
          <w:szCs w:val="20"/>
          <w:color w:val="auto"/>
        </w:rPr>
      </w:pPr>
      <w:r>
        <w:rPr>
          <w:rFonts w:ascii="Times New Roman" w:cs="Times New Roman" w:eastAsia="Times New Roman" w:hAnsi="Times New Roman"/>
          <w:sz w:val="18"/>
          <w:szCs w:val="18"/>
          <w:color w:val="auto"/>
        </w:rPr>
        <w:t>Specifically, should we experience another pandemic or epidemic outbreak on a similar if not greater scale as the COVID-19 outbreak, the clinical trial sites for our current drug trials, including for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ALG-000184, and ALG-097558, and future planned trials may be affected due to prioritization of hospital resources toward the outbreak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may be located in countries affected by the outbreak, and, should they experience disruptions such as temporary closures or suspension of services, we would likely experience delays in advancing these trials.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4" w:name="page45"/>
    <w:bookmarkEnd w:id="44"/>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the U.S. House of Representatives has introduced the BIOSECURE Act (H.R. 7085) and the Senate has advanced a substantially similar bill (S.3558), which legislation, if passed and enacted into law, would have the potential to restrict the ability of U.S. biopharmaceutical 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this legislation.</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18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pursuit of potential treatments for MASH is at an early stage and we may be unable to produce a therapy that successfully treats MASH. Even if successful, we may be unable to obtain regulatory approval for and successfully commercialize our drug candidates.</w:t>
      </w:r>
    </w:p>
    <w:p>
      <w:pPr>
        <w:spacing w:after="0" w:line="159" w:lineRule="exact"/>
        <w:rPr>
          <w:sz w:val="20"/>
          <w:szCs w:val="20"/>
          <w:color w:val="auto"/>
        </w:rPr>
      </w:pPr>
    </w:p>
    <w:p>
      <w:pPr>
        <w:ind w:right="120" w:firstLine="509"/>
        <w:spacing w:after="0" w:line="219" w:lineRule="exact"/>
        <w:rPr>
          <w:sz w:val="20"/>
          <w:szCs w:val="20"/>
          <w:color w:val="auto"/>
        </w:rPr>
      </w:pPr>
      <w:r>
        <w:rPr>
          <w:rFonts w:ascii="Times New Roman" w:cs="Times New Roman" w:eastAsia="Times New Roman" w:hAnsi="Times New Roman"/>
          <w:sz w:val="18"/>
          <w:szCs w:val="18"/>
          <w:color w:val="auto"/>
        </w:rPr>
        <w:t>We have invested, and will continue to invest, a significant portion of our time and financial resources in the pursuit of a treatment for MASH, including ALG-055009, our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ß agonist which is currently in a Phase 2a trial. If we cannot successfully develop, obtain regulatory approval for and commercialize our drug candidates for the treatment of MASH, our business may be harmed. The mechanism of action of our MASH drug candidates is complex, and we do not know the degree to which it will translate into a therapeutic benefit, if any, in MASH or any other indication, and we do not know the degree to which the complex mechanism of action may contribute to long-term safety issues or adverse events when our drug candidates are taken for prolonged periods, as is inherent in the treatment of MASH.</w:t>
      </w:r>
    </w:p>
    <w:p>
      <w:pPr>
        <w:spacing w:after="0" w:line="20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MASH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w:t>
      </w:r>
    </w:p>
    <w:p>
      <w:pPr>
        <w:spacing w:after="0" w:line="183"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If we are successful and any of our drug candidates are approved for the treatment of MASH, our drug candidates will likely compete with products that have already been approved or may in the future be approved for the treatment of MASH prior to our drug candidates and/or that have greater efficacy than our drug candidates, either alone or in combination. Behavioral modifications, such as diet and exercise, can also decrease or eliminate the demand for our potential MASH treatments.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pursuit of potential therapies for COVID-19 is at an early stage.</w:t>
      </w:r>
    </w:p>
    <w:p>
      <w:pPr>
        <w:spacing w:after="0" w:line="22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response to the outbreak of COVID-19, the disease caused by the virus SARS-CoV-2, we are pursuing various potential therapies to address the disease, including our drug candidate ALG-097558, an oral protease inhibitor which is currently in a Phase 1 trial. Our development of this potential therapy is at an early stage, and we may be unable to produce in a timely manner a therapy that successfully treats the virus or that has broad clinical applicability, if at all.</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example, in June 2020, we entered into a Research, Licensing and Commercialization Agreement with KU Leuven under which we were collaborating with KU Leuven’s Rega Institute for Medical Research, as well as its CD3, to research, develop, manufacture and commercialize potential protease inhibitors for the treatment of coronaviruses, including SARS-CoV-2. In July 2023, we amended our license agreement with KU Leuven (as amended, KU Leuven Agreement) to further our collaboration.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w:t>
      </w:r>
    </w:p>
    <w:p>
      <w:pPr>
        <w:spacing w:after="0" w:line="187"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We are also committing significant personnel to the development of ALG-097558 for COVID-19, which may cause delays in or otherwise negatively impact our other development programs, despite uncertainties surrounding the longevity and extent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5" w:name="page46"/>
    <w:bookmarkEnd w:id="45"/>
    <w:p>
      <w:pPr>
        <w:spacing w:after="0" w:line="253" w:lineRule="auto"/>
        <w:rPr>
          <w:sz w:val="20"/>
          <w:szCs w:val="20"/>
          <w:color w:val="auto"/>
        </w:rPr>
      </w:pPr>
      <w:r>
        <w:rPr>
          <w:rFonts w:ascii="Times New Roman" w:cs="Times New Roman" w:eastAsia="Times New Roman" w:hAnsi="Times New Roman"/>
          <w:sz w:val="18"/>
          <w:szCs w:val="18"/>
          <w:color w:val="auto"/>
        </w:rPr>
        <w:t>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19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December 22, 2021, Pfizer, Inc. received an emergency use authorization from the FDA for Paxlovid, an orally administered SARS-CoV-2 protease inhibitor co-administered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Atea Pharmaceuticals, Inc., Jakafi by Incyte Corporation, and Kevzara by Sanofi S.A./Regeneron Pharmaceuticals, Inc. There are significant efforts by other companies globally to develop both therapeutic and prophylactic drug candidates.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nonclinical studies and early-stage clinical trials may not be predictive of future results.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may differ materially from the final data.</w:t>
      </w:r>
    </w:p>
    <w:p>
      <w:pPr>
        <w:spacing w:after="0" w:line="188" w:lineRule="exact"/>
        <w:rPr>
          <w:sz w:val="20"/>
          <w:szCs w:val="20"/>
          <w:color w:val="auto"/>
        </w:rPr>
      </w:pPr>
    </w:p>
    <w:p>
      <w:pPr>
        <w:ind w:firstLine="509"/>
        <w:spacing w:after="0" w:line="223" w:lineRule="exact"/>
        <w:rPr>
          <w:sz w:val="20"/>
          <w:szCs w:val="20"/>
          <w:color w:val="auto"/>
        </w:rPr>
      </w:pPr>
      <w:r>
        <w:rPr>
          <w:rFonts w:ascii="Times New Roman" w:cs="Times New Roman" w:eastAsia="Times New Roman" w:hAnsi="Times New Roman"/>
          <w:sz w:val="18"/>
          <w:szCs w:val="18"/>
          <w:color w:val="auto"/>
        </w:rPr>
        <w:t>From time to time, we may disclose interim data from our clinical trials, including candidates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ALG-000184, and ALG-097558.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6" w:name="page47"/>
    <w:bookmarkEnd w:id="46"/>
    <w:p>
      <w:pPr>
        <w:ind w:right="40"/>
        <w:spacing w:after="0" w:line="282" w:lineRule="auto"/>
        <w:rPr>
          <w:sz w:val="20"/>
          <w:szCs w:val="20"/>
          <w:color w:val="auto"/>
        </w:rPr>
      </w:pPr>
      <w:r>
        <w:rPr>
          <w:rFonts w:ascii="Times New Roman" w:cs="Times New Roman" w:eastAsia="Times New Roman" w:hAnsi="Times New Roman"/>
          <w:sz w:val="18"/>
          <w:szCs w:val="18"/>
          <w:color w:val="auto"/>
        </w:rPr>
        <w:t>procedures that may result in the final data being materially different from the preliminary data we previously published. As a result, topline data should be viewed with caution until the final data are available.</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for participation in our clinical trials and, where appropriate, biopsies for future patient enrichment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remain in the trial through the completion of evaluation;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by man-made or natural disasters, or public health pandemics or epidemics or other business interruptions.</w:t>
      </w:r>
    </w:p>
    <w:p>
      <w:pPr>
        <w:spacing w:after="0" w:line="22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drug candidate manufacturing or formulation may result in additional costs or delay.</w:t>
      </w:r>
    </w:p>
    <w:p>
      <w:pPr>
        <w:spacing w:after="0" w:line="229"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7" w:name="page48"/>
    <w:bookmarkEnd w:id="47"/>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17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1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p>
    <w:p>
      <w:pPr>
        <w:spacing w:after="0" w:line="180"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7"/>
          <w:szCs w:val="17"/>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18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If any of our drug candidates receives marketing approval and we or others later identify undesirable side effects caused by such products, a number of potentially significant negative consequences could occur, including:</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8" w:name="page49"/>
    <w:bookmarkEnd w:id="48"/>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9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19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for a full fiscal year. The degree of market acceptance of any drug candidate, if approved for commercial sale,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including with respect to the use of the approved product as a combination therapy;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companion diagnostic and/or complementary diagnostic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9" w:name="page50"/>
    <w:bookmarkEnd w:id="49"/>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15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17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8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and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we filed or suspension or revocation of license approvals;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0" w:name="page51"/>
    <w:bookmarkEnd w:id="50"/>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the product;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 for a full fiscal year.</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19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For example, we have or are currently conducting initial clinical trials for ALG-055009, ALG-000184, and ALG-097558 in many countries (e.g., New Zealand, Hong Kong, the United Kingdom),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our international operations, including seeking and obtaining approval to commercialize our drug candidates in foreign jurisdictions, could harm our business.</w:t>
      </w:r>
    </w:p>
    <w:p>
      <w:pPr>
        <w:spacing w:after="0" w:line="15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 candidates in foreign countries, including challenging processes for marketing biopharmaceutical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and enforcement of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or different data privacy and information security laws, regulations and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 compliance with tax, employment, immigration and labor laws for employees living or traveling abroad;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1" w:name="page52"/>
    <w:bookmarkEnd w:id="51"/>
    <w:p>
      <w:pPr>
        <w:ind w:left="1020" w:right="3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impact of public health pandemics or epidemics (including, for example, the COVID-19 pandemic).</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are complex regulatory, tax, labor and other legal requirements imposed by many of the individual countries in which we may operate, with which we will need to comply.</w:t>
      </w:r>
    </w:p>
    <w:p>
      <w:pPr>
        <w:spacing w:after="0" w:line="15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1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8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Relatedly,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inspectional or administrative delays.</w:t>
      </w:r>
    </w:p>
    <w:p>
      <w:pPr>
        <w:spacing w:after="0" w:line="176" w:lineRule="exact"/>
        <w:rPr>
          <w:sz w:val="20"/>
          <w:szCs w:val="20"/>
          <w:color w:val="auto"/>
        </w:rPr>
      </w:pPr>
    </w:p>
    <w:p>
      <w:pPr>
        <w:jc w:val="both"/>
        <w:ind w:right="700" w:firstLine="509"/>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If the market opportunities for our drug candidates are smaller than we believe or any approval we obtain is based on a narrower definition of the patient population, our business may suffer.</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HBV, COVID-19 or other viral diseases as a result of their genetic makeup. In addition, the route of administration for our potential therapies could be inconvenient and/or not commercially viable, which could also limit the potential market for our therapies.</w:t>
      </w:r>
    </w:p>
    <w:p>
      <w:pPr>
        <w:spacing w:after="0" w:line="1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If the market opportunities for our drug candidates are smaller than we estimate, it could have an adverse effect on our business, financial condition, results of operations and prospects.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52" w:name="page53"/>
    <w:bookmarkEnd w:id="52"/>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example, we believe MASH to be one of the most prevalent chronic liver diseases worldwide, however, our projections of the number of people who have MASH, as well as the subset of people with the disease who have the potential to benefit from treatment with our drug candidates, are based on our beliefs and estimates. The effort to identify patients with MASH is in early stages, and we cannot accurately predict the number of patients for whom treatment might be possible. MASH is often undiagnosed and may be left undiagnosed for a long time, partly because a definitive diagnosis of MASH is currently based on a histological assessment of a liver biopsy, which impairs the ability to easily identify patients. If improved diagnostic techniques for identifying MASH patients who will benefit from treatment are not developed, our market opportunity may be smaller than we currently anticipate. Further, if government authorities and third-party payors choose to limit coverage and reimbursement of our MASH drug candidate, such as limiting the number of patients’ treatment that would be covered and reimbursable, this could result in a smaller market opportunity for our MASH drug candidate than we anticipate.</w:t>
      </w:r>
    </w:p>
    <w:p>
      <w:pPr>
        <w:spacing w:after="0" w:line="18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MASH,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19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17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There are companies developing or marketing treatments for MASH, including AbbVie, Inc., AstraZeneca PLC/MedImmune LLC, Bristol-Myers Squibb Company, Eli Lilly and Company, Janssen, Merck, Novartis Pharmaceuticals Corporation (together with Pfizer, Inc.), Novo Nordisk A/S, Pfizer Inc., Roche, Sanofi S.A., Takeda Pharmaceutical Company Limited (together with HemoShear Therapeutics, LLC), 89bio, Inc., Akero Therapeutics, Inc., Cirius Therapeutics, Inc., Galectin Therapeutics Inc., Galmed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3" w:name="page54"/>
    <w:bookmarkEnd w:id="53"/>
    <w:p>
      <w:pPr>
        <w:ind w:right="880"/>
        <w:spacing w:after="0" w:line="282" w:lineRule="auto"/>
        <w:rPr>
          <w:sz w:val="20"/>
          <w:szCs w:val="20"/>
          <w:color w:val="auto"/>
        </w:rPr>
      </w:pPr>
      <w:r>
        <w:rPr>
          <w:rFonts w:ascii="Times New Roman" w:cs="Times New Roman" w:eastAsia="Times New Roman" w:hAnsi="Times New Roman"/>
          <w:sz w:val="18"/>
          <w:szCs w:val="18"/>
          <w:color w:val="auto"/>
        </w:rPr>
        <w:t>Pharmaceuticals Ltd., Gilead, Intercept Pharmaceuticals, Inc., Inventiva Pharma SA, Sagimet Biosciences Inc., Madrigal Pharmaceuticals, Inc., MediciNova, Inc., and Viking Therapeutics, Inc.</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There are a number of companies developing or marketing treatments for CHB, including Roche Holding AG (Roche), Gilead, Bristol-Myers Squibb Company, Arbutus Biopharma Corporation, Dicerna Pharmaceuticals, Inc. (together with Roche), Ionis Pharmaceuticals, Inc. (together with GSK), Arrowhead Pharmaceuticals, Inc. (together with Janssen Pharmaceuticals Company (Janssen)), Vir Biotechnology, Inc. (together with Alnylam Pharmaceuticals, Inc.), Johnson &amp; Johnson, Assembly Biosciences Inc., Enanta Pharmaceuticals, Altimmune, Inc., GSK, Janssen, Transgene SA, Dynavax Technologies, Inc., Merck and Replicor, Inc.</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There are also companies developing or marketing treatments or vaccines for COVID-19, including Soliris 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Vaxart, Inc., Enanta Pharmaceuticals, Novartis and Shionogi &amp; Co., Ltd. For example, BioNTech SE (together with Pfizer Inc.), Janssen Pharmaceutical Companies of Johnson &amp; Johnson and Moderna Inc. have developed COVID-19 vaccines that have received authorization for emergency use and/or regulatory approval are being widely administered.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The availability of such COVID-19 vaccines and each of Pfizer’s and Merck’s oral COVID-19 drug may reduce or eliminate the need for our potential COVID therapies to treat the disease and therefore negatively impact the commercial opportunity.</w:t>
      </w:r>
    </w:p>
    <w:p>
      <w:pPr>
        <w:spacing w:after="0" w:line="19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18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176"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4" w:name="page55"/>
    <w:bookmarkEnd w:id="54"/>
    <w:p>
      <w:pPr>
        <w:ind w:right="220"/>
        <w:spacing w:after="0" w:line="261" w:lineRule="auto"/>
        <w:rPr>
          <w:sz w:val="20"/>
          <w:szCs w:val="20"/>
          <w:color w:val="auto"/>
        </w:rPr>
      </w:pPr>
      <w:r>
        <w:rPr>
          <w:rFonts w:ascii="Times New Roman" w:cs="Times New Roman" w:eastAsia="Times New Roman" w:hAnsi="Times New Roman"/>
          <w:sz w:val="18"/>
          <w:szCs w:val="18"/>
          <w:color w:val="auto"/>
        </w:rPr>
        <w:t>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17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15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8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5" w:name="page56"/>
    <w:bookmarkEnd w:id="55"/>
    <w:p>
      <w:pPr>
        <w:ind w:right="160"/>
        <w:spacing w:after="0" w:line="312" w:lineRule="auto"/>
        <w:rPr>
          <w:sz w:val="20"/>
          <w:szCs w:val="20"/>
          <w:color w:val="auto"/>
        </w:rPr>
      </w:pPr>
      <w:r>
        <w:rPr>
          <w:rFonts w:ascii="Times New Roman" w:cs="Times New Roman" w:eastAsia="Times New Roman" w:hAnsi="Times New Roman"/>
          <w:sz w:val="17"/>
          <w:szCs w:val="17"/>
          <w:color w:val="auto"/>
        </w:rPr>
        <w:t>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3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15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180" w:lineRule="exact"/>
        <w:rPr>
          <w:sz w:val="20"/>
          <w:szCs w:val="20"/>
          <w:color w:val="auto"/>
        </w:rPr>
      </w:pPr>
    </w:p>
    <w:p>
      <w:pPr>
        <w:ind w:right="20" w:firstLine="509"/>
        <w:spacing w:after="0" w:line="217" w:lineRule="exact"/>
        <w:rPr>
          <w:sz w:val="20"/>
          <w:szCs w:val="20"/>
          <w:color w:val="auto"/>
        </w:rPr>
      </w:pPr>
      <w:r>
        <w:rPr>
          <w:rFonts w:ascii="Times New Roman" w:cs="Times New Roman" w:eastAsia="Times New Roman" w:hAnsi="Times New Roman"/>
          <w:sz w:val="18"/>
          <w:szCs w:val="18"/>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Phase 1 clinical trials of our drug candidates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ALG-000184, and ALG-097558.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p>
    <w:p>
      <w:pPr>
        <w:spacing w:after="0" w:line="20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17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6" w:name="page57"/>
    <w:bookmarkEnd w:id="56"/>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MASH. As a condition of accelerated approval, the FDA will generally require the sponsor to perform adequate and well-controlled post-marketing clinical studies to verify and describe the anticipated effect on irreversible morbidity or mortality or other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spacing w:after="0" w:line="19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7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7" w:name="page58"/>
    <w:bookmarkEnd w:id="57"/>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 Orphan Drug Designation for applicable indications for our current and any future drug candidates, we may never receive such designations. Even if we do receive such designations, there is no guarantee that we will enjoy the benefits of those designations.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significant payments under our license agreements with Emory University, KU Leuven, and Luxna Biotech Co., Ltd.</w:t>
      </w:r>
    </w:p>
    <w:p>
      <w:pPr>
        <w:spacing w:after="0" w:line="229"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7"/>
          <w:szCs w:val="17"/>
          <w:color w:val="auto"/>
        </w:rPr>
        <w:t>We entered into a License Agreement with Emory in June 2018 (the Emory License Agreement), a Research, Licensing and Commercialization Agreement with KU Leuven in June 2020 and an amendment in July 2023 and a License Agreement with Luxna in December 2018 and an amendment in April 2020 (as amended, the Luxna Agreement). Under the Emory License Agreement, KU Leuven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our Annual Report on Form 10-K for the year ended December 31, 2023, previously filed with the SEC. If these payments become due under the terms of the Emory University License Agreement, the KU Leuven Agreement or the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p>
    <w:p>
      <w:pPr>
        <w:spacing w:after="0" w:line="16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payments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results of operations and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 candidate;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8" w:name="page59"/>
    <w:bookmarkEnd w:id="58"/>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being covered under Medicare Part D.</w:t>
      </w:r>
    </w:p>
    <w:p>
      <w:pPr>
        <w:spacing w:after="0" w:line="1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On August 2, 2011,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1, 2020 through March 31, 2022, unless additional Congressional action is taken. In addition, on January 2, 2013, the American Taxpayer Relief Act of 2012 was signed into law, which, among other things, further reduced Medicare payments to several types of providers. The American Rescue Plan Act of 2021 was also signed into law, which eliminates the statutory Medicaid drug rebate cap, beginning January 1, 2024. The rebate was previously capped at 100% of a drug's average manufacturer price.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drug price negotiation program is currently subject to legal challenges. For that and other reasons, it is currently unclear how the IRA will be effectuated.</w:t>
      </w:r>
    </w:p>
    <w:p>
      <w:pPr>
        <w:spacing w:after="0" w:line="19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9" w:name="page60"/>
    <w:bookmarkEnd w:id="59"/>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current or future federal, state and foreign laws and regulations and industry standards relating to data privacy and protection laws could lead to government investigations and enforcement actions, which could result in civil or criminal penalties, private litigation, and/or adverse publicity and could negatively affect our operating results, financial condition and business.</w:t>
      </w:r>
    </w:p>
    <w:p>
      <w:pPr>
        <w:spacing w:after="0" w:line="175"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The global data protection landscape is rapidly evolving, and we and our partners may be subject to federal, state and foreign data privacy and security laws and regulations governing the collection, use, disclosure, retention, and security of personal information, such as information that we may collect in connection with clinical trials in the United States and abroad. Any actual or alleged failure by us or our third-party vendors, collaborators, contractors and consultants to comply with any of these laws and regulations could result in, among other things, notification obligations, government investigations or enforcement actions against us, which could result in fines and penalties, claims for damages by affected individuals and third parties,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practices, and may be inconsistent from one jurisdiction to another. The interpretation and application of health information-related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p>
    <w:p>
      <w:pPr>
        <w:spacing w:after="0" w:line="18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as amended by the Health Information Technology for Economic and Clinical Health Act of 2009, and regulations implemented (collectively, HIPAA). Depending on the facts and circumstances, we could be subject to criminal penalties if we knowingly obtain, use, or disclose individually identifiable health information provided to us by a HIPAA covered entity in a manner that is not authorized or permitted by HIPAA.</w:t>
      </w:r>
    </w:p>
    <w:p>
      <w:pPr>
        <w:spacing w:after="0" w:line="1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as amended by the California Privacy Rights Act (collectively,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It has also created a new California data protection agency authorized to issue substantive regulations and could result in increased privacy and information security enforcement, and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9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currently operate in countries outside of the United States, including Belgium, Australia and China, where laws may in some cases be more stringent than the requirements in the United States. For example, in Europe, the EU General Data Protection Regulation (GDPR) went into effect in May 2018 and imposes strict requirements for the processing of the personal data of individuals within the European Economic Area (EEA) or in the context of our activities within the EEA. The GDPR applies enhanced protections to health or sensitive personal data and other special categories of personal data, including some of the personal data we process in respect of clinical trial participants which may be subject to additional compliance obligations and to local law derogations. The GDPR also imposes additional obligations when we contract with third-party processors in connection with the processing of any personal data. Failure to comply with the requirements of the GDPR could result in fines of up to €20 million or 4% of the total worldwide annual turnover of our preceding fiscal year, whichever is higher. In addition to fines, a breach of the GDPR may result in regulatory investigations, reputational damage, orders to cease/ change our data processing activities, enforcement notices, assessment notices (for a compulsory audit), civil claims (including class actions) and/or other administrative penalties.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60" w:name="page61"/>
    <w:bookmarkEnd w:id="60"/>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 from January 1, 2021, we have to comply with the United Kingdom GDPR (UK GDPR), which, together, with the amended Data Protection Act 2018, retains the GDPR in UK national law (collectively, the UK GDPR), and imposes separate but similar obligations to those under the GDPR and comparable penalties, including fines up to the greater of £17.5 million or 4% of global turnover of the annual global revenues of the noncompliant undertaking.</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Among other requirements, the GDPR regulates the transfer of personal data to third countries outside of the EEA, such as the United States, which are not considered by the European Commission to provide an adequate level of personal data protection, and the efficacy and longevity of current transfer mechanisms between the EEA, and the United States remains uncertain. We currently rely on approved data transfer mechanisms such as the EU standard contractual clauses (SCCs), the UK Addendum to the SCCs, the UK International Data Transfer Agreement and the new EU-U.S. Data Privacy Framework (DPF) to transfer personal data outside the EEA and the UK, including to the United States, with respect to both intragroup and third party transfers. We expect the existing legal complexity and uncertainty regarding international personal data transfers to continue. In particular, we expect the adequacy of the DPF as an approved GDPR transfer mechanism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9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Our actual or alleged failure by us or our employees, representatives, contractors, consultants, collaborators, or other third parties to comply with U.S. and foreign data protection laws and regulations could result in government investigations and enforcement actions (which could include civil or criminal penalties), fines and penalties, private litigation, and/or adverse publicity and could negatively affect our financial condition, operating results and business.</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that our information technology systems, or those used by our CROs or other contractors or consultants, fail or suffer security breaches.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the personal information of our employees and contractors. Despite the implementation of security measures, our information technology systems and those of our CROs and other contractors and consultants are vulnerable to attack, damage and interruption from natural disasters, terrorism, war, telecommunication and electrical failures, cyber-attacks, computer hacks, employee theft or misuse, fraud, viruses and malware (e.g., ransomware), malicious software, phishing and other social engineering schemes, human error, denial or degradation-of-service attacks, sophisticated nation-state and nation-state-supported actors, and other unauthorized access and security breaches that could jeopardize the confidentiality, integrity, and/or performance of our software, information technology systems, and data, and could expose us to legal, financial and reputational harm. There can be no assurance that our cybersecurity risk management program and processes, including our policies, controls or procedures, will be fully implemented, complied with or effective in protecting our systems and information.</w:t>
      </w:r>
    </w:p>
    <w:p>
      <w:pPr>
        <w:spacing w:after="0" w:line="194"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For example, the loss of clinical trial data from completed or future clinical trials could result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1" w:name="page62"/>
    <w:bookmarkEnd w:id="61"/>
    <w:p>
      <w:pPr>
        <w:ind w:right="40"/>
        <w:spacing w:after="0" w:line="254" w:lineRule="auto"/>
        <w:rPr>
          <w:sz w:val="20"/>
          <w:szCs w:val="20"/>
          <w:color w:val="auto"/>
        </w:rPr>
      </w:pPr>
      <w:r>
        <w:rPr>
          <w:rFonts w:ascii="Times New Roman" w:cs="Times New Roman" w:eastAsia="Times New Roman" w:hAnsi="Times New Roman"/>
          <w:sz w:val="18"/>
          <w:szCs w:val="18"/>
          <w:color w:val="auto"/>
        </w:rPr>
        <w:t>in delays in our marketing approval efforts and significantly increase our costs to recover or reproduce the data. Likewise, we rely on third parties for the manufacture of our drug candidates and to conduct clinical trials, and similar events relating to their information technology systems could also have a material adverse effect on our business. To the extent that any disruption or security breach were to result in a loss of, or damage to, our data or applications, or inappropriate disclosure of confidential or proprietary information, we could be subject to enforcement actions and investigations by regulatory authorities, and potentially result in regulatory penalties, fines and significant liability and the development and commercialization of our future drug candidates could be delayed. Further,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Further, our insurance coverage may not be sufficient to cover the financial, legal, business or reputational losses that may result from an interruption or breach of our systems.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1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are currently collaborating with third parties to develop certain of our potential drug candidates.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current and future drug candidates may pose the following risks to us:</w:t>
      </w:r>
    </w:p>
    <w:p>
      <w:pPr>
        <w:spacing w:after="0" w:line="117"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(if any) or drug candidates;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ownership of any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31" w:lineRule="exact"/>
        <w:rPr>
          <w:rFonts w:ascii="Times New Roman" w:cs="Times New Roman" w:eastAsia="Times New Roman" w:hAnsi="Times New Roman"/>
          <w:sz w:val="17"/>
          <w:szCs w:val="17"/>
          <w:color w:val="auto"/>
        </w:rPr>
      </w:pPr>
    </w:p>
    <w:p>
      <w:pPr>
        <w:ind w:left="1020" w:right="1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2" w:name="page63"/>
    <w:bookmarkEnd w:id="62"/>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p>
    <w:p>
      <w:pPr>
        <w:spacing w:after="0" w:line="192"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We may also be restricted under future collaboration agreements from entering into additional agreements on certain terms with potential collaborators.</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pharmaceutical companies that have resulted in a reduced number of potential future collaborators.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15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17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p>
    <w:p>
      <w:pPr>
        <w:spacing w:after="0" w:line="17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4" w:right="399" w:bottom="1440" w:gutter="0" w:footer="0" w:header="0"/>
        </w:sectPr>
      </w:pPr>
    </w:p>
    <w:bookmarkStart w:id="63" w:name="page64"/>
    <w:bookmarkEnd w:id="63"/>
    <w:p>
      <w:pPr>
        <w:ind w:right="40"/>
        <w:spacing w:after="0" w:line="228" w:lineRule="exact"/>
        <w:rPr>
          <w:sz w:val="20"/>
          <w:szCs w:val="20"/>
          <w:color w:val="auto"/>
        </w:rPr>
      </w:pPr>
      <w:r>
        <w:rPr>
          <w:rFonts w:ascii="Times New Roman" w:cs="Times New Roman" w:eastAsia="Times New Roman" w:hAnsi="Times New Roman"/>
          <w:sz w:val="18"/>
          <w:szCs w:val="18"/>
          <w:color w:val="auto"/>
        </w:rPr>
        <w:t>nonclinical studies and clinical trials for our drug candidates,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and ALG-097558,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19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9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nonclinical or clinical data they obtain are compromised due to the failure to adhere to our protocols, regulatory requirements or for other reasons,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4" w:name="page65"/>
    <w:bookmarkEnd w:id="64"/>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1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18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176"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1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72"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5" w:name="page66"/>
    <w:bookmarkEnd w:id="65"/>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the U.S. House of Representatives has introduced the BIOSECURE Act (H.R. 7085) and the Senate has advanced a substantially similar bill (S.3558), which legislation, if passed and enacted into law, would have the potential to restrict the ability of U.S. biopharmaceutical 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this legislation.</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Some of our third-party manufacturers which we use for the supply of materials for drug candidates or other materials necessary to manufacture product to conduct clinical trials could experience unexpected disruptions from man-made or natural disasters or public health pandemics or epidemics or other business interruptions which, if they occurred, might result in delays in advancing our clinical development.</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17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1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81" w:lineRule="exact"/>
        <w:rPr>
          <w:sz w:val="20"/>
          <w:szCs w:val="20"/>
          <w:color w:val="auto"/>
        </w:rPr>
      </w:pPr>
    </w:p>
    <w:p>
      <w:pPr>
        <w:ind w:left="1020" w:right="100" w:hanging="503"/>
        <w:spacing w:after="0" w:line="255"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80"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75"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6" w:name="page67"/>
    <w:bookmarkEnd w:id="66"/>
    <w:p>
      <w:pPr>
        <w:ind w:left="1020" w:right="160" w:hanging="503"/>
        <w:spacing w:after="0" w:line="274" w:lineRule="auto"/>
        <w:tabs>
          <w:tab w:leader="none" w:pos="10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w:t>
      </w:r>
    </w:p>
    <w:p>
      <w:pPr>
        <w:spacing w:after="0" w:line="64" w:lineRule="exact"/>
        <w:rPr>
          <w:rFonts w:ascii="Times New Roman" w:cs="Times New Roman" w:eastAsia="Times New Roman" w:hAnsi="Times New Roman"/>
          <w:sz w:val="17"/>
          <w:szCs w:val="17"/>
          <w:color w:val="auto"/>
        </w:rPr>
      </w:pPr>
    </w:p>
    <w:p>
      <w:pPr>
        <w:ind w:left="1020" w:right="2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18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17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MASH and CHB programs, we do not own or in-license any issued patents with claims that specifically recite our ALG-097558 or ALG-125755 drug candidates.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7" w:name="page68"/>
    <w:bookmarkEnd w:id="67"/>
    <w:p>
      <w:pPr>
        <w:ind w:right="20"/>
        <w:spacing w:after="0" w:line="277" w:lineRule="auto"/>
        <w:rPr>
          <w:sz w:val="20"/>
          <w:szCs w:val="20"/>
          <w:color w:val="auto"/>
        </w:rPr>
      </w:pPr>
      <w:r>
        <w:rPr>
          <w:rFonts w:ascii="Times New Roman" w:cs="Times New Roman" w:eastAsia="Times New Roman" w:hAnsi="Times New Roman"/>
          <w:sz w:val="17"/>
          <w:szCs w:val="17"/>
          <w:color w:val="auto"/>
        </w:rPr>
        <w:t>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w:t>
      </w:r>
    </w:p>
    <w:p>
      <w:pPr>
        <w:spacing w:after="0" w:line="1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inter partes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8" w:name="page69"/>
    <w:bookmarkEnd w:id="68"/>
    <w:p>
      <w:pPr>
        <w:ind w:right="180"/>
        <w:spacing w:after="0" w:line="282" w:lineRule="auto"/>
        <w:rPr>
          <w:sz w:val="20"/>
          <w:szCs w:val="20"/>
          <w:color w:val="auto"/>
        </w:rPr>
      </w:pPr>
      <w:r>
        <w:rPr>
          <w:rFonts w:ascii="Times New Roman" w:cs="Times New Roman" w:eastAsia="Times New Roman" w:hAnsi="Times New Roman"/>
          <w:sz w:val="18"/>
          <w:szCs w:val="18"/>
          <w:color w:val="auto"/>
        </w:rPr>
        <w:t>research programs or clinical trials. Such proceedings also may result in substantial cost and require significant time from our scientists and management, even if the eventual outcome is favorable to us.</w:t>
      </w:r>
    </w:p>
    <w:p>
      <w:pPr>
        <w:spacing w:after="0" w:line="16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18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CD3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9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9" w:name="page70"/>
    <w:bookmarkEnd w:id="69"/>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88"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68"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technology and processes of one party infringe intellectual property of the other party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sublicense patent and other rights to third parties;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transfer or assign the license;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termination.</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0" w:name="page71"/>
    <w:bookmarkEnd w:id="70"/>
    <w:p>
      <w:pPr>
        <w:ind w:right="700"/>
        <w:spacing w:after="0" w:line="282" w:lineRule="auto"/>
        <w:rPr>
          <w:sz w:val="20"/>
          <w:szCs w:val="20"/>
          <w:color w:val="auto"/>
        </w:rPr>
      </w:pPr>
      <w:r>
        <w:rPr>
          <w:rFonts w:ascii="Times New Roman" w:cs="Times New Roman" w:eastAsia="Times New Roman" w:hAnsi="Times New Roman"/>
          <w:sz w:val="18"/>
          <w:szCs w:val="18"/>
          <w:color w:val="auto"/>
        </w:rPr>
        <w:t>the section titled “Business—License agreements and collaborations” of our Annual Report on Form 10-K for the year ended December 31, 2023, previously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at all, our business could be harmed.</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2023, previously filed with the SEC. Any of the foregoing could harm our competitive position, business, financial condition, results of operations and prospects.</w:t>
      </w:r>
    </w:p>
    <w:p>
      <w:pPr>
        <w:spacing w:after="0" w:line="1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15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197" w:lineRule="exact"/>
        <w:rPr>
          <w:sz w:val="20"/>
          <w:szCs w:val="20"/>
          <w:color w:val="auto"/>
        </w:rPr>
      </w:pPr>
    </w:p>
    <w:p>
      <w:pPr>
        <w:ind w:right="60" w:firstLine="509"/>
        <w:spacing w:after="0" w:line="219" w:lineRule="exact"/>
        <w:rPr>
          <w:sz w:val="20"/>
          <w:szCs w:val="20"/>
          <w:color w:val="auto"/>
        </w:rPr>
      </w:pPr>
      <w:r>
        <w:rPr>
          <w:rFonts w:ascii="Times New Roman" w:cs="Times New Roman" w:eastAsia="Times New Roman" w:hAnsi="Times New Roman"/>
          <w:sz w:val="18"/>
          <w:szCs w:val="18"/>
          <w:color w:val="auto"/>
        </w:rPr>
        <w:t>We are aware of certain third-party issued patents and pending patent applications, including those of our competitors, that, if issued with their current claim scope, may be construed to cover our drug candidates,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20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1" w:name="page72"/>
    <w:bookmarkEnd w:id="71"/>
    <w:p>
      <w:pPr>
        <w:ind w:right="200"/>
        <w:spacing w:after="0" w:line="282" w:lineRule="auto"/>
        <w:rPr>
          <w:sz w:val="20"/>
          <w:szCs w:val="20"/>
          <w:color w:val="auto"/>
        </w:rPr>
      </w:pPr>
      <w:r>
        <w:rPr>
          <w:rFonts w:ascii="Times New Roman" w:cs="Times New Roman" w:eastAsia="Times New Roman" w:hAnsi="Times New Roman"/>
          <w:sz w:val="18"/>
          <w:szCs w:val="18"/>
          <w:color w:val="auto"/>
        </w:rPr>
        <w:t>to prevail, could require us to divert substantial financial and management resources that we would otherwise be able to devote to our business and could adversely affect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establish our competitive position on our drug candidates for an adequate amount of time.</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2" w:name="page73"/>
    <w:bookmarkEnd w:id="72"/>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on June 1, 2023, the European Patent Package, or EU Patent Package, regulations were implemented with the goal of providing a single pan-European Unitary Patent and a new European Unified Patent Court, or UPC, for litigation involving European patents.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have the right to opt our patents out of the UPC over the first seven years of the court’s existence, but doing so may preclude us from realizing the benefits of the new unified court.</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Moreover,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drug candidates.</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filed after March 2013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inter partes review and derivation proceedings. The USPTO has developed new regulations and procedures to govern administration of the Leahy-Smith Act, and many of the substantive changes to patent law associated with the Leahy-Smith Act, particularly the first inventor-to-file provisions.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3" w:name="page74"/>
    <w:bookmarkEnd w:id="73"/>
    <w:p>
      <w:pPr>
        <w:ind w:firstLine="509"/>
        <w:spacing w:after="0" w:line="253" w:lineRule="auto"/>
        <w:rPr>
          <w:sz w:val="20"/>
          <w:szCs w:val="20"/>
          <w:color w:val="auto"/>
        </w:rPr>
      </w:pPr>
      <w:r>
        <w:rPr>
          <w:rFonts w:ascii="Times New Roman" w:cs="Times New Roman" w:eastAsia="Times New Roman" w:hAnsi="Times New Roman"/>
          <w:sz w:val="18"/>
          <w:szCs w:val="18"/>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19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4" w:name="page75"/>
    <w:bookmarkEnd w:id="74"/>
    <w:p>
      <w:pPr>
        <w:ind w:right="80"/>
        <w:spacing w:after="0" w:line="266" w:lineRule="auto"/>
        <w:rPr>
          <w:sz w:val="20"/>
          <w:szCs w:val="20"/>
          <w:color w:val="auto"/>
        </w:rPr>
      </w:pPr>
      <w:r>
        <w:rPr>
          <w:rFonts w:ascii="Times New Roman" w:cs="Times New Roman" w:eastAsia="Times New Roman" w:hAnsi="Times New Roman"/>
          <w:sz w:val="18"/>
          <w:szCs w:val="18"/>
          <w:color w:val="auto"/>
        </w:rPr>
        <w:t>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1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5" w:name="page76"/>
    <w:bookmarkEnd w:id="75"/>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3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or 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 of others may harm our business;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directed to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5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our management, scientific and medical personnel.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15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76" w:name="page77"/>
    <w:bookmarkEnd w:id="76"/>
    <w:p>
      <w:pPr>
        <w:spacing w:after="0" w:line="255" w:lineRule="auto"/>
        <w:rPr>
          <w:sz w:val="20"/>
          <w:szCs w:val="20"/>
          <w:color w:val="auto"/>
        </w:rPr>
      </w:pPr>
      <w:r>
        <w:rPr>
          <w:rFonts w:ascii="Times New Roman" w:cs="Times New Roman" w:eastAsia="Times New Roman" w:hAnsi="Times New Roman"/>
          <w:sz w:val="18"/>
          <w:szCs w:val="18"/>
          <w:color w:val="auto"/>
        </w:rPr>
        <w:t>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22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we had 68 full-time employees, including 53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2"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operational, financial and management controls, reporting systems and procedures.</w:t>
      </w:r>
    </w:p>
    <w:p>
      <w:pPr>
        <w:spacing w:after="0" w:line="22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0"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17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7" w:name="page78"/>
    <w:bookmarkEnd w:id="77"/>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corporate headquarters and other facilities are located in the San Francisco Bay Area, which in the past has experienced both severe earthquakes and wildfires. We are also conducting clinical trials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18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investors.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68"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nonclinical studies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drug candidates or clinical development programs;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8" w:name="page79"/>
    <w:bookmarkEnd w:id="78"/>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public health pandemics or epidemics;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An active trading market for our shares may not be sustained. In the absence of an active trading market common stock, investors may not be able to sell their common stock at a price or at the time that they would like to sell.</w:t>
      </w:r>
    </w:p>
    <w:p>
      <w:pPr>
        <w:spacing w:after="0" w:line="16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$1.235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9" w:name="page80"/>
    <w:bookmarkEnd w:id="79"/>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83"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p>
    <w:p>
      <w:pPr>
        <w:spacing w:after="0" w:line="1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June 30, 2024, our executive officers, directors and their affiliates beneficially own, in the aggregate, approximately 71% of our outstanding common stock (assuming all shares of non-voting common stock are converted into voting common stock in accordance with the terms of our amended and restated certificate of incorporation), and 27% of our outstanding common stock (assuming all shares of non-voting common stock are converted to voting common stock and all pre-funded warrants are exercised in full on a cash exercise basis). In addition, in our October 2023 private placement, certain of the holders of 5% or more of our capital stock acquired pre-funded warrants to purchase shares of our common stock (which are immediately exercisable and have an exercise price of $0.0001 per share) and common warrants to purchase shares of our common stock (which are immediately exercisable and have an exercise price of $0.7568 per share). Until exercised, the shares issuable upon the exercise of the pre-funded warrants and the common warrants are not included in the number of our outstanding shares of common stock. If such holders exercise their warrants, then the shares of our capital stock beneficially owned by our executive officers, directors, holders of 5% or more of our capital stock and their respective affiliates would increase significantly.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82"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June 30, 2024, we had 3,092,338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Securities Exchange Act), and may not be subject to the short-swing profit provisions of Section 16(b) of the Exchange 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0" w:name="page81"/>
    <w:bookmarkEnd w:id="80"/>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market price of our common stock could decline.</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approximately 16.3 million shares of common stock that are either subject to outstanding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the holders of approximately 79.9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2023 and determined there was an ownership change that resulted in Section 382 limitations. The ownership change limited our ability to utilize NOLs against future taxable income but will not result in the expiration of any NOLs.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may only be used to offset 80% of our taxable income. For these reasons, our ability to utilize our NOL carryforwards and other tax attributes to reduce future tax liabilities may be limited.</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Section 404 of Sarbanes-Oxley, our management is required to report upon the effectiveness of our internal control over financial reporting for our fiscal year ended December 31, 2023.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1" w:name="page82"/>
    <w:bookmarkEnd w:id="81"/>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54" w:lineRule="exact"/>
        <w:rPr>
          <w:sz w:val="20"/>
          <w:szCs w:val="20"/>
          <w:color w:val="auto"/>
        </w:rPr>
      </w:pPr>
    </w:p>
    <w:p>
      <w:pPr>
        <w:ind w:left="1020" w:right="2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54" w:lineRule="exact"/>
        <w:rPr>
          <w:sz w:val="20"/>
          <w:szCs w:val="20"/>
          <w:color w:val="auto"/>
        </w:rPr>
      </w:pPr>
    </w:p>
    <w:p>
      <w:pPr>
        <w:ind w:left="1020" w:right="100" w:hanging="503"/>
        <w:spacing w:after="0" w:line="26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312" w:lineRule="auto"/>
        <w:tabs>
          <w:tab w:leader="none" w:pos="10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82" w:name="page83"/>
    <w:bookmarkEnd w:id="82"/>
    <w:p>
      <w:pPr>
        <w:ind w:left="1020" w:right="36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8"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common stock, preferred stock, convertible notes, revenue from customer and collaboration agreements, and warrants.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Adverse developments that affect financial institutions, transactional counterparties, or other third parties, or concerns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3" w:name="page84"/>
    <w:bookmarkEnd w:id="83"/>
    <w:p>
      <w:pPr>
        <w:ind w:right="100"/>
        <w:spacing w:after="0" w:line="256" w:lineRule="auto"/>
        <w:rPr>
          <w:sz w:val="20"/>
          <w:szCs w:val="20"/>
          <w:color w:val="auto"/>
        </w:rPr>
      </w:pPr>
      <w:r>
        <w:rPr>
          <w:rFonts w:ascii="Times New Roman" w:cs="Times New Roman" w:eastAsia="Times New Roman" w:hAnsi="Times New Roman"/>
          <w:sz w:val="18"/>
          <w:szCs w:val="18"/>
          <w:color w:val="auto"/>
        </w:rPr>
        <w:t>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Russia began a full-scale invasion of Ukraine in February 2022 which is the largest conventional military attack in Europe since World II and has triggered unprecedented sanctions against Russia. While the situation remains highly fluid and the outlook of such war in Ukraine is subject to extraordinary uncertainty, the ongoing war and associated sanctions will likely have a severe impact on the global economy. A severe or prolonged economic downturn, such as the 2008 global financial crisis, and one that could be caused by the war in Ukraine,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183"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continuing impact of "Brexit" may have a negative effect on our business.</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Following a national referendum and subsequent legislation, the United Kingdom formally withdrew from the European Union, commonly referred to as “Brexit,” and ratified a trade and cooperation agreement governing its future relationship with the European Union. Among other things, the agreement, which became effective in 2021, addresses trade, economic arrangements, law enforcement, judicial cooperation and governance. Because the agreement merely sets forth a framework in many respects that requires complex additional bilateral negotiations between the United Kingdom and the European Union, significant uncertainty remains about how the precise terms of the relationship between the parties will differ from the terms before withdrawal.</w:t>
      </w:r>
    </w:p>
    <w:p>
      <w:pPr>
        <w:spacing w:after="0" w:line="18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cannot yet predict the full implications of Brexit, including whether it will increase our operational costs or otherwise have a negative effect on our business, financial condition or results of operations, which could reduce the price of our common stock.</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159"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4" w:name="page85"/>
    <w:bookmarkEnd w:id="84"/>
    <w:p>
      <w:pPr>
        <w:ind w:right="120"/>
        <w:spacing w:after="0" w:line="256" w:lineRule="auto"/>
        <w:rPr>
          <w:sz w:val="20"/>
          <w:szCs w:val="20"/>
          <w:color w:val="auto"/>
        </w:rPr>
      </w:pPr>
      <w:r>
        <w:rPr>
          <w:rFonts w:ascii="Times New Roman" w:cs="Times New Roman" w:eastAsia="Times New Roman" w:hAnsi="Times New Roman"/>
          <w:sz w:val="18"/>
          <w:szCs w:val="18"/>
          <w:color w:val="auto"/>
        </w:rPr>
        <w:t>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18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17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and we may need to share our trade secrets and proprietary know-how with current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5" w:name="page86"/>
    <w:bookmarkEnd w:id="85"/>
    <w:p>
      <w:pPr>
        <w:ind w:right="220"/>
        <w:spacing w:after="0" w:line="258" w:lineRule="auto"/>
        <w:rPr>
          <w:sz w:val="20"/>
          <w:szCs w:val="20"/>
          <w:color w:val="auto"/>
        </w:rPr>
      </w:pPr>
      <w:r>
        <w:rPr>
          <w:rFonts w:ascii="Times New Roman" w:cs="Times New Roman" w:eastAsia="Times New Roman" w:hAnsi="Times New Roman"/>
          <w:sz w:val="18"/>
          <w:szCs w:val="18"/>
          <w:color w:val="auto"/>
        </w:rPr>
        <w:t>future partners, collaborators, contractors and others located in countries at heightened risk of theft of trade secrets, including through direct intrusion by private parties or foreign actors, and those affiliated with or controlled by state actors.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8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15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15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or future litigation or administrative proceedings could have a material adverse effect on our business, our financial condition and our results of operations.</w:t>
      </w:r>
    </w:p>
    <w:p>
      <w:pPr>
        <w:spacing w:after="0" w:line="15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6" w:name="page87"/>
    <w:bookmarkEnd w:id="86"/>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tax obligations and effective tax rate, which could materially and adversely affect our results of operations.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w:t>
      </w:r>
    </w:p>
    <w:p>
      <w:pPr>
        <w:spacing w:after="0" w:line="18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shares outstanding and resulting market valuation do not reflect shares of our common stock issuable upon the exercise of pre-funded warrants and common warrants that are exercisable at the discretion of the holders of such warrants. If we sell shares of our common stock in future financings, stockholders may experience immediate dilution and, as a result, our stock price may decline.</w:t>
      </w:r>
    </w:p>
    <w:p>
      <w:pPr>
        <w:spacing w:after="0" w:line="1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in October 2023, we closed a private placement which included the sale of pre-funded warrants and common warrants to purchase shares of our common stock. If we issue common stock or securities convertible into common stock, our common stockholders would experience additional dilution, such dilutive impact may be difficult to compute, and our stock price may decline.</w:t>
      </w:r>
    </w:p>
    <w:p>
      <w:pPr>
        <w:spacing w:after="0" w:line="183"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7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87" w:name="page88"/>
    <w:bookmarkEnd w:id="87"/>
    <w:p>
      <w:pPr>
        <w:spacing w:after="0" w:line="271" w:lineRule="auto"/>
        <w:rPr>
          <w:sz w:val="20"/>
          <w:szCs w:val="20"/>
          <w:color w:val="auto"/>
        </w:rPr>
      </w:pPr>
      <w:r>
        <w:rPr>
          <w:rFonts w:ascii="Times New Roman" w:cs="Times New Roman" w:eastAsia="Times New Roman" w:hAnsi="Times New Roman"/>
          <w:sz w:val="18"/>
          <w:szCs w:val="18"/>
          <w:color w:val="auto"/>
        </w:rPr>
        <w:t>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8" w:name="page89"/>
    <w:bookmarkEnd w:id="88"/>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May 2024, an investor exercised a Pre-Funded Warrant to purchase an aggregate of 1,115,000 shares of Common stock for an aggregate purchase price of $111.50 and was issued 1,115,000 shares of Common Stock.</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In April 2024, an investor exercised a Pre-Funded Warrant to purchase an aggregate of 2,441,406 shares of Common stock for an aggregate purchase price of $244.14 and was issued 2,441,406 shares of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purchasers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2024, none of our directors or officers (as defined in Rule 16a-1(f) under the Securities Exchange Act of 1934, as amended) adopted, modified or terminated a “Rule 10b5-1 (c) trading arrangement” or a “non-Rule 10b5-1 trading arrangement”, as each term is defined in Item 408(a) of Regulation S-K.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Pr>
          <w:p>
            <w:pPr>
              <w:spacing w:after="0"/>
              <w:rPr>
                <w:sz w:val="16"/>
                <w:szCs w:val="16"/>
                <w:color w:val="auto"/>
              </w:rPr>
            </w:pPr>
          </w:p>
        </w:tc>
        <w:tc>
          <w:tcPr>
            <w:tcW w:w="7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69"/>
        </w:trPr>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17"/>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31"/>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3.1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Pr>
          <w:p>
            <w:pPr>
              <w:spacing w:after="0"/>
              <w:rPr>
                <w:sz w:val="24"/>
                <w:szCs w:val="24"/>
                <w:color w:val="auto"/>
              </w:rPr>
            </w:pPr>
          </w:p>
        </w:tc>
        <w:tc>
          <w:tcPr>
            <w:tcW w:w="3780" w:type="dxa"/>
            <w:vAlign w:val="bottom"/>
            <w:tcBorders>
              <w:bottom w:val="single" w:sz="8" w:color="0000EE"/>
            </w:tcBorders>
            <w:gridSpan w:val="12"/>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Amended and Restated Certificate of Incorporation.</w:t>
              </w:r>
            </w:hyperlink>
          </w:p>
        </w:tc>
        <w:tc>
          <w:tcPr>
            <w:tcW w:w="212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9"/>
              </w:rPr>
              <w:t>10/20/2020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3.1</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tcPr>
          <w:p>
            <w:pPr>
              <w:spacing w:after="0"/>
              <w:rPr>
                <w:sz w:val="24"/>
                <w:szCs w:val="24"/>
                <w:color w:val="auto"/>
              </w:rPr>
            </w:pPr>
          </w:p>
        </w:tc>
        <w:tc>
          <w:tcPr>
            <w:tcW w:w="5900" w:type="dxa"/>
            <w:vAlign w:val="bottom"/>
            <w:gridSpan w:val="18"/>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Certificate of Amendment to Amended and Restated Certificate of Incorporation.</w:t>
              </w:r>
            </w:hyperlink>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rPr>
              <w:t>6/28/2024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3.2</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tcBorders>
              <w:top w:val="single" w:sz="8" w:color="0000FF"/>
              <w:bottom w:val="single" w:sz="8" w:color="0000EE"/>
            </w:tcBorders>
            <w:gridSpan w:val="2"/>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Amended and Restated Bylaws.</w:t>
              </w:r>
            </w:hyperlink>
          </w:p>
        </w:tc>
        <w:tc>
          <w:tcPr>
            <w:tcW w:w="3500" w:type="dxa"/>
            <w:vAlign w:val="bottom"/>
            <w:tcBorders>
              <w:top w:val="single" w:sz="8" w:color="0000FF"/>
            </w:tcBorders>
            <w:gridSpan w:val="14"/>
          </w:tcPr>
          <w:p>
            <w:pPr>
              <w:spacing w:after="0"/>
              <w:rPr>
                <w:sz w:val="24"/>
                <w:szCs w:val="24"/>
                <w:color w:val="auto"/>
              </w:rPr>
            </w:pPr>
          </w:p>
        </w:tc>
        <w:tc>
          <w:tcPr>
            <w:tcW w:w="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9"/>
              </w:rPr>
              <w:t>10/20/2020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4.1</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gridSpan w:val="18"/>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257">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auto"/>
              </w:rPr>
              <w:t xml:space="preserve">(a), </w:t>
            </w:r>
            <w:hyperlink r:id="rId258">
              <w:r>
                <w:rPr>
                  <w:rFonts w:ascii="Times New Roman" w:cs="Times New Roman" w:eastAsia="Times New Roman" w:hAnsi="Times New Roman"/>
                  <w:sz w:val="18"/>
                  <w:szCs w:val="18"/>
                  <w:color w:val="0000FF"/>
                </w:rPr>
                <w:t>3.1(b)</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259">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4.2</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Form of Common Stock Certificate.</w:t>
              </w:r>
            </w:hyperlink>
          </w:p>
        </w:tc>
        <w:tc>
          <w:tcPr>
            <w:tcW w:w="328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4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rPr>
              <w:t>10/9/2020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4.3</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gridSpan w:val="18"/>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Form of Common Warrant Agreement</w:t>
              </w:r>
            </w:hyperlink>
            <w:r>
              <w:rPr>
                <w:rFonts w:ascii="Times New Roman" w:cs="Times New Roman" w:eastAsia="Times New Roman" w:hAnsi="Times New Roman"/>
                <w:sz w:val="18"/>
                <w:szCs w:val="18"/>
                <w:color w:val="000000"/>
              </w:rPr>
              <w:t>.</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9"/>
              </w:rPr>
              <w:t>10/25/2023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4.4</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gridSpan w:val="18"/>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Form of Pre-Funded Warrant Agreement</w:t>
              </w:r>
            </w:hyperlink>
            <w:r>
              <w:rPr>
                <w:rFonts w:ascii="Times New Roman" w:cs="Times New Roman" w:eastAsia="Times New Roman" w:hAnsi="Times New Roman"/>
                <w:sz w:val="18"/>
                <w:szCs w:val="18"/>
                <w:color w:val="000000"/>
              </w:rPr>
              <w:t>.</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9"/>
              </w:rPr>
              <w:t>10/25/2023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Borders>
              <w:right w:val="single" w:sz="8" w:color="0000FF"/>
            </w:tcBorders>
            <w:gridSpan w:val="6"/>
            <w:shd w:val="clear" w:color="auto" w:fill="0000FF"/>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3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Non-Employee Director Compensation Policy.</w:t>
            </w:r>
          </w:p>
        </w:tc>
        <w:tc>
          <w:tcPr>
            <w:tcW w:w="20" w:type="dxa"/>
            <w:vAlign w:val="bottom"/>
            <w:tcBorders>
              <w:bottom w:val="single" w:sz="8" w:color="0000EE"/>
            </w:tcBorders>
          </w:tcPr>
          <w:p>
            <w:pPr>
              <w:spacing w:after="0"/>
              <w:rPr>
                <w:sz w:val="24"/>
                <w:szCs w:val="24"/>
                <w:color w:val="auto"/>
              </w:rPr>
            </w:pPr>
          </w:p>
        </w:tc>
        <w:tc>
          <w:tcPr>
            <w:tcW w:w="250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72"/>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52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Amendment to the Aligos Therapeutics, Inc. 2020 Incentive Award Plan.</w:t>
              </w:r>
            </w:hyperlink>
          </w:p>
        </w:tc>
        <w:tc>
          <w:tcPr>
            <w:tcW w:w="64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rPr>
              <w:t>6/28/2024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5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14(a) under the Securities Exchange Act of 1934, as Adopted Pursuant to Section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Borders>
              <w:right w:val="single" w:sz="8" w:color="0000EE"/>
            </w:tcBorders>
            <w:gridSpan w:val="6"/>
            <w:shd w:val="clear" w:color="auto" w:fill="0000FF"/>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80" w:type="dxa"/>
            <w:vAlign w:val="bottom"/>
            <w:gridSpan w:val="1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14(a) under the Securities Exchange Act of 1934, as Adopted Pursuant to Section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Borders>
              <w:right w:val="single" w:sz="8" w:color="0000EE"/>
            </w:tcBorders>
            <w:gridSpan w:val="6"/>
            <w:shd w:val="clear" w:color="auto" w:fill="0000FF"/>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5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6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4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5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w:t>
            </w:r>
          </w:p>
        </w:tc>
        <w:tc>
          <w:tcPr>
            <w:tcW w:w="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6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85"/>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5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65"/>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5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46"/>
        </w:trPr>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5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The cover page from the Company’s Quarterly Report on Form 10-Q for the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26"/>
        </w:trPr>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9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auto"/>
              </w:rPr>
              <w:t>quarter ended June 30, 2024 has been formatted in Inline XBRL.</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900" w:type="dxa"/>
            <w:vAlign w:val="bottom"/>
            <w:gridSpan w:val="18"/>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97" w:lineRule="exact"/>
        <w:rPr>
          <w:sz w:val="20"/>
          <w:szCs w:val="20"/>
          <w:color w:val="auto"/>
        </w:rPr>
      </w:pPr>
    </w:p>
    <w:p>
      <w:pPr>
        <w:jc w:val="both"/>
        <w:ind w:right="280" w:firstLine="8"/>
        <w:spacing w:after="0" w:line="261" w:lineRule="auto"/>
        <w:tabs>
          <w:tab w:leader="none" w:pos="1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0" w:name="page91"/>
    <w:bookmarkEnd w:id="9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ALIGOS THERAPEUTICS, INC.</w:t>
      </w:r>
    </w:p>
    <w:p>
      <w:pPr>
        <w:spacing w:after="0" w:line="279" w:lineRule="exact"/>
        <w:rPr>
          <w:sz w:val="20"/>
          <w:szCs w:val="20"/>
          <w:color w:val="auto"/>
        </w:rPr>
      </w:pPr>
    </w:p>
    <w:p>
      <w:pPr>
        <w:ind w:left="20"/>
        <w:spacing w:after="0"/>
        <w:tabs>
          <w:tab w:leader="none" w:pos="5600" w:val="left"/>
          <w:tab w:leader="none" w:pos="794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6"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Lawrence Blatt, Ph.D.</w:t>
      </w:r>
    </w:p>
    <w:p>
      <w:pPr>
        <w:spacing w:after="0" w:line="36"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283" w:lineRule="exact"/>
        <w:rPr>
          <w:sz w:val="20"/>
          <w:szCs w:val="20"/>
          <w:color w:val="auto"/>
        </w:rPr>
      </w:pPr>
    </w:p>
    <w:p>
      <w:pPr>
        <w:ind w:left="20"/>
        <w:spacing w:after="0"/>
        <w:tabs>
          <w:tab w:leader="none" w:pos="5600" w:val="left"/>
          <w:tab w:leader="none" w:pos="774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6"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36"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1" w:name="page92"/>
    <w:bookmarkEnd w:id="91"/>
    <w:p>
      <w:pPr>
        <w:ind w:left="10500"/>
        <w:spacing w:after="0"/>
        <w:rPr>
          <w:sz w:val="20"/>
          <w:szCs w:val="20"/>
          <w:color w:val="auto"/>
        </w:rPr>
      </w:pPr>
      <w:r>
        <w:rPr>
          <w:rFonts w:ascii="Times New Roman" w:cs="Times New Roman" w:eastAsia="Times New Roman" w:hAnsi="Times New Roman"/>
          <w:sz w:val="21"/>
          <w:szCs w:val="21"/>
          <w:b w:val="1"/>
          <w:bCs w:val="1"/>
          <w:color w:val="auto"/>
        </w:rPr>
        <w:t>EX-10.1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ALIGOS THERAPEUTICS,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PROGRAM</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Effective: July 24, 2024)</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This Aligos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Non-Employee Director Compensation Program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has been adopted under the Company’s 2020 Incentive Award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has been amended as of April 17, 2024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not otherwise defined herein shall have the meaning ascribed in the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Cash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as of the Effective Date, annual retainers will be paid in the following amounts to Non-Employee Directors: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312"/>
        </w:trPr>
        <w:tc>
          <w:tcPr>
            <w:tcW w:w="90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Non-Employee Director:</w:t>
            </w:r>
          </w:p>
        </w:tc>
        <w:tc>
          <w:tcPr>
            <w:tcW w:w="22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$40,000</w:t>
            </w:r>
          </w:p>
        </w:tc>
      </w:tr>
      <w:tr>
        <w:trPr>
          <w:trHeight w:val="25"/>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92"/>
        </w:trPr>
        <w:tc>
          <w:tcPr>
            <w:tcW w:w="9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Non-Executive Chair:</w:t>
            </w:r>
          </w:p>
        </w:tc>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$30,000</w:t>
            </w:r>
          </w:p>
        </w:tc>
      </w:tr>
      <w:tr>
        <w:trPr>
          <w:trHeight w:val="29"/>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89"/>
        </w:trPr>
        <w:tc>
          <w:tcPr>
            <w:tcW w:w="9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Audit Committee Chair:</w:t>
            </w:r>
          </w:p>
        </w:tc>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$20,000</w:t>
            </w:r>
          </w:p>
        </w:tc>
      </w:tr>
      <w:tr>
        <w:trPr>
          <w:trHeight w:val="29"/>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89"/>
        </w:trPr>
        <w:tc>
          <w:tcPr>
            <w:tcW w:w="9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Compensation Committee Chair:</w:t>
            </w:r>
          </w:p>
        </w:tc>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$10,000</w:t>
            </w:r>
          </w:p>
        </w:tc>
      </w:tr>
      <w:tr>
        <w:trPr>
          <w:trHeight w:val="29"/>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89"/>
        </w:trPr>
        <w:tc>
          <w:tcPr>
            <w:tcW w:w="9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Nominating and Corporate Governance Committee Chair:</w:t>
            </w:r>
          </w:p>
        </w:tc>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$8,000</w:t>
            </w:r>
          </w:p>
        </w:tc>
      </w:tr>
      <w:tr>
        <w:trPr>
          <w:trHeight w:val="29"/>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89"/>
        </w:trPr>
        <w:tc>
          <w:tcPr>
            <w:tcW w:w="9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Audit Committee Member (non-Chair):</w:t>
            </w:r>
          </w:p>
        </w:tc>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$7,500</w:t>
            </w:r>
          </w:p>
        </w:tc>
      </w:tr>
      <w:tr>
        <w:trPr>
          <w:trHeight w:val="29"/>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89"/>
        </w:trPr>
        <w:tc>
          <w:tcPr>
            <w:tcW w:w="9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Compensation Committee Member (non-Chair):</w:t>
            </w:r>
          </w:p>
        </w:tc>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$5,000</w:t>
            </w:r>
          </w:p>
        </w:tc>
      </w:tr>
      <w:tr>
        <w:trPr>
          <w:trHeight w:val="29"/>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89"/>
        </w:trPr>
        <w:tc>
          <w:tcPr>
            <w:tcW w:w="9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Nominating and Corporate Governance Committee Member (non-Chair):</w:t>
            </w:r>
          </w:p>
        </w:tc>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$4,000</w:t>
            </w:r>
          </w:p>
        </w:tc>
      </w:tr>
      <w:tr>
        <w:trPr>
          <w:trHeight w:val="29"/>
        </w:trPr>
        <w:tc>
          <w:tcPr>
            <w:tcW w:w="90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All annual retainers will be paid in cash quarterly in arrears promptly following the end of the applicable calendar quarter, but in no event more than 30 days after the end of such quarter. In the event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sectPr>
          <w:pgSz w:w="11900" w:h="16838" w:orient="portrait"/>
          <w:cols w:equalWidth="0" w:num="1">
            <w:col w:w="11240"/>
          </w:cols>
          <w:pgMar w:left="320" w:top="756" w:right="3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Equity Compensation</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Initial Stock Option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22"/>
          <w:szCs w:val="22"/>
          <w:color w:val="auto"/>
        </w:rPr>
        <w:t>Each Non-Employee Director who is initially elected or appointed to serve on the Board after the Effective Date shall be granted an Option under the Plan or any other applicable Company equity incentive plan then-maintained by the Company to purchase 120,000 shares of Common Stock (the “</w:t>
      </w:r>
      <w:r>
        <w:rPr>
          <w:rFonts w:ascii="Times New Roman" w:cs="Times New Roman" w:eastAsia="Times New Roman" w:hAnsi="Times New Roman"/>
          <w:sz w:val="22"/>
          <w:szCs w:val="22"/>
          <w:b w:val="1"/>
          <w:bCs w:val="1"/>
          <w:i w:val="1"/>
          <w:iCs w:val="1"/>
          <w:color w:val="auto"/>
        </w:rPr>
        <w:t>Initial Option</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right="100"/>
        <w:spacing w:after="0" w:line="236" w:lineRule="auto"/>
        <w:rPr>
          <w:sz w:val="20"/>
          <w:szCs w:val="20"/>
          <w:color w:val="auto"/>
        </w:rPr>
      </w:pPr>
      <w:r>
        <w:rPr>
          <w:rFonts w:ascii="Times New Roman" w:cs="Times New Roman" w:eastAsia="Times New Roman" w:hAnsi="Times New Roman"/>
          <w:sz w:val="22"/>
          <w:szCs w:val="22"/>
          <w:color w:val="auto"/>
        </w:rPr>
        <w:t>The Initial Option will be automatically granted on the date on which such Non-Employee Director commences service on the Board, and will vest as to 1/36th of the shares subject thereto on each monthly anniversary of the applicable date of grant such that the shares subject to the Initial Option are fully vested on the third anniversary of the grant, in each case, subject to the Non-Employee Director continuing to provide services to the Company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617220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060" w:space="720"/>
            <w:col w:w="7460"/>
          </w:cols>
          <w:pgMar w:left="320" w:top="756" w:right="339" w:bottom="1440" w:gutter="0" w:footer="0" w:header="0"/>
          <w:type w:val="continuous"/>
        </w:sectPr>
      </w:pPr>
    </w:p>
    <w:bookmarkStart w:id="92" w:name="page93"/>
    <w:bookmarkEnd w:id="92"/>
    <w:tbl>
      <w:tblPr>
        <w:tblLayout w:type="fixed"/>
        <w:tblInd w:w="20" w:type="dxa"/>
        <w:tblCellMar>
          <w:top w:w="0" w:type="dxa"/>
          <w:left w:w="0" w:type="dxa"/>
          <w:bottom w:w="0" w:type="dxa"/>
          <w:right w:w="0" w:type="dxa"/>
        </w:tblCellMar>
      </w:tblPr>
      <w:tr>
        <w:trPr>
          <w:trHeight w:val="253"/>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Annual Stock Option Grant:</w:t>
            </w:r>
          </w:p>
        </w:tc>
        <w:tc>
          <w:tcPr>
            <w:tcW w:w="802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Each Non-Employee Director who (i) has been serving on the Board for at least four</w:t>
            </w:r>
          </w:p>
        </w:tc>
      </w:tr>
      <w:tr>
        <w:trPr>
          <w:trHeight w:val="243"/>
        </w:trPr>
        <w:tc>
          <w:tcPr>
            <w:tcW w:w="3100" w:type="dxa"/>
            <w:vAlign w:val="bottom"/>
          </w:tcPr>
          <w:p>
            <w:pPr>
              <w:spacing w:after="0"/>
              <w:rPr>
                <w:sz w:val="21"/>
                <w:szCs w:val="21"/>
                <w:color w:val="auto"/>
              </w:rPr>
            </w:pPr>
          </w:p>
        </w:tc>
        <w:tc>
          <w:tcPr>
            <w:tcW w:w="8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months as of each meeting of the Company’s stockholders (each, an “</w:t>
            </w:r>
            <w:r>
              <w:rPr>
                <w:rFonts w:ascii="Times New Roman" w:cs="Times New Roman" w:eastAsia="Times New Roman" w:hAnsi="Times New Roman"/>
                <w:sz w:val="22"/>
                <w:szCs w:val="22"/>
                <w:b w:val="1"/>
                <w:bCs w:val="1"/>
                <w:i w:val="1"/>
                <w:iCs w:val="1"/>
                <w:color w:val="auto"/>
              </w:rPr>
              <w:t>Annual</w:t>
            </w:r>
          </w:p>
        </w:tc>
      </w:tr>
      <w:tr>
        <w:trPr>
          <w:trHeight w:val="249"/>
        </w:trPr>
        <w:tc>
          <w:tcPr>
            <w:tcW w:w="3100" w:type="dxa"/>
            <w:vAlign w:val="bottom"/>
          </w:tcPr>
          <w:p>
            <w:pPr>
              <w:spacing w:after="0"/>
              <w:rPr>
                <w:sz w:val="21"/>
                <w:szCs w:val="21"/>
                <w:color w:val="auto"/>
              </w:rPr>
            </w:pPr>
          </w:p>
        </w:tc>
        <w:tc>
          <w:tcPr>
            <w:tcW w:w="8020" w:type="dxa"/>
            <w:vAlign w:val="bottom"/>
          </w:tcPr>
          <w:p>
            <w:pPr>
              <w:ind w:left="660"/>
              <w:spacing w:after="0" w:line="249" w:lineRule="exact"/>
              <w:rPr>
                <w:sz w:val="20"/>
                <w:szCs w:val="20"/>
                <w:color w:val="auto"/>
              </w:rPr>
            </w:pPr>
            <w:r>
              <w:rPr>
                <w:rFonts w:ascii="Times New Roman" w:cs="Times New Roman" w:eastAsia="Times New Roman" w:hAnsi="Times New Roman"/>
                <w:sz w:val="22"/>
                <w:szCs w:val="22"/>
                <w:b w:val="1"/>
                <w:bCs w:val="1"/>
                <w:i w:val="1"/>
                <w:iCs w:val="1"/>
                <w:color w:val="auto"/>
              </w:rPr>
              <w:t>Meeting</w:t>
            </w:r>
            <w:r>
              <w:rPr>
                <w:rFonts w:ascii="Times New Roman" w:cs="Times New Roman" w:eastAsia="Times New Roman" w:hAnsi="Times New Roman"/>
                <w:sz w:val="22"/>
                <w:szCs w:val="22"/>
                <w:color w:val="auto"/>
              </w:rPr>
              <w:t>”) and (ii) will continue to serve as a Non-Employee Director immediately</w:t>
            </w:r>
          </w:p>
        </w:tc>
      </w:tr>
      <w:tr>
        <w:trPr>
          <w:trHeight w:val="243"/>
        </w:trPr>
        <w:tc>
          <w:tcPr>
            <w:tcW w:w="3100" w:type="dxa"/>
            <w:vAlign w:val="bottom"/>
          </w:tcPr>
          <w:p>
            <w:pPr>
              <w:spacing w:after="0"/>
              <w:rPr>
                <w:sz w:val="21"/>
                <w:szCs w:val="21"/>
                <w:color w:val="auto"/>
              </w:rPr>
            </w:pPr>
          </w:p>
        </w:tc>
        <w:tc>
          <w:tcPr>
            <w:tcW w:w="8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following such meeting, shall be granted an Option under the Plan or any other</w:t>
            </w:r>
          </w:p>
        </w:tc>
      </w:tr>
      <w:tr>
        <w:trPr>
          <w:trHeight w:val="237"/>
        </w:trPr>
        <w:tc>
          <w:tcPr>
            <w:tcW w:w="3100" w:type="dxa"/>
            <w:vAlign w:val="bottom"/>
          </w:tcPr>
          <w:p>
            <w:pPr>
              <w:spacing w:after="0"/>
              <w:rPr>
                <w:sz w:val="20"/>
                <w:szCs w:val="20"/>
                <w:color w:val="auto"/>
              </w:rPr>
            </w:pPr>
          </w:p>
        </w:tc>
        <w:tc>
          <w:tcPr>
            <w:tcW w:w="8020" w:type="dxa"/>
            <w:vAlign w:val="bottom"/>
          </w:tcPr>
          <w:p>
            <w:pPr>
              <w:ind w:left="660"/>
              <w:spacing w:after="0" w:line="237" w:lineRule="exact"/>
              <w:rPr>
                <w:sz w:val="20"/>
                <w:szCs w:val="20"/>
                <w:color w:val="auto"/>
              </w:rPr>
            </w:pPr>
            <w:r>
              <w:rPr>
                <w:rFonts w:ascii="Times New Roman" w:cs="Times New Roman" w:eastAsia="Times New Roman" w:hAnsi="Times New Roman"/>
                <w:sz w:val="22"/>
                <w:szCs w:val="22"/>
                <w:color w:val="auto"/>
              </w:rPr>
              <w:t>applicable Company equity incentive plan then-maintained by the Company to</w:t>
            </w:r>
          </w:p>
        </w:tc>
      </w:tr>
      <w:tr>
        <w:trPr>
          <w:trHeight w:val="288"/>
        </w:trPr>
        <w:tc>
          <w:tcPr>
            <w:tcW w:w="3100" w:type="dxa"/>
            <w:vAlign w:val="bottom"/>
          </w:tcPr>
          <w:p>
            <w:pPr>
              <w:spacing w:after="0"/>
              <w:rPr>
                <w:sz w:val="24"/>
                <w:szCs w:val="24"/>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purchase 60,000 shares of Common Stock (the “</w:t>
            </w:r>
            <w:r>
              <w:rPr>
                <w:rFonts w:ascii="Times New Roman" w:cs="Times New Roman" w:eastAsia="Times New Roman" w:hAnsi="Times New Roman"/>
                <w:sz w:val="22"/>
                <w:szCs w:val="22"/>
                <w:b w:val="1"/>
                <w:bCs w:val="1"/>
                <w:i w:val="1"/>
                <w:iCs w:val="1"/>
                <w:color w:val="auto"/>
              </w:rPr>
              <w:t>Annual Option</w:t>
            </w:r>
            <w:r>
              <w:rPr>
                <w:rFonts w:ascii="Times New Roman" w:cs="Times New Roman" w:eastAsia="Times New Roman" w:hAnsi="Times New Roman"/>
                <w:sz w:val="22"/>
                <w:szCs w:val="22"/>
                <w:color w:val="auto"/>
              </w:rPr>
              <w:t>”).</w:t>
            </w:r>
          </w:p>
        </w:tc>
      </w:tr>
      <w:tr>
        <w:trPr>
          <w:trHeight w:val="420"/>
        </w:trPr>
        <w:tc>
          <w:tcPr>
            <w:tcW w:w="3100" w:type="dxa"/>
            <w:vAlign w:val="bottom"/>
          </w:tcPr>
          <w:p>
            <w:pPr>
              <w:spacing w:after="0"/>
              <w:rPr>
                <w:sz w:val="24"/>
                <w:szCs w:val="24"/>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The Annual Option will be automatically granted on the date of the applicable</w:t>
            </w:r>
          </w:p>
        </w:tc>
      </w:tr>
      <w:tr>
        <w:trPr>
          <w:trHeight w:val="243"/>
        </w:trPr>
        <w:tc>
          <w:tcPr>
            <w:tcW w:w="3100" w:type="dxa"/>
            <w:vAlign w:val="bottom"/>
          </w:tcPr>
          <w:p>
            <w:pPr>
              <w:spacing w:after="0"/>
              <w:rPr>
                <w:sz w:val="21"/>
                <w:szCs w:val="21"/>
                <w:color w:val="auto"/>
              </w:rPr>
            </w:pPr>
          </w:p>
        </w:tc>
        <w:tc>
          <w:tcPr>
            <w:tcW w:w="8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9"/>
              </w:rPr>
              <w:t>Annual Meeting, and will vest in full on the earlier of (i) the first anniversary of the</w:t>
            </w:r>
          </w:p>
        </w:tc>
      </w:tr>
      <w:tr>
        <w:trPr>
          <w:trHeight w:val="243"/>
        </w:trPr>
        <w:tc>
          <w:tcPr>
            <w:tcW w:w="3100" w:type="dxa"/>
            <w:vAlign w:val="bottom"/>
          </w:tcPr>
          <w:p>
            <w:pPr>
              <w:spacing w:after="0"/>
              <w:rPr>
                <w:sz w:val="21"/>
                <w:szCs w:val="21"/>
                <w:color w:val="auto"/>
              </w:rPr>
            </w:pPr>
          </w:p>
        </w:tc>
        <w:tc>
          <w:tcPr>
            <w:tcW w:w="8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9"/>
              </w:rPr>
              <w:t>date of grant and (ii) immediately prior to the Annual Meeting following the date of</w:t>
            </w:r>
          </w:p>
        </w:tc>
      </w:tr>
      <w:tr>
        <w:trPr>
          <w:trHeight w:val="243"/>
        </w:trPr>
        <w:tc>
          <w:tcPr>
            <w:tcW w:w="3100" w:type="dxa"/>
            <w:vAlign w:val="bottom"/>
          </w:tcPr>
          <w:p>
            <w:pPr>
              <w:spacing w:after="0"/>
              <w:rPr>
                <w:sz w:val="21"/>
                <w:szCs w:val="21"/>
                <w:color w:val="auto"/>
              </w:rPr>
            </w:pPr>
          </w:p>
        </w:tc>
        <w:tc>
          <w:tcPr>
            <w:tcW w:w="8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grant, subject to the Non-Employee Director continuing to provide services to the</w:t>
            </w:r>
          </w:p>
        </w:tc>
      </w:tr>
      <w:tr>
        <w:trPr>
          <w:trHeight w:val="282"/>
        </w:trPr>
        <w:tc>
          <w:tcPr>
            <w:tcW w:w="3100" w:type="dxa"/>
            <w:vAlign w:val="bottom"/>
          </w:tcPr>
          <w:p>
            <w:pPr>
              <w:spacing w:after="0"/>
              <w:rPr>
                <w:sz w:val="24"/>
                <w:szCs w:val="24"/>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Company through such vesting date.</w:t>
            </w:r>
          </w:p>
        </w:tc>
      </w:tr>
    </w:tbl>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per share exercise price of each Option granted to a Non-Employee Director shall equal the Fair Market Value of a share of Common Stock on the date the Option is granted.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 of each Option granted to a Non-Employee Director shall be ten years from the date the Option is granted.</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otherwise determined by the Board, no portion of an Initial Option or Annual Option which is unvested or unexercisable at the time of a Non-Employee Director’s termination of service on the Board shall become vested and exercisable thereafter.</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Members of the Board who are employees of the Company or any parent or subsidiary of the Company who subsequently terminate their service with the Company and any parent or subsidiary of the Company and remain on the Board will not receive an Initial Option, but to the extent that they are otherwise eligible, will be eligible to receive, after termination from service with the Company and any parent or subsidiary of the Company, Annual Options as described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 in Control</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Reimbursements</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Miscellaneous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other provisions of the Plan shall apply to the Options granted automatically pursuant to this Program, except to the extent such other provisions are inconsistent with this Program. All applicable terms of the Plan apply to this Program as if fully set forth herein, and all grants of Options hereby are subject in all respects to the terms of the Plan (including Section 5.5 of the Plan limiting the sum of the grant date fair value of all equity-based Awards and the maximum amount that may become payable pursuant to all cash-based Awards that may be granted to a Service Provider (as defined in the Plan) as compensation for services as a Non-Employee Director during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93" w:name="page94"/>
    <w:bookmarkEnd w:id="93"/>
    <w:p>
      <w:pPr>
        <w:spacing w:after="0" w:line="258" w:lineRule="auto"/>
        <w:rPr>
          <w:sz w:val="20"/>
          <w:szCs w:val="20"/>
          <w:color w:val="auto"/>
        </w:rPr>
      </w:pPr>
      <w:r>
        <w:rPr>
          <w:rFonts w:ascii="Times New Roman" w:cs="Times New Roman" w:eastAsia="Times New Roman" w:hAnsi="Times New Roman"/>
          <w:sz w:val="22"/>
          <w:szCs w:val="22"/>
          <w:color w:val="auto"/>
        </w:rPr>
        <w:t>calendar year to $1,500,000). The grant of any Option under this Program shall be made solely by and subject to the terms set forth in a written agreement in a form to be approved by the Board and duly executed by an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Blatt, certify that:</w:t>
      </w:r>
    </w:p>
    <w:p>
      <w:pPr>
        <w:spacing w:after="0" w:line="117"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Aligos Therapeutics, Inc.;</w:t>
      </w:r>
    </w:p>
    <w:p>
      <w:pPr>
        <w:spacing w:after="0" w:line="117"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40" w:hanging="504"/>
        <w:spacing w:after="0" w:line="266"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160" w:hanging="504"/>
        <w:spacing w:after="0" w:line="266"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20" w:hanging="504"/>
        <w:spacing w:after="0" w:line="282"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40" w:hanging="504"/>
        <w:spacing w:after="0" w:line="266"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580" w:hanging="504"/>
        <w:spacing w:after="0" w:line="282"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260" w:hanging="504"/>
        <w:spacing w:after="0" w:line="282" w:lineRule="auto"/>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40" w:val="left"/>
          <w:tab w:leader="none" w:pos="792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Lawrence Blatt</w:t>
      </w:r>
    </w:p>
    <w:p>
      <w:pPr>
        <w:spacing w:after="0" w:line="3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President,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Lesley Ann Calhoun, certify that:</w:t>
      </w:r>
    </w:p>
    <w:p>
      <w:pPr>
        <w:spacing w:after="0" w:line="117"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Aligos Therapeutics, Inc.;</w:t>
      </w:r>
    </w:p>
    <w:p>
      <w:pPr>
        <w:spacing w:after="0" w:line="117"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40" w:hanging="504"/>
        <w:spacing w:after="0" w:line="266"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160" w:hanging="504"/>
        <w:spacing w:after="0" w:line="266"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20" w:hanging="504"/>
        <w:spacing w:after="0" w:line="282"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40" w:hanging="504"/>
        <w:spacing w:after="0" w:line="266"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580" w:hanging="504"/>
        <w:spacing w:after="0" w:line="282"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260" w:hanging="504"/>
        <w:spacing w:after="0" w:line="282"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40" w:val="left"/>
          <w:tab w:leader="none" w:pos="772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3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96" w:name="page97"/>
    <w:bookmarkEnd w:id="96"/>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Aligos Therapeutics, Inc. (the “Company”) on Form 10-Q for the period ending June 30, 2024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500" w:hanging="504"/>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ind w:left="20"/>
        <w:spacing w:after="0"/>
        <w:tabs>
          <w:tab w:leader="none" w:pos="5920" w:val="left"/>
          <w:tab w:leader="none" w:pos="808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31457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Lawrence Blatt</w:t>
      </w:r>
    </w:p>
    <w:p>
      <w:pPr>
        <w:spacing w:after="0" w:line="3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President,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7" w:name="page98"/>
    <w:bookmarkEnd w:id="97"/>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Aligos Therapeutics, Inc. (the “Company”) on Form 10-Q for the period ending June 30, 2024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140" w:hanging="504"/>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500" w:hanging="504"/>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ind w:left="20"/>
        <w:spacing w:after="0"/>
        <w:tabs>
          <w:tab w:leader="none" w:pos="5920" w:val="left"/>
          <w:tab w:leader="none" w:pos="790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31457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3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8" w:name="page99"/>
    <w:bookmarkEnd w:id="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2"/>
    </w:lvl>
  </w:abstractNum>
  <w:abstractNum w:abstractNumId="5">
    <w:nsid w:val="4516DDE9"/>
    <w:multiLevelType w:val="hybridMultilevel"/>
    <w:lvl w:ilvl="0">
      <w:lvlJc w:val="left"/>
      <w:lvlText w:val="%1."/>
      <w:numFmt w:val="decimal"/>
      <w:start w:val="3"/>
    </w:lvl>
  </w:abstractNum>
  <w:abstractNum w:abstractNumId="6">
    <w:nsid w:val="3006C83E"/>
    <w:multiLevelType w:val="hybridMultilevel"/>
    <w:lvl w:ilvl="0">
      <w:lvlJc w:val="left"/>
      <w:lvlText w:val="%1."/>
      <w:numFmt w:val="decimal"/>
      <w:start w:val="4"/>
    </w:lvl>
  </w:abstractNum>
  <w:abstractNum w:abstractNumId="7">
    <w:nsid w:val="614FD4A1"/>
    <w:multiLevelType w:val="hybridMultilevel"/>
    <w:lvl w:ilvl="0">
      <w:lvlJc w:val="left"/>
      <w:lvlText w:val="%1."/>
      <w:numFmt w:val="decimal"/>
      <w:start w:val="5"/>
    </w:lvl>
  </w:abstractNum>
  <w:abstractNum w:abstractNumId="8">
    <w:nsid w:val="419AC241"/>
    <w:multiLevelType w:val="hybridMultilevel"/>
    <w:lvl w:ilvl="0">
      <w:lvlJc w:val="left"/>
      <w:lvlText w:val="%1."/>
      <w:numFmt w:val="decimal"/>
      <w:start w:val="6"/>
    </w:lvl>
  </w:abstractNum>
  <w:abstractNum w:abstractNumId="9">
    <w:nsid w:val="5577F8E1"/>
    <w:multiLevelType w:val="hybridMultilevel"/>
    <w:lvl w:ilvl="0">
      <w:lvlJc w:val="left"/>
      <w:lvlText w:val="%1."/>
      <w:numFmt w:val="decimal"/>
      <w:start w:val="7"/>
    </w:lvl>
  </w:abstractNum>
  <w:abstractNum w:abstractNumId="10">
    <w:nsid w:val="440BADFC"/>
    <w:multiLevelType w:val="hybridMultilevel"/>
    <w:lvl w:ilvl="0">
      <w:lvlJc w:val="left"/>
      <w:lvlText w:val="%1."/>
      <w:numFmt w:val="decimal"/>
      <w:start w:val="8"/>
    </w:lvl>
  </w:abstractNum>
  <w:abstractNum w:abstractNumId="11">
    <w:nsid w:val="5072367"/>
    <w:multiLevelType w:val="hybridMultilevel"/>
    <w:lvl w:ilvl="0">
      <w:lvlJc w:val="left"/>
      <w:lvlText w:val="%1."/>
      <w:numFmt w:val="decimal"/>
      <w:start w:val="9"/>
    </w:lvl>
  </w:abstractNum>
  <w:abstractNum w:abstractNumId="12">
    <w:nsid w:val="3804823E"/>
    <w:multiLevelType w:val="hybridMultilevel"/>
    <w:lvl w:ilvl="0">
      <w:lvlJc w:val="left"/>
      <w:lvlText w:val="%1."/>
      <w:numFmt w:val="decimal"/>
      <w:start w:val="10"/>
    </w:lvl>
  </w:abstractNum>
  <w:abstractNum w:abstractNumId="13">
    <w:nsid w:val="77465F01"/>
    <w:multiLevelType w:val="hybridMultilevel"/>
    <w:lvl w:ilvl="0">
      <w:lvlJc w:val="left"/>
      <w:lvlText w:val="%1."/>
      <w:numFmt w:val="decimal"/>
      <w:start w:val="11"/>
    </w:lvl>
  </w:abstractNum>
  <w:abstractNum w:abstractNumId="14">
    <w:nsid w:val="7724C67E"/>
    <w:multiLevelType w:val="hybridMultilevel"/>
    <w:lvl w:ilvl="0">
      <w:lvlJc w:val="left"/>
      <w:lvlText w:val="%1."/>
      <w:numFmt w:val="decimal"/>
      <w:start w:val="12"/>
    </w:lvl>
  </w:abstractNum>
  <w:abstractNum w:abstractNumId="15">
    <w:nsid w:val="5C482A97"/>
    <w:multiLevelType w:val="hybridMultilevel"/>
    <w:lvl w:ilvl="0">
      <w:lvlJc w:val="left"/>
      <w:lvlText w:val="%1."/>
      <w:numFmt w:val="decimal"/>
      <w:start w:val="13"/>
    </w:lvl>
  </w:abstractNum>
  <w:abstractNum w:abstractNumId="16">
    <w:nsid w:val="2463B9EA"/>
    <w:multiLevelType w:val="hybridMultilevel"/>
    <w:lvl w:ilvl="0">
      <w:lvlJc w:val="left"/>
      <w:lvlText w:val="%1."/>
      <w:numFmt w:val="decimal"/>
      <w:start w:val="14"/>
    </w:lvl>
  </w:abstractNum>
  <w:abstractNum w:abstractNumId="17">
    <w:nsid w:val="5E884ADC"/>
    <w:multiLevelType w:val="hybridMultilevel"/>
    <w:lvl w:ilvl="0">
      <w:lvlJc w:val="left"/>
      <w:lvlText w:val="%1."/>
      <w:numFmt w:val="decimal"/>
      <w:start w:val="15"/>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57" Type="http://schemas.openxmlformats.org/officeDocument/2006/relationships/hyperlink" Target="https://www.sec.gov/Archives/edgar/data/1799448/000119312520272852/d46540dex31.htm" TargetMode="External"/><Relationship Id="rId258" Type="http://schemas.openxmlformats.org/officeDocument/2006/relationships/hyperlink" Target="https://www.sec.gov/ix?doc=/Archives/edgar/data/0001799448/000119312524172218/d129014d8k.htm" TargetMode="External"/><Relationship Id="rId259" Type="http://schemas.openxmlformats.org/officeDocument/2006/relationships/hyperlink" Target="https://www.sec.gov/Archives/edgar/data/1799448/000119312520272852/d46540dex32.htm" TargetMode="External"/><Relationship Id="rId260" Type="http://schemas.openxmlformats.org/officeDocument/2006/relationships/hyperlink" Target="https://www.sec.gov/Archives/edgar/data/1799448/000119312520267346/d31402dex42.htm" TargetMode="External"/><Relationship Id="rId261" Type="http://schemas.openxmlformats.org/officeDocument/2006/relationships/hyperlink" Target="https://www.sec.gov/Archives/edgar/data/1799448/000119312523263158/d533607dex42.htm" TargetMode="External"/><Relationship Id="rId262" Type="http://schemas.openxmlformats.org/officeDocument/2006/relationships/hyperlink" Target="https://www.sec.gov/Archives/edgar/data/1799448/000119312523263158/d53360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2024-08-06T15:45:45Z</dcterms:created>
  <dcterms:modified xsi:type="dcterms:W3CDTF">2024-08-06T15:45:45Z</dcterms:modified>
</cp:coreProperties>
</file>