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Nuechterlein Carole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ALIGOS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CORPORATE DRIVE,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Aligos Therapeutics, Inc.</w:t>
              </w:r>
            </w:hyperlink>
            <w:r>
              <w:rPr/>
              <w:t xml:space="preserve"> [ </w:t>
            </w:r>
            <w:r>
              <w:rPr>
                <w:rFonts w:ascii="Times;serif" w:hAnsi="Times;serif"/>
                <w:color w:val="0000FF"/>
                <w:sz w:val="24"/>
                <w:shd w:fill="FFFFFF" w:val="clear"/>
              </w:rPr>
              <w:t>ALGS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5,860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will vest and become exercisable as to 100% of the total number of shares subject to the option on the earlier of the first anniversary of the grant date or immediately prior to the annual meeting in 2027 of the Issuer's stockholders, subject to continuous service to the Issuer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Lesley Ann Calhoun, as attorney-in fact for Carole Nuechterlein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5133" TargetMode="External"/><Relationship Id="rId5" Type="http://schemas.openxmlformats.org/officeDocument/2006/relationships/hyperlink" Target="http://www.sec.gov/cgi-bin/browse-edgar?action=getcompany&amp;CIK=00017994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3426</Characters>
  <CharactersWithSpaces>4001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