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50"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3"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p>
      <w:pPr>
        <w:spacing w:after="0" w:line="20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160"/>
        <w:spacing w:after="0" w:line="181" w:lineRule="exact"/>
        <w:rPr>
          <w:sz w:val="20"/>
          <w:szCs w:val="20"/>
          <w:color w:val="auto"/>
        </w:rPr>
      </w:pP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ind w:left="16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7" w:lineRule="exact"/>
        <w:rPr>
          <w:sz w:val="24"/>
          <w:szCs w:val="24"/>
          <w:color w:val="auto"/>
        </w:rPr>
      </w:pPr>
    </w:p>
    <w:p>
      <w:pPr>
        <w:ind w:left="2380" w:right="800" w:hanging="2367"/>
        <w:spacing w:after="0" w:line="336" w:lineRule="auto"/>
        <w:rPr>
          <w:sz w:val="20"/>
          <w:szCs w:val="20"/>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2026</w:t>
      </w:r>
    </w:p>
    <w:p>
      <w:pPr>
        <w:spacing w:after="0" w:line="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77" w:lineRule="exact"/>
        <w:rPr>
          <w:sz w:val="24"/>
          <w:szCs w:val="24"/>
          <w:color w:val="auto"/>
        </w:rPr>
      </w:pPr>
    </w:p>
    <w:p>
      <w:pPr>
        <w:ind w:left="2140"/>
        <w:spacing w:after="0"/>
        <w:tabs>
          <w:tab w:leader="none" w:pos="54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-5080</wp:posOffset>
            </wp:positionV>
            <wp:extent cx="571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11" w:lineRule="exact"/>
        <w:rPr>
          <w:sz w:val="24"/>
          <w:szCs w:val="24"/>
          <w:color w:val="auto"/>
        </w:rPr>
      </w:pPr>
    </w:p>
    <w:p>
      <w:pPr>
        <w:jc w:val="center"/>
        <w:ind w:right="1300"/>
        <w:spacing w:after="0"/>
        <w:rPr>
          <w:sz w:val="20"/>
          <w:szCs w:val="20"/>
          <w:color w:val="auto"/>
        </w:rPr>
      </w:pPr>
      <w:r>
        <w:rPr>
          <w:rFonts w:ascii="Times New Roman" w:cs="Times New Roman" w:eastAsia="Times New Roman" w:hAnsi="Times New Roman"/>
          <w:sz w:val="18"/>
          <w:szCs w:val="18"/>
          <w:b w:val="1"/>
          <w:bCs w:val="1"/>
          <w:color w:val="auto"/>
        </w:rPr>
        <w:t>Commission File Number: 001-39617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1896745</wp:posOffset>
            </wp:positionH>
            <wp:positionV relativeFrom="paragraph">
              <wp:posOffset>74295</wp:posOffset>
            </wp:positionV>
            <wp:extent cx="17487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123" w:lineRule="exact"/>
        <w:rPr>
          <w:sz w:val="24"/>
          <w:szCs w:val="24"/>
          <w:color w:val="auto"/>
        </w:rPr>
      </w:pPr>
    </w:p>
    <w:p>
      <w:pPr>
        <w:ind w:left="2060"/>
        <w:spacing w:after="0"/>
        <w:rPr>
          <w:sz w:val="20"/>
          <w:szCs w:val="20"/>
          <w:color w:val="auto"/>
        </w:rPr>
      </w:pPr>
      <w:r>
        <w:rPr>
          <w:rFonts w:ascii="Times New Roman" w:cs="Times New Roman" w:eastAsia="Times New Roman" w:hAnsi="Times New Roman"/>
          <w:sz w:val="42"/>
          <w:szCs w:val="42"/>
          <w:b w:val="1"/>
          <w:bCs w:val="1"/>
          <w:color w:val="auto"/>
        </w:rPr>
        <w:t>Aligos Therapeutics, Inc.</w:t>
      </w:r>
    </w:p>
    <w:p>
      <w:pPr>
        <w:spacing w:after="0" w:line="60" w:lineRule="exact"/>
        <w:rPr>
          <w:sz w:val="24"/>
          <w:szCs w:val="24"/>
          <w:color w:val="auto"/>
        </w:rPr>
      </w:pPr>
    </w:p>
    <w:tbl>
      <w:tblPr>
        <w:tblLayout w:type="fixed"/>
        <w:tblInd w:w="320" w:type="dxa"/>
        <w:tblCellMar>
          <w:top w:w="0" w:type="dxa"/>
          <w:left w:w="0" w:type="dxa"/>
          <w:bottom w:w="0" w:type="dxa"/>
          <w:right w:w="0" w:type="dxa"/>
        </w:tblCellMar>
      </w:tblPr>
      <w:tr>
        <w:trPr>
          <w:trHeight w:val="238"/>
        </w:trPr>
        <w:tc>
          <w:tcPr>
            <w:tcW w:w="6220" w:type="dxa"/>
            <w:vAlign w:val="bottom"/>
          </w:tcPr>
          <w:p>
            <w:pPr>
              <w:ind w:left="196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1120" w:type="dxa"/>
            <w:vAlign w:val="bottom"/>
          </w:tcPr>
          <w:p>
            <w:pPr>
              <w:spacing w:after="0"/>
              <w:rPr>
                <w:sz w:val="20"/>
                <w:szCs w:val="20"/>
                <w:color w:val="auto"/>
              </w:rPr>
            </w:pPr>
          </w:p>
        </w:tc>
      </w:tr>
      <w:tr>
        <w:trPr>
          <w:trHeight w:val="253"/>
        </w:trPr>
        <w:tc>
          <w:tcPr>
            <w:tcW w:w="6220" w:type="dxa"/>
            <w:vAlign w:val="bottom"/>
          </w:tcPr>
          <w:p>
            <w:pPr>
              <w:jc w:val="center"/>
              <w:ind w:right="366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82-4724808</w:t>
            </w:r>
          </w:p>
        </w:tc>
      </w:tr>
      <w:tr>
        <w:trPr>
          <w:trHeight w:val="135"/>
        </w:trPr>
        <w:tc>
          <w:tcPr>
            <w:tcW w:w="6220" w:type="dxa"/>
            <w:vAlign w:val="bottom"/>
          </w:tcPr>
          <w:p>
            <w:pPr>
              <w:jc w:val="center"/>
              <w:ind w:right="3682"/>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1120" w:type="dxa"/>
            <w:vAlign w:val="bottom"/>
          </w:tcPr>
          <w:p>
            <w:pPr>
              <w:jc w:val="center"/>
              <w:ind w:left="66"/>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6220" w:type="dxa"/>
            <w:vAlign w:val="bottom"/>
          </w:tcPr>
          <w:p>
            <w:pPr>
              <w:jc w:val="center"/>
              <w:ind w:right="3662"/>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1120" w:type="dxa"/>
            <w:vAlign w:val="bottom"/>
          </w:tcPr>
          <w:p>
            <w:pPr>
              <w:jc w:val="center"/>
              <w:ind w:left="66"/>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64"/>
        </w:trPr>
        <w:tc>
          <w:tcPr>
            <w:tcW w:w="6220" w:type="dxa"/>
            <w:vAlign w:val="bottom"/>
          </w:tcPr>
          <w:p>
            <w:pPr>
              <w:jc w:val="center"/>
              <w:ind w:right="3662"/>
              <w:spacing w:after="0"/>
              <w:rPr>
                <w:sz w:val="20"/>
                <w:szCs w:val="20"/>
                <w:color w:val="auto"/>
              </w:rPr>
            </w:pPr>
            <w:r>
              <w:rPr>
                <w:rFonts w:ascii="Times New Roman" w:cs="Times New Roman" w:eastAsia="Times New Roman" w:hAnsi="Times New Roman"/>
                <w:sz w:val="18"/>
                <w:szCs w:val="18"/>
                <w:b w:val="1"/>
                <w:bCs w:val="1"/>
                <w:color w:val="auto"/>
                <w:w w:val="99"/>
              </w:rPr>
              <w:t>One Corporate Drive, 2nd Floor</w:t>
            </w:r>
          </w:p>
        </w:tc>
        <w:tc>
          <w:tcPr>
            <w:tcW w:w="1120" w:type="dxa"/>
            <w:vAlign w:val="bottom"/>
          </w:tcPr>
          <w:p>
            <w:pPr>
              <w:spacing w:after="0"/>
              <w:rPr>
                <w:sz w:val="22"/>
                <w:szCs w:val="22"/>
                <w:color w:val="auto"/>
              </w:rPr>
            </w:pPr>
          </w:p>
        </w:tc>
      </w:tr>
      <w:tr>
        <w:trPr>
          <w:trHeight w:val="232"/>
        </w:trPr>
        <w:tc>
          <w:tcPr>
            <w:tcW w:w="6220" w:type="dxa"/>
            <w:vAlign w:val="bottom"/>
          </w:tcPr>
          <w:p>
            <w:pPr>
              <w:jc w:val="center"/>
              <w:ind w:right="3682"/>
              <w:spacing w:after="0"/>
              <w:rPr>
                <w:sz w:val="20"/>
                <w:szCs w:val="20"/>
                <w:color w:val="auto"/>
              </w:rPr>
            </w:pPr>
            <w:r>
              <w:rPr>
                <w:rFonts w:ascii="Times New Roman" w:cs="Times New Roman" w:eastAsia="Times New Roman" w:hAnsi="Times New Roman"/>
                <w:sz w:val="18"/>
                <w:szCs w:val="18"/>
                <w:b w:val="1"/>
                <w:bCs w:val="1"/>
                <w:color w:val="auto"/>
                <w:w w:val="99"/>
              </w:rPr>
              <w:t>South San Francisco, California</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66"/>
        </w:trPr>
        <w:tc>
          <w:tcPr>
            <w:tcW w:w="6220" w:type="dxa"/>
            <w:vAlign w:val="bottom"/>
          </w:tcPr>
          <w:p>
            <w:pPr>
              <w:jc w:val="center"/>
              <w:ind w:right="3662"/>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1120" w:type="dxa"/>
            <w:vAlign w:val="bottom"/>
          </w:tcPr>
          <w:p>
            <w:pPr>
              <w:jc w:val="center"/>
              <w:ind w:left="6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48" w:lineRule="exact"/>
        <w:rPr>
          <w:sz w:val="24"/>
          <w:szCs w:val="24"/>
          <w:color w:val="auto"/>
        </w:rPr>
      </w:pPr>
    </w:p>
    <w:p>
      <w:pPr>
        <w:jc w:val="center"/>
        <w:ind w:right="130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(800) 466-6059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1896745</wp:posOffset>
            </wp:positionH>
            <wp:positionV relativeFrom="paragraph">
              <wp:posOffset>105410</wp:posOffset>
            </wp:positionV>
            <wp:extent cx="17487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205" w:lineRule="exact"/>
        <w:rPr>
          <w:sz w:val="24"/>
          <w:szCs w:val="24"/>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92" w:lineRule="exact"/>
        <w:rPr>
          <w:sz w:val="24"/>
          <w:szCs w:val="24"/>
          <w:color w:val="auto"/>
        </w:rPr>
      </w:pPr>
    </w:p>
    <w:p>
      <w:pPr>
        <w:sectPr>
          <w:pgSz w:w="11900" w:h="16838" w:orient="portrait"/>
          <w:cols w:equalWidth="0" w:num="2">
            <w:col w:w="940" w:space="320"/>
            <w:col w:w="9980"/>
          </w:cols>
          <w:pgMar w:left="320" w:top="1045" w:right="339" w:bottom="1440" w:gutter="0" w:footer="0" w:header="0"/>
          <w:type w:val="continuous"/>
        </w:sectPr>
      </w:pPr>
    </w:p>
    <w:tbl>
      <w:tblPr>
        <w:tblLayout w:type="fixed"/>
        <w:tblInd w:w="0" w:type="dxa"/>
        <w:tblCellMar>
          <w:top w:w="0" w:type="dxa"/>
          <w:left w:w="0" w:type="dxa"/>
          <w:bottom w:w="0" w:type="dxa"/>
          <w:right w:w="0" w:type="dxa"/>
        </w:tblCellMar>
      </w:tblPr>
      <w:tr>
        <w:trPr>
          <w:trHeight w:val="155"/>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120" w:type="dxa"/>
            <w:vAlign w:val="bottom"/>
          </w:tcPr>
          <w:p>
            <w:pPr>
              <w:spacing w:after="0"/>
              <w:rPr>
                <w:sz w:val="13"/>
                <w:szCs w:val="13"/>
                <w:color w:val="auto"/>
              </w:rPr>
            </w:pPr>
          </w:p>
        </w:tc>
        <w:tc>
          <w:tcPr>
            <w:tcW w:w="22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3"/>
                <w:szCs w:val="13"/>
                <w:b w:val="1"/>
                <w:bCs w:val="1"/>
                <w:color w:val="auto"/>
              </w:rPr>
              <w:t>Trading Symbol(s)</w:t>
            </w:r>
          </w:p>
        </w:tc>
        <w:tc>
          <w:tcPr>
            <w:tcW w:w="100" w:type="dxa"/>
            <w:vAlign w:val="bottom"/>
          </w:tcPr>
          <w:p>
            <w:pPr>
              <w:spacing w:after="0"/>
              <w:rPr>
                <w:sz w:val="13"/>
                <w:szCs w:val="13"/>
                <w:color w:val="auto"/>
              </w:rPr>
            </w:pPr>
          </w:p>
        </w:tc>
        <w:tc>
          <w:tcPr>
            <w:tcW w:w="436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187"/>
        </w:trPr>
        <w:tc>
          <w:tcPr>
            <w:tcW w:w="44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20" w:type="dxa"/>
            <w:vAlign w:val="bottom"/>
          </w:tcPr>
          <w:p>
            <w:pPr>
              <w:spacing w:after="0"/>
              <w:rPr>
                <w:sz w:val="16"/>
                <w:szCs w:val="16"/>
                <w:color w:val="auto"/>
              </w:rPr>
            </w:pPr>
          </w:p>
        </w:tc>
        <w:tc>
          <w:tcPr>
            <w:tcW w:w="2260" w:type="dxa"/>
            <w:vAlign w:val="bottom"/>
          </w:tcPr>
          <w:p>
            <w:pPr>
              <w:ind w:left="880"/>
              <w:spacing w:after="0" w:line="188" w:lineRule="exact"/>
              <w:rPr>
                <w:sz w:val="20"/>
                <w:szCs w:val="20"/>
                <w:color w:val="auto"/>
              </w:rPr>
            </w:pPr>
            <w:r>
              <w:rPr>
                <w:rFonts w:ascii="Times New Roman" w:cs="Times New Roman" w:eastAsia="Times New Roman" w:hAnsi="Times New Roman"/>
                <w:sz w:val="18"/>
                <w:szCs w:val="18"/>
                <w:b w:val="1"/>
                <w:bCs w:val="1"/>
                <w:color w:val="auto"/>
              </w:rPr>
              <w:t>ALGS</w:t>
            </w:r>
          </w:p>
        </w:tc>
        <w:tc>
          <w:tcPr>
            <w:tcW w:w="100" w:type="dxa"/>
            <w:vAlign w:val="bottom"/>
          </w:tcPr>
          <w:p>
            <w:pPr>
              <w:spacing w:after="0"/>
              <w:rPr>
                <w:sz w:val="16"/>
                <w:szCs w:val="16"/>
                <w:color w:val="auto"/>
              </w:rPr>
            </w:pPr>
          </w:p>
        </w:tc>
        <w:tc>
          <w:tcPr>
            <w:tcW w:w="4360" w:type="dxa"/>
            <w:vAlign w:val="bottom"/>
          </w:tcPr>
          <w:p>
            <w:pPr>
              <w:jc w:val="right"/>
              <w:ind w:right="879"/>
              <w:spacing w:after="0" w:line="188" w:lineRule="exact"/>
              <w:rPr>
                <w:sz w:val="20"/>
                <w:szCs w:val="20"/>
                <w:color w:val="auto"/>
              </w:rPr>
            </w:pPr>
            <w:r>
              <w:rPr>
                <w:rFonts w:ascii="Times New Roman" w:cs="Times New Roman" w:eastAsia="Times New Roman" w:hAnsi="Times New Roman"/>
                <w:sz w:val="18"/>
                <w:szCs w:val="18"/>
                <w:b w:val="1"/>
                <w:bCs w:val="1"/>
                <w:color w:val="auto"/>
              </w:rPr>
              <w:t>The Nasdaq Stock Market LLC</w:t>
            </w:r>
          </w:p>
        </w:tc>
      </w:tr>
      <w:tr>
        <w:trPr>
          <w:trHeight w:val="238"/>
        </w:trPr>
        <w:tc>
          <w:tcPr>
            <w:tcW w:w="4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60" w:type="dxa"/>
            <w:vAlign w:val="bottom"/>
          </w:tcPr>
          <w:p>
            <w:pPr>
              <w:jc w:val="right"/>
              <w:ind w:right="1139"/>
              <w:spacing w:after="0"/>
              <w:rPr>
                <w:sz w:val="20"/>
                <w:szCs w:val="20"/>
                <w:color w:val="auto"/>
              </w:rPr>
            </w:pPr>
            <w:r>
              <w:rPr>
                <w:rFonts w:ascii="Times New Roman" w:cs="Times New Roman" w:eastAsia="Times New Roman" w:hAnsi="Times New Roman"/>
                <w:sz w:val="18"/>
                <w:szCs w:val="18"/>
                <w:b w:val="1"/>
                <w:bCs w:val="1"/>
                <w:color w:val="auto"/>
              </w:rPr>
              <w:t>(Nasdaq Capital Market)</w:t>
            </w:r>
          </w:p>
        </w:tc>
      </w:tr>
    </w:tbl>
    <w:p>
      <w:pPr>
        <w:spacing w:after="0" w:line="63" w:lineRule="exact"/>
        <w:rPr>
          <w:sz w:val="24"/>
          <w:szCs w:val="24"/>
          <w:color w:val="auto"/>
        </w:rPr>
      </w:pPr>
    </w:p>
    <w:p>
      <w:pPr>
        <w:ind w:right="60"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40"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256"/>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380" w:type="dxa"/>
            <w:vAlign w:val="bottom"/>
          </w:tcPr>
          <w:p>
            <w:pPr>
              <w:ind w:left="3020"/>
              <w:spacing w:after="0"/>
              <w:rPr>
                <w:sz w:val="20"/>
                <w:szCs w:val="20"/>
                <w:color w:val="auto"/>
              </w:rPr>
            </w:pPr>
            <w:r>
              <w:rPr>
                <w:rFonts w:ascii="Times New Roman" w:cs="Times New Roman" w:eastAsia="Times New Roman" w:hAnsi="Times New Roman"/>
                <w:sz w:val="18"/>
                <w:szCs w:val="18"/>
                <w:color w:val="auto"/>
              </w:rPr>
              <w:t>Accelerated filer</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380" w:type="dxa"/>
            <w:vAlign w:val="bottom"/>
          </w:tcPr>
          <w:p>
            <w:pPr>
              <w:ind w:left="30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8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380" w:type="dxa"/>
            <w:vAlign w:val="bottom"/>
          </w:tcPr>
          <w:p>
            <w:pPr>
              <w:ind w:left="3020"/>
              <w:spacing w:after="0"/>
              <w:rPr>
                <w:sz w:val="20"/>
                <w:szCs w:val="20"/>
                <w:color w:val="auto"/>
              </w:rPr>
            </w:pPr>
            <w:r>
              <w:rPr>
                <w:rFonts w:ascii="Times New Roman" w:cs="Times New Roman" w:eastAsia="Times New Roman" w:hAnsi="Times New Roman"/>
                <w:sz w:val="18"/>
                <w:szCs w:val="18"/>
                <w:color w:val="auto"/>
              </w:rPr>
              <w:t>Emerging growth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5" w:lineRule="exact"/>
        <w:rPr>
          <w:sz w:val="24"/>
          <w:szCs w:val="24"/>
          <w:color w:val="auto"/>
        </w:rPr>
      </w:pPr>
    </w:p>
    <w:p>
      <w:pPr>
        <w:ind w:right="300" w:firstLine="509"/>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20"/>
        <w:spacing w:after="0" w:line="207" w:lineRule="exact"/>
        <w:tabs>
          <w:tab w:leader="none" w:pos="8900" w:val="left"/>
          <w:tab w:leader="none" w:pos="960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08" w:lineRule="exact"/>
        <w:rPr>
          <w:sz w:val="24"/>
          <w:szCs w:val="24"/>
          <w:color w:val="auto"/>
        </w:rPr>
      </w:pPr>
    </w:p>
    <w:p>
      <w:pPr>
        <w:ind w:right="40" w:firstLine="509"/>
        <w:spacing w:after="0" w:line="255" w:lineRule="auto"/>
        <w:rPr>
          <w:sz w:val="20"/>
          <w:szCs w:val="20"/>
          <w:color w:val="auto"/>
        </w:rPr>
      </w:pPr>
      <w:r>
        <w:rPr>
          <w:rFonts w:ascii="Times New Roman" w:cs="Times New Roman" w:eastAsia="Times New Roman" w:hAnsi="Times New Roman"/>
          <w:sz w:val="17"/>
          <w:szCs w:val="17"/>
          <w:color w:val="auto"/>
        </w:rPr>
        <w:t>As of November 3, 2026, the registrant had 6,248,478 shares of common stock, $0.0001 par value per share, outstanding, consisting of 5,448,478 shares of voting common stock, $0.0001 par value per share and 800,000 shares of non-voting common stock, $0.0001 par value per share. This number does not include 4,217,432 shares of common stock issuable upon the exercise of pre-funded warrants outstanding as of November 3, 2026 (which are immediately exercisable at an exercise price of $0.0025 and $0.0001 per share of common stock, subject to beneficial ownership limitations) sold in the Registrant’s private placement on October 23, 2023 and February 13, 2025. See Note 7 — Common Warrants and Pre-Funded Warrants to the Registrant’s unaudited condensed consolidated financial statements.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684530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type w:val="continuous"/>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75"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w:t>
      </w:r>
    </w:p>
    <w:p>
      <w:pPr>
        <w:spacing w:after="0" w:line="72" w:lineRule="exact"/>
        <w:rPr>
          <w:sz w:val="20"/>
          <w:szCs w:val="20"/>
          <w:color w:val="auto"/>
        </w:rPr>
      </w:pPr>
    </w:p>
    <w:p>
      <w:pPr>
        <w:ind w:left="1020" w:right="40" w:hanging="503"/>
        <w:spacing w:after="0" w:line="28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developing our drug candidates or any other future drug candidates, including conducting nonclinical studies and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related to the research and development of our pipeline;</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costs involved in, obtaining and maintaining regulatory approval for any of our current or future drug candidates, and any related restrictions or limitations;</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market size and size of the potential patient populations for our drug candidates and any future drug candidates, if approved for commercial use;</w:t>
      </w:r>
    </w:p>
    <w:p>
      <w:pPr>
        <w:spacing w:after="0" w:line="53"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existing, and establish new, collaborations, licensing or other arrangements and the financial terms of any such agreements;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and expectations;</w:t>
      </w:r>
    </w:p>
    <w:p>
      <w:pPr>
        <w:spacing w:after="0" w:line="117"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drug candidates, as well as the pricing and reimbursement of our drug candidates, if approved;</w:t>
      </w:r>
    </w:p>
    <w:p>
      <w:pPr>
        <w:spacing w:after="0" w:line="53" w:lineRule="exact"/>
        <w:rPr>
          <w:rFonts w:ascii="Times New Roman" w:cs="Times New Roman" w:eastAsia="Times New Roman" w:hAnsi="Times New Roman"/>
          <w:sz w:val="18"/>
          <w:szCs w:val="18"/>
          <w:color w:val="auto"/>
        </w:rPr>
      </w:pPr>
    </w:p>
    <w:p>
      <w:pPr>
        <w:ind w:left="1020" w:right="700" w:hanging="503"/>
        <w:spacing w:after="0" w:line="28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drug candidates and technology, including additional indications we may pursue;</w:t>
      </w:r>
    </w:p>
    <w:p>
      <w:pPr>
        <w:spacing w:after="0" w:line="53"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drug candidates, including the projected term of patent protection;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lawsuits related to our drug candidates or commenced against us;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expenses, future revenue, capital requirements, our needs for additional financing, our ability to obtain additional capital and our ability to continue as a going concern;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projections relating to our competitors and our industry, including competing therapies and procedures;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legal developments in the United States and foreign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third-party suppliers and manufacturers, and our collaborators and licensees;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management, scientific and medical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obtain, maintain, enforce and defend our intellectual property protection for our drug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“Risk Factors.”</w:t>
      </w:r>
    </w:p>
    <w:p>
      <w:pPr>
        <w:spacing w:after="0" w:line="333"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have based these forward-looking statements largely on management’s current expectations, estimates, forecasts and projections about our business and the industry in which we operate as well as management's beliefs and assumptions. These statements are not guarantees of future performance or development and involve known and unknown risks, uncertainties and other factors that are in some cases beyond our control. These forward-looking statements speak only as of the date of this Quarterly Report on Form 10-Q and are subject to a number of risks, uncertainties and assumptions described in the section titled “Risk Factors”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ind w:right="20" w:firstLine="509"/>
        <w:spacing w:after="0" w:line="281" w:lineRule="auto"/>
        <w:rPr>
          <w:sz w:val="20"/>
          <w:szCs w:val="20"/>
          <w:color w:val="auto"/>
        </w:rPr>
      </w:pPr>
      <w:r>
        <w:rPr>
          <w:rFonts w:ascii="Times New Roman" w:cs="Times New Roman" w:eastAsia="Times New Roman" w:hAnsi="Times New Roman"/>
          <w:sz w:val="17"/>
          <w:szCs w:val="17"/>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56"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Investors and others should note that we may announce material business and financial information to our investors using our investor relations website, Securities and Exchange Commission, or SEC, filings, webcasts, press releases and conference calls. We use these mediums, including our website, to communicate with our stockholders and the public about our company, our products and other issues. It is possible that the information that we make available may be deemed to be material information. We therefore encourage investors and others interested in our company to review the information that we make available on our website.</w:t>
      </w:r>
    </w:p>
    <w:p>
      <w:pPr>
        <w:spacing w:after="0" w:line="7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Summary of material risks associated with our business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principal risks and uncertainties affecting our business include the following:</w:t>
      </w:r>
    </w:p>
    <w:p>
      <w:pPr>
        <w:spacing w:after="0" w:line="117" w:lineRule="exact"/>
        <w:rPr>
          <w:sz w:val="20"/>
          <w:szCs w:val="20"/>
          <w:color w:val="auto"/>
        </w:rPr>
      </w:pPr>
    </w:p>
    <w:p>
      <w:pPr>
        <w:ind w:left="1020" w:right="280" w:hanging="503"/>
        <w:spacing w:after="0" w:line="266"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clinical-stage biotechnology company with a limited operating history and no products approved for commercial sale. We have incurred significant losses since inception. We expect to incur losses for at least the next several years and may never achieve or maintain profitability for a full fiscal year, which, together with our limited operating history, makes it difficult to assess our future viability.</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never generated revenue from product sales and may never be profitable for a full fiscal year.</w:t>
      </w:r>
    </w:p>
    <w:p>
      <w:pPr>
        <w:spacing w:after="0" w:line="117" w:lineRule="exact"/>
        <w:rPr>
          <w:rFonts w:ascii="Times New Roman" w:cs="Times New Roman" w:eastAsia="Times New Roman" w:hAnsi="Times New Roman"/>
          <w:sz w:val="18"/>
          <w:szCs w:val="18"/>
          <w:color w:val="auto"/>
        </w:rPr>
      </w:pPr>
    </w:p>
    <w:p>
      <w:pPr>
        <w:jc w:val="both"/>
        <w:ind w:left="1020" w:right="140" w:hanging="503"/>
        <w:spacing w:after="0" w:line="266"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financing to achieve our goals, which may not be available on acceptable terms, or at all. A failure to obtain this necessary capital when needed could force us to delay, limit, reduce or terminate our product development or commercialization efforts, and our ability to continue as a going concern.</w:t>
      </w:r>
    </w:p>
    <w:p>
      <w:pPr>
        <w:spacing w:after="0" w:line="67" w:lineRule="exact"/>
        <w:rPr>
          <w:rFonts w:ascii="Times New Roman" w:cs="Times New Roman" w:eastAsia="Times New Roman" w:hAnsi="Times New Roman"/>
          <w:sz w:val="18"/>
          <w:szCs w:val="18"/>
          <w:color w:val="auto"/>
        </w:rPr>
      </w:pPr>
    </w:p>
    <w:p>
      <w:pPr>
        <w:ind w:left="1020" w:right="180" w:hanging="503"/>
        <w:spacing w:after="0" w:line="261"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 early or mid-stages of our development efforts, and our business is dependent on the successful development of our current and future drug candidates. If we are unable to advance our current or future drug candidates through clinical trials, obtain marketing approval and ultimately commercialize any drug candidates we develop, or experience significant delays in doing so, our business will be materially harmed.</w:t>
      </w:r>
    </w:p>
    <w:p>
      <w:pPr>
        <w:spacing w:after="0" w:line="71" w:lineRule="exact"/>
        <w:rPr>
          <w:rFonts w:ascii="Times New Roman" w:cs="Times New Roman" w:eastAsia="Times New Roman" w:hAnsi="Times New Roman"/>
          <w:sz w:val="18"/>
          <w:szCs w:val="18"/>
          <w:color w:val="auto"/>
        </w:rPr>
      </w:pPr>
    </w:p>
    <w:p>
      <w:pPr>
        <w:jc w:val="both"/>
        <w:ind w:left="1020" w:right="240" w:hanging="503"/>
        <w:spacing w:after="0" w:line="266"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or future drug candidates may cause undesirable side effects or have other properties when used alone or in combination with other approved products or investigational new drugs that could delay or halt their clinical development, prevent their marketing approval, limit their commercial potential or result in significant negative consequences.</w:t>
      </w:r>
    </w:p>
    <w:p>
      <w:pPr>
        <w:spacing w:after="0" w:line="67"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collaborations with third parties for the development of certain of our potential drug candidates, and we may depend on additional collaborations in the future for the development and commercialization of these or other potential candidates. If our collaborations are not successful, we may not be able to capitalize on the market potential of these drug candidates.</w:t>
      </w:r>
    </w:p>
    <w:p>
      <w:pPr>
        <w:spacing w:after="0" w:line="6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develop our current drug candidates, and expect to develop other future drug candidates, in combination with other therapies, which exposes us to additional risks.</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and if our competitors develop and market products that are more effective, safer or less expensive than the drug candidates we develop, our commercial opportunities will be negatively impacted.</w:t>
      </w:r>
    </w:p>
    <w:p>
      <w:pPr>
        <w:spacing w:after="0" w:line="53" w:lineRule="exact"/>
        <w:rPr>
          <w:rFonts w:ascii="Times New Roman" w:cs="Times New Roman" w:eastAsia="Times New Roman" w:hAnsi="Times New Roman"/>
          <w:sz w:val="18"/>
          <w:szCs w:val="18"/>
          <w:color w:val="auto"/>
        </w:rPr>
      </w:pPr>
    </w:p>
    <w:p>
      <w:pPr>
        <w:jc w:val="both"/>
        <w:ind w:left="1020" w:right="120" w:hanging="503"/>
        <w:spacing w:after="0" w:line="266"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and our collaborators are unable to obtain, maintain, protect and enforce sufficient patent and other intellectual property protection for our drug candidates and technology, our competitors could develop and commercialize products and technology similar or identical to ours, and we may not be able to compete effectively in our market or successfully commercialize any drug candidates we may develop.</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initiate legal proceedings alleging that we are infringing, misappropriating or otherwise violating their intellectual property rights, the outcome of which would be uncertain and could negatively impact the success of our business.</w:t>
      </w:r>
    </w:p>
    <w:p>
      <w:pPr>
        <w:spacing w:after="0" w:line="53"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entered into licensing and collaboration agreements with third parties, and the U.S. government has rights related to certain of our intellectual property. If we fail to comply with our obligations in the agreements under which we license intellectual property rights to or from third parties, or these agreements are terminated, or we otherwise experience disruptions to our business relationships with our licensors or licensees, or we fail to meet our obligations to the government, our competitive position, business, financial condition, results of operations and prospects could be harmed.</w:t>
      </w:r>
    </w:p>
    <w:p>
      <w:pPr>
        <w:spacing w:after="0" w:line="7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our key personnel, and if we are not successful in attracting, motivating and retaining highly qualified personnel, we may not be able to successfully implement our business strategy.</w:t>
      </w:r>
    </w:p>
    <w:p>
      <w:pPr>
        <w:spacing w:after="0" w:line="54"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summary risk factors described above should be read together with the text of the full risk factors below in the section entitled “Risk Factors” and the other information set forth in this Quarterly Report on Form 10-Q, including our consolidated financial statements and the related notes, as well as in other documents that we file with the SEC. The risks summarized above or described in</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 w:name="page4"/>
    <w:bookmarkEnd w:id="3"/>
    <w:p>
      <w:pPr>
        <w:spacing w:after="0" w:line="282" w:lineRule="auto"/>
        <w:rPr>
          <w:sz w:val="20"/>
          <w:szCs w:val="20"/>
          <w:color w:val="auto"/>
        </w:rPr>
      </w:pPr>
      <w:r>
        <w:rPr>
          <w:rFonts w:ascii="Times New Roman" w:cs="Times New Roman" w:eastAsia="Times New Roman" w:hAnsi="Times New Roman"/>
          <w:sz w:val="18"/>
          <w:szCs w:val="18"/>
          <w:color w:val="auto"/>
        </w:rPr>
        <w:t>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spacing w:after="0" w:line="27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93" w:right="47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8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6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r>
              <w:rPr>
                <w:rFonts w:ascii="Times New Roman" w:cs="Times New Roman" w:eastAsia="Times New Roman" w:hAnsi="Times New Roman"/>
                <w:sz w:val="18"/>
                <w:szCs w:val="18"/>
                <w:color w:val="auto"/>
              </w:rPr>
              <w:t>.</w:t>
            </w:r>
          </w:p>
        </w:tc>
        <w:tc>
          <w:tcPr>
            <w:tcW w:w="22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FINANCIAL INFORMATION</w:t>
            </w:r>
          </w:p>
        </w:tc>
        <w:tc>
          <w:tcPr>
            <w:tcW w:w="20" w:type="dxa"/>
            <w:vAlign w:val="bottom"/>
            <w:tcBorders>
              <w:bottom w:val="single" w:sz="8" w:color="0000EE"/>
            </w:tcBorders>
          </w:tcPr>
          <w:p>
            <w:pPr>
              <w:spacing w:after="0"/>
              <w:rPr>
                <w:sz w:val="23"/>
                <w:szCs w:val="23"/>
                <w:color w:val="auto"/>
              </w:rPr>
            </w:pPr>
          </w:p>
        </w:tc>
        <w:tc>
          <w:tcPr>
            <w:tcW w:w="5720" w:type="dxa"/>
            <w:vAlign w:val="bottom"/>
            <w:gridSpan w:val="10"/>
          </w:tcPr>
          <w:p>
            <w:pPr>
              <w:spacing w:after="0"/>
              <w:rPr>
                <w:sz w:val="23"/>
                <w:szCs w:val="23"/>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30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8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640" w:type="dxa"/>
            <w:vAlign w:val="bottom"/>
            <w:tcBorders>
              <w:right w:val="single" w:sz="8" w:color="0000EE"/>
            </w:tcBorders>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Loss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440" w:type="dxa"/>
            <w:vAlign w:val="bottom"/>
            <w:tcBorders>
              <w:right w:val="single" w:sz="8" w:color="0000FF"/>
            </w:tcBorders>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Stockholders’ Equity (Deficit)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440" w:type="dxa"/>
            <w:vAlign w:val="bottom"/>
            <w:tcBorders>
              <w:right w:val="single" w:sz="8" w:color="0000FF"/>
            </w:tcBorders>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440" w:type="dxa"/>
            <w:vAlign w:val="bottom"/>
            <w:tcBorders>
              <w:right w:val="single" w:sz="8" w:color="0000EE"/>
            </w:tcBorders>
            <w:gridSpan w:val="3"/>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8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120" w:type="dxa"/>
            <w:vAlign w:val="bottom"/>
            <w:tcBorders>
              <w:left w:val="single" w:sz="8" w:color="0000FF"/>
            </w:tcBorders>
            <w:gridSpan w:val="4"/>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8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3680" w:type="dxa"/>
            <w:vAlign w:val="bottom"/>
            <w:tcBorders>
              <w:left w:val="single" w:sz="8" w:color="0000FF"/>
            </w:tcBorders>
            <w:gridSpan w:val="5"/>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8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680" w:type="dxa"/>
            <w:vAlign w:val="bottom"/>
            <w:gridSpan w:val="5"/>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gridSpan w:val="2"/>
            <w:vMerge w:val="continue"/>
          </w:tcPr>
          <w:p>
            <w:pPr>
              <w:spacing w:after="0"/>
              <w:rPr>
                <w:sz w:val="24"/>
                <w:szCs w:val="24"/>
                <w:color w:val="auto"/>
              </w:rPr>
            </w:pPr>
          </w:p>
        </w:tc>
        <w:tc>
          <w:tcPr>
            <w:tcW w:w="8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30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9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120" w:type="dxa"/>
            <w:vAlign w:val="bottom"/>
            <w:gridSpan w:val="12"/>
          </w:tcPr>
          <w:p>
            <w:pPr>
              <w:spacing w:after="0"/>
              <w:rPr>
                <w:sz w:val="24"/>
                <w:szCs w:val="24"/>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5"/>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680" w:type="dxa"/>
            <w:vAlign w:val="bottom"/>
            <w:gridSpan w:val="5"/>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8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680" w:type="dxa"/>
            <w:vAlign w:val="bottom"/>
            <w:gridSpan w:val="5"/>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8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3680" w:type="dxa"/>
            <w:vAlign w:val="bottom"/>
            <w:gridSpan w:val="5"/>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8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5700" w:type="dxa"/>
            <w:vAlign w:val="bottom"/>
            <w:gridSpan w:val="9"/>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8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240" w:type="dxa"/>
            <w:vAlign w:val="bottom"/>
            <w:gridSpan w:val="13"/>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8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700" w:type="dxa"/>
            <w:vAlign w:val="bottom"/>
            <w:gridSpan w:val="14"/>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8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Exhibits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31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
        </w:trPr>
        <w:tc>
          <w:tcPr>
            <w:tcW w:w="78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ALIGOS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100330</wp:posOffset>
            </wp:positionV>
            <wp:extent cx="14230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4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142"/>
        </w:trPr>
        <w:tc>
          <w:tcPr>
            <w:tcW w:w="7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31,094</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18,303</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59,541</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4,908</w:t>
            </w:r>
          </w:p>
        </w:tc>
        <w:tc>
          <w:tcPr>
            <w:tcW w:w="100" w:type="dxa"/>
            <w:vAlign w:val="bottom"/>
          </w:tcPr>
          <w:p>
            <w:pPr>
              <w:spacing w:after="0"/>
              <w:rPr>
                <w:sz w:val="18"/>
                <w:szCs w:val="18"/>
                <w:color w:val="auto"/>
              </w:rPr>
            </w:pPr>
          </w:p>
        </w:tc>
      </w:tr>
      <w:tr>
        <w:trPr>
          <w:trHeight w:val="209"/>
        </w:trPr>
        <w:tc>
          <w:tcPr>
            <w:tcW w:w="76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34,682</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82,862</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3,089</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tcPr>
          <w:p>
            <w:pPr>
              <w:spacing w:after="0"/>
              <w:rPr>
                <w:sz w:val="18"/>
                <w:szCs w:val="18"/>
                <w:color w:val="auto"/>
              </w:rPr>
            </w:pPr>
          </w:p>
        </w:tc>
      </w:tr>
      <w:tr>
        <w:trPr>
          <w:trHeight w:val="249"/>
        </w:trPr>
        <w:tc>
          <w:tcPr>
            <w:tcW w:w="76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47,189</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88,533</w:t>
            </w:r>
          </w:p>
        </w:tc>
        <w:tc>
          <w:tcPr>
            <w:tcW w:w="100" w:type="dxa"/>
            <w:vAlign w:val="bottom"/>
            <w:shd w:val="clear" w:color="auto" w:fill="CFF0FC"/>
          </w:tcPr>
          <w:p>
            <w:pPr>
              <w:spacing w:after="0"/>
              <w:rPr>
                <w:sz w:val="21"/>
                <w:szCs w:val="21"/>
                <w:color w:val="auto"/>
              </w:rPr>
            </w:pPr>
          </w:p>
        </w:tc>
      </w:tr>
      <w:tr>
        <w:trPr>
          <w:trHeight w:val="197"/>
        </w:trPr>
        <w:tc>
          <w:tcPr>
            <w:tcW w:w="768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2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3,982</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15,146</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13,526</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3,580</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Finance lease liabilities, current</w:t>
            </w:r>
          </w:p>
        </w:tc>
        <w:tc>
          <w:tcPr>
            <w:tcW w:w="1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FF0FC"/>
          </w:tcPr>
          <w:p>
            <w:pPr>
              <w:spacing w:after="0"/>
              <w:rPr>
                <w:sz w:val="18"/>
                <w:szCs w:val="18"/>
                <w:color w:val="auto"/>
              </w:rPr>
            </w:pPr>
          </w:p>
        </w:tc>
      </w:tr>
      <w:tr>
        <w:trPr>
          <w:trHeight w:val="210"/>
        </w:trPr>
        <w:tc>
          <w:tcPr>
            <w:tcW w:w="7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21,233</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10,660</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2023 Common Warrants liability</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12,183</w:t>
            </w:r>
          </w:p>
        </w:tc>
        <w:tc>
          <w:tcPr>
            <w:tcW w:w="100" w:type="dxa"/>
            <w:vAlign w:val="bottom"/>
          </w:tcPr>
          <w:p>
            <w:pPr>
              <w:spacing w:after="0"/>
              <w:rPr>
                <w:sz w:val="18"/>
                <w:szCs w:val="18"/>
                <w:color w:val="auto"/>
              </w:rPr>
            </w:pPr>
          </w:p>
        </w:tc>
      </w:tr>
      <w:tr>
        <w:trPr>
          <w:trHeight w:val="216"/>
        </w:trPr>
        <w:tc>
          <w:tcPr>
            <w:tcW w:w="7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 term liability</w:t>
            </w:r>
          </w:p>
        </w:tc>
        <w:tc>
          <w:tcPr>
            <w:tcW w:w="1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35,883</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34,988</w:t>
            </w:r>
          </w:p>
        </w:tc>
        <w:tc>
          <w:tcPr>
            <w:tcW w:w="100" w:type="dxa"/>
            <w:vAlign w:val="bottom"/>
          </w:tcPr>
          <w:p>
            <w:pPr>
              <w:spacing w:after="0"/>
              <w:rPr>
                <w:sz w:val="18"/>
                <w:szCs w:val="18"/>
                <w:color w:val="auto"/>
              </w:rPr>
            </w:pPr>
          </w:p>
        </w:tc>
      </w:tr>
      <w:tr>
        <w:trPr>
          <w:trHeight w:val="21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680" w:type="dxa"/>
            <w:vAlign w:val="bottom"/>
            <w:shd w:val="clear" w:color="auto" w:fill="CFF0FC"/>
          </w:tcPr>
          <w:p>
            <w:pPr>
              <w:ind w:left="16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10,000,000 shares authorized as of September 30, 2026 and</w:t>
            </w: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December 31, 2025; no shares issued and outstanding as of September 30, 2026 and December 31,</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2025, respectively.</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r>
      <w:tr>
        <w:trPr>
          <w:trHeight w:val="198"/>
        </w:trPr>
        <w:tc>
          <w:tcPr>
            <w:tcW w:w="768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Common stock, $0.0001 par value; 115,800,000 shares authorized as of September 30, 2026 and</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December 31, 2025; 6,248,440 and 6,178,230 shares issued and outstanding as of September 30, 2026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December 31, 2025, respectively.</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r>
      <w:tr>
        <w:trPr>
          <w:trHeight w:val="216"/>
        </w:trPr>
        <w:tc>
          <w:tcPr>
            <w:tcW w:w="7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699,465</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695,269</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(688,605)</w:t>
            </w:r>
          </w:p>
        </w:tc>
        <w:tc>
          <w:tcPr>
            <w:tcW w:w="22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(642,201)</w:t>
            </w:r>
          </w:p>
        </w:tc>
      </w:tr>
      <w:tr>
        <w:trPr>
          <w:trHeight w:val="216"/>
        </w:trPr>
        <w:tc>
          <w:tcPr>
            <w:tcW w:w="76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11,306</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53,545</w:t>
            </w:r>
          </w:p>
        </w:tc>
        <w:tc>
          <w:tcPr>
            <w:tcW w:w="100" w:type="dxa"/>
            <w:vAlign w:val="bottom"/>
          </w:tcPr>
          <w:p>
            <w:pPr>
              <w:spacing w:after="0"/>
              <w:rPr>
                <w:sz w:val="18"/>
                <w:szCs w:val="18"/>
                <w:color w:val="auto"/>
              </w:rPr>
            </w:pPr>
          </w:p>
        </w:tc>
      </w:tr>
      <w:tr>
        <w:trPr>
          <w:trHeight w:val="230"/>
        </w:trPr>
        <w:tc>
          <w:tcPr>
            <w:tcW w:w="76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47,189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88,533</w:t>
            </w:r>
          </w:p>
        </w:tc>
        <w:tc>
          <w:tcPr>
            <w:tcW w:w="100" w:type="dxa"/>
            <w:vAlign w:val="bottom"/>
            <w:shd w:val="clear" w:color="auto" w:fill="CFF0FC"/>
          </w:tcPr>
          <w:p>
            <w:pPr>
              <w:spacing w:after="0"/>
              <w:rPr>
                <w:sz w:val="19"/>
                <w:szCs w:val="19"/>
                <w:color w:val="auto"/>
              </w:rPr>
            </w:pPr>
          </w:p>
        </w:tc>
      </w:tr>
      <w:tr>
        <w:trPr>
          <w:trHeight w:val="20"/>
        </w:trPr>
        <w:tc>
          <w:tcPr>
            <w:tcW w:w="76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-3659505</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-3642360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-3659505</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-3642360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-1979295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-1979295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-316230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-24765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-7620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100330</wp:posOffset>
            </wp:positionV>
            <wp:extent cx="14230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4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4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4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9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223"/>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from customers</w:t>
            </w: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120" w:type="dxa"/>
            <w:vAlign w:val="bottom"/>
            <w:shd w:val="clear" w:color="auto" w:fill="CFF0FC"/>
          </w:tcPr>
          <w:p>
            <w:pPr>
              <w:spacing w:after="0"/>
              <w:rPr>
                <w:sz w:val="19"/>
                <w:szCs w:val="19"/>
                <w:color w:val="auto"/>
              </w:rPr>
            </w:pPr>
          </w:p>
        </w:tc>
      </w:tr>
      <w:tr>
        <w:trPr>
          <w:trHeight w:val="229"/>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licensing agreements</w:t>
            </w: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18,892</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23,937</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66,294</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52,415</w:t>
            </w:r>
          </w:p>
        </w:tc>
        <w:tc>
          <w:tcPr>
            <w:tcW w:w="120" w:type="dxa"/>
            <w:vAlign w:val="bottom"/>
          </w:tcPr>
          <w:p>
            <w:pPr>
              <w:spacing w:after="0"/>
              <w:rPr>
                <w:sz w:val="18"/>
                <w:szCs w:val="18"/>
                <w:color w:val="auto"/>
              </w:rPr>
            </w:pPr>
          </w:p>
        </w:tc>
      </w:tr>
      <w:tr>
        <w:trPr>
          <w:trHeight w:val="216"/>
        </w:trPr>
        <w:tc>
          <w:tcPr>
            <w:tcW w:w="46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5,867</w:t>
            </w:r>
          </w:p>
        </w:tc>
        <w:tc>
          <w:tcPr>
            <w:tcW w:w="22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5,165</w:t>
            </w:r>
          </w:p>
        </w:tc>
        <w:tc>
          <w:tcPr>
            <w:tcW w:w="4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17,892</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15,773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4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24,759</w:t>
            </w:r>
          </w:p>
        </w:tc>
        <w:tc>
          <w:tcPr>
            <w:tcW w:w="2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29,102</w:t>
            </w:r>
          </w:p>
        </w:tc>
        <w:tc>
          <w:tcPr>
            <w:tcW w:w="4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84,186</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68,188</w:t>
            </w:r>
          </w:p>
        </w:tc>
        <w:tc>
          <w:tcPr>
            <w:tcW w:w="120" w:type="dxa"/>
            <w:vAlign w:val="bottom"/>
          </w:tcPr>
          <w:p>
            <w:pPr>
              <w:spacing w:after="0"/>
              <w:rPr>
                <w:sz w:val="18"/>
                <w:szCs w:val="18"/>
                <w:color w:val="auto"/>
              </w:rPr>
            </w:pPr>
          </w:p>
        </w:tc>
      </w:tr>
      <w:tr>
        <w:trPr>
          <w:trHeight w:val="209"/>
        </w:trPr>
        <w:tc>
          <w:tcPr>
            <w:tcW w:w="4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from operations</w:t>
            </w:r>
          </w:p>
        </w:tc>
        <w:tc>
          <w:tcPr>
            <w:tcW w:w="5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(21,890)</w:t>
            </w:r>
          </w:p>
        </w:tc>
        <w:tc>
          <w:tcPr>
            <w:tcW w:w="5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(28,361)</w:t>
            </w: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(50,709)</w:t>
            </w:r>
          </w:p>
        </w:tc>
        <w:tc>
          <w:tcPr>
            <w:tcW w:w="3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(66,171)</w:t>
            </w:r>
          </w:p>
        </w:tc>
      </w:tr>
      <w:tr>
        <w:trPr>
          <w:trHeight w:val="216"/>
        </w:trPr>
        <w:tc>
          <w:tcPr>
            <w:tcW w:w="4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3,172</w:t>
            </w:r>
          </w:p>
        </w:tc>
        <w:tc>
          <w:tcPr>
            <w:tcW w:w="120" w:type="dxa"/>
            <w:vAlign w:val="bottom"/>
          </w:tcPr>
          <w:p>
            <w:pPr>
              <w:spacing w:after="0"/>
              <w:rPr>
                <w:sz w:val="18"/>
                <w:szCs w:val="18"/>
                <w:color w:val="auto"/>
              </w:rPr>
            </w:pPr>
          </w:p>
        </w:tc>
      </w:tr>
      <w:tr>
        <w:trPr>
          <w:trHeight w:val="216"/>
        </w:trPr>
        <w:tc>
          <w:tcPr>
            <w:tcW w:w="4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Change in fair value of 2023 Common Warrants</w:t>
            </w:r>
          </w:p>
        </w:tc>
        <w:tc>
          <w:tcPr>
            <w:tcW w:w="5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(4,205)</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6,558</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58,971</w:t>
            </w:r>
          </w:p>
        </w:tc>
        <w:tc>
          <w:tcPr>
            <w:tcW w:w="120" w:type="dxa"/>
            <w:vAlign w:val="bottom"/>
            <w:shd w:val="clear" w:color="auto" w:fill="CFF0FC"/>
          </w:tcPr>
          <w:p>
            <w:pPr>
              <w:spacing w:after="0"/>
              <w:rPr>
                <w:sz w:val="18"/>
                <w:szCs w:val="18"/>
                <w:color w:val="auto"/>
              </w:rPr>
            </w:pPr>
          </w:p>
        </w:tc>
      </w:tr>
      <w:tr>
        <w:trPr>
          <w:trHeight w:val="20"/>
        </w:trPr>
        <w:tc>
          <w:tcPr>
            <w:tcW w:w="468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4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before income tax</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(21,534)</w:t>
            </w:r>
          </w:p>
        </w:tc>
        <w:tc>
          <w:tcPr>
            <w:tcW w:w="54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(31,481)</w:t>
            </w:r>
          </w:p>
        </w:tc>
        <w:tc>
          <w:tcPr>
            <w:tcW w:w="2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(42,950)</w:t>
            </w:r>
          </w:p>
        </w:tc>
        <w:tc>
          <w:tcPr>
            <w:tcW w:w="3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(4,028)</w:t>
            </w: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5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(326)</w:t>
            </w:r>
          </w:p>
        </w:tc>
        <w:tc>
          <w:tcPr>
            <w:tcW w:w="5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(3,454)</w:t>
            </w:r>
          </w:p>
        </w:tc>
        <w:tc>
          <w:tcPr>
            <w:tcW w:w="3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(284)</w:t>
            </w:r>
          </w:p>
        </w:tc>
      </w:tr>
      <w:tr>
        <w:trPr>
          <w:trHeight w:val="20"/>
        </w:trPr>
        <w:tc>
          <w:tcPr>
            <w:tcW w:w="468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4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(21,860)</w:t>
            </w:r>
          </w:p>
        </w:tc>
        <w:tc>
          <w:tcPr>
            <w:tcW w:w="54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(31,537)</w:t>
            </w:r>
          </w:p>
        </w:tc>
        <w:tc>
          <w:tcPr>
            <w:tcW w:w="2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(46,404)</w:t>
            </w:r>
          </w:p>
        </w:tc>
        <w:tc>
          <w:tcPr>
            <w:tcW w:w="3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(4,312)</w:t>
            </w:r>
          </w:p>
        </w:tc>
      </w:tr>
      <w:tr>
        <w:trPr>
          <w:trHeight w:val="209"/>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52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Unrealized income (loss) on available-for-sale securities</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r>
      <w:tr>
        <w:trPr>
          <w:trHeight w:val="210"/>
        </w:trPr>
        <w:tc>
          <w:tcPr>
            <w:tcW w:w="46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52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54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2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9"/>
        </w:trPr>
        <w:tc>
          <w:tcPr>
            <w:tcW w:w="4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Comprehensive loss</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(21,860)</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(31,502)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(46,435)</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(4,308)</w:t>
            </w:r>
          </w:p>
        </w:tc>
      </w:tr>
      <w:tr>
        <w:trPr>
          <w:trHeight w:val="20"/>
        </w:trPr>
        <w:tc>
          <w:tcPr>
            <w:tcW w:w="4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46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basic</w:t>
            </w:r>
          </w:p>
        </w:tc>
        <w:tc>
          <w:tcPr>
            <w:tcW w:w="860" w:type="dxa"/>
            <w:vAlign w:val="bottom"/>
            <w:gridSpan w:val="2"/>
            <w:shd w:val="clear" w:color="auto" w:fill="CFF0FC"/>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(2.09)</w:t>
            </w:r>
          </w:p>
        </w:tc>
        <w:tc>
          <w:tcPr>
            <w:tcW w:w="540" w:type="dxa"/>
            <w:vAlign w:val="bottom"/>
            <w:shd w:val="clear" w:color="auto" w:fill="CFF0FC"/>
          </w:tcPr>
          <w:p>
            <w:pPr>
              <w:jc w:val="right"/>
              <w:ind w:right="3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360"/>
              <w:spacing w:after="0" w:line="196" w:lineRule="exact"/>
              <w:rPr>
                <w:sz w:val="20"/>
                <w:szCs w:val="20"/>
                <w:color w:val="auto"/>
              </w:rPr>
            </w:pPr>
            <w:r>
              <w:rPr>
                <w:rFonts w:ascii="Times New Roman" w:cs="Times New Roman" w:eastAsia="Times New Roman" w:hAnsi="Times New Roman"/>
                <w:sz w:val="18"/>
                <w:szCs w:val="18"/>
                <w:color w:val="auto"/>
              </w:rPr>
              <w:t>(3.04)</w:t>
            </w:r>
          </w:p>
        </w:tc>
        <w:tc>
          <w:tcPr>
            <w:tcW w:w="200" w:type="dxa"/>
            <w:vAlign w:val="bottom"/>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(4.45)</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(0.44)</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diluted</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(2.09)</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(3.04)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(4.45)</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(0.44)</w:t>
            </w: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shares of common stock, basic</w:t>
            </w:r>
          </w:p>
        </w:tc>
        <w:tc>
          <w:tcPr>
            <w:tcW w:w="5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10,461,954</w:t>
            </w: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10,369,535</w:t>
            </w: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10,432,125</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9,716,895</w:t>
            </w:r>
          </w:p>
        </w:tc>
        <w:tc>
          <w:tcPr>
            <w:tcW w:w="120" w:type="dxa"/>
            <w:vAlign w:val="bottom"/>
            <w:shd w:val="clear" w:color="auto" w:fill="CFF0FC"/>
          </w:tcPr>
          <w:p>
            <w:pPr>
              <w:spacing w:after="0"/>
              <w:rPr>
                <w:sz w:val="18"/>
                <w:szCs w:val="18"/>
                <w:color w:val="auto"/>
              </w:rPr>
            </w:pPr>
          </w:p>
        </w:tc>
      </w:tr>
      <w:tr>
        <w:trPr>
          <w:trHeight w:val="234"/>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of common stock, diluted</w:t>
            </w: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10,461,954</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10,369,535</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10,432,125</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9,716,895</w:t>
            </w:r>
          </w:p>
        </w:tc>
        <w:tc>
          <w:tcPr>
            <w:tcW w:w="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-2153920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-2153920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-2153920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-2153920</wp:posOffset>
            </wp:positionV>
            <wp:extent cx="77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-1588135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-1588135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-1588135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-1588135</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-1305560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-1305560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-1305560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-1305560</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4210050</wp:posOffset>
            </wp:positionH>
            <wp:positionV relativeFrom="paragraph">
              <wp:posOffset>-889635</wp:posOffset>
            </wp:positionV>
            <wp:extent cx="93980" cy="1797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5247005</wp:posOffset>
            </wp:positionH>
            <wp:positionV relativeFrom="paragraph">
              <wp:posOffset>-889635</wp:posOffset>
            </wp:positionV>
            <wp:extent cx="93980" cy="1797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-889635</wp:posOffset>
            </wp:positionV>
            <wp:extent cx="102870" cy="1797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2870" cy="179705"/>
                    </a:xfrm>
                    <a:prstGeom prst="rect">
                      <a:avLst/>
                    </a:prstGeom>
                    <a:noFill/>
                  </pic:spPr>
                </pic:pic>
              </a:graphicData>
            </a:graphic>
          </wp:anchor>
        </w:drawing>
      </w:r>
    </w:p>
    <w:p>
      <w:pPr>
        <w:spacing w:after="0" w:line="24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(DEFICIT)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in thousands, except share and per share data)</w:t>
      </w:r>
    </w:p>
    <w:tbl>
      <w:tblPr>
        <w:tblLayout w:type="fixed"/>
        <w:tblInd w:w="0" w:type="dxa"/>
        <w:tblCellMar>
          <w:top w:w="0" w:type="dxa"/>
          <w:left w:w="0" w:type="dxa"/>
          <w:bottom w:w="0" w:type="dxa"/>
          <w:right w:w="0" w:type="dxa"/>
        </w:tblCellMar>
      </w:tblPr>
      <w:tr>
        <w:trPr>
          <w:trHeight w:val="151"/>
        </w:trPr>
        <w:tc>
          <w:tcPr>
            <w:tcW w:w="3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center"/>
              <w:ind w:right="240"/>
              <w:spacing w:after="0" w:line="15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2360" w:type="dxa"/>
            <w:vAlign w:val="bottom"/>
            <w:gridSpan w:val="3"/>
            <w:vMerge w:val="restart"/>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080" w:type="dxa"/>
            <w:vAlign w:val="bottom"/>
          </w:tcPr>
          <w:p>
            <w:pPr>
              <w:spacing w:after="0"/>
              <w:rPr>
                <w:sz w:val="13"/>
                <w:szCs w:val="13"/>
                <w:color w:val="auto"/>
              </w:rPr>
            </w:pPr>
          </w:p>
        </w:tc>
        <w:tc>
          <w:tcPr>
            <w:tcW w:w="2360" w:type="dxa"/>
            <w:vAlign w:val="bottom"/>
            <w:tcBorders>
              <w:bottom w:val="single" w:sz="8" w:color="auto"/>
            </w:tcBorders>
            <w:gridSpan w:val="3"/>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ind w:right="288"/>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1200" w:type="dxa"/>
            <w:vAlign w:val="bottom"/>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2"/>
                <w:szCs w:val="12"/>
                <w:color w:val="auto"/>
              </w:rPr>
            </w:pPr>
          </w:p>
        </w:tc>
        <w:tc>
          <w:tcPr>
            <w:tcW w:w="96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52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Income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Balance as of December 31, 2025</w:t>
            </w: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6,178,230</w:t>
            </w:r>
          </w:p>
        </w:tc>
        <w:tc>
          <w:tcPr>
            <w:tcW w:w="1160" w:type="dxa"/>
            <w:vAlign w:val="bottom"/>
            <w:gridSpan w:val="2"/>
            <w:shd w:val="clear" w:color="auto" w:fill="CFF0FC"/>
          </w:tcPr>
          <w:p>
            <w:pPr>
              <w:jc w:val="right"/>
              <w:ind w:right="8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3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695,269</w:t>
            </w:r>
          </w:p>
        </w:tc>
        <w:tc>
          <w:tcPr>
            <w:tcW w:w="3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(642,201)</w:t>
            </w:r>
          </w:p>
        </w:tc>
        <w:tc>
          <w:tcPr>
            <w:tcW w:w="1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468</w:t>
            </w:r>
          </w:p>
        </w:tc>
        <w:tc>
          <w:tcPr>
            <w:tcW w:w="140" w:type="dxa"/>
            <w:vAlign w:val="bottom"/>
            <w:shd w:val="clear" w:color="auto" w:fill="CFF0FC"/>
          </w:tcPr>
          <w:p>
            <w:pPr>
              <w:spacing w:after="0"/>
              <w:rPr>
                <w:sz w:val="12"/>
                <w:szCs w:val="12"/>
                <w:color w:val="auto"/>
              </w:rPr>
            </w:pPr>
          </w:p>
        </w:tc>
        <w:tc>
          <w:tcPr>
            <w:tcW w:w="18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53,545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0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related</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9,956</w:t>
            </w: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 RSU vesting</w:t>
            </w:r>
          </w:p>
        </w:tc>
        <w:tc>
          <w:tcPr>
            <w:tcW w:w="12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08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Stock-based compensation expense related to</w:t>
            </w: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1,225</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1,225</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employee stock awards</w:t>
            </w:r>
          </w:p>
        </w:tc>
        <w:tc>
          <w:tcPr>
            <w:tcW w:w="120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0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Stock-based compensation expense related to</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employee stock purchases</w:t>
            </w:r>
          </w:p>
        </w:tc>
        <w:tc>
          <w:tcPr>
            <w:tcW w:w="12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loss</w:t>
            </w: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48"/>
        </w:trPr>
        <w:tc>
          <w:tcPr>
            <w:tcW w:w="3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(23,040)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(23,040)</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0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as of March 31, 2026</w:t>
            </w:r>
          </w:p>
        </w:tc>
        <w:tc>
          <w:tcPr>
            <w:tcW w:w="12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6,188,186</w:t>
            </w:r>
          </w:p>
        </w:tc>
        <w:tc>
          <w:tcPr>
            <w:tcW w:w="20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8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w:t>
            </w:r>
          </w:p>
        </w:tc>
        <w:tc>
          <w:tcPr>
            <w:tcW w:w="3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696,583</w:t>
            </w:r>
          </w:p>
        </w:tc>
        <w:tc>
          <w:tcPr>
            <w:tcW w:w="3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(665,241)</w:t>
            </w:r>
          </w:p>
        </w:tc>
        <w:tc>
          <w:tcPr>
            <w:tcW w:w="1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438</w:t>
            </w:r>
          </w:p>
        </w:tc>
        <w:tc>
          <w:tcPr>
            <w:tcW w:w="140" w:type="dxa"/>
            <w:vAlign w:val="bottom"/>
            <w:shd w:val="clear" w:color="auto" w:fill="CFF0FC"/>
          </w:tcPr>
          <w:p>
            <w:pPr>
              <w:spacing w:after="0"/>
              <w:rPr>
                <w:sz w:val="12"/>
                <w:szCs w:val="12"/>
                <w:color w:val="auto"/>
              </w:rPr>
            </w:pPr>
          </w:p>
        </w:tc>
        <w:tc>
          <w:tcPr>
            <w:tcW w:w="18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31,789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080" w:type="dxa"/>
            <w:vAlign w:val="bottom"/>
            <w:tcBorders>
              <w:top w:val="single" w:sz="8" w:color="CFF0FC"/>
            </w:tcBorders>
          </w:tcPr>
          <w:p>
            <w:pPr>
              <w:spacing w:after="0" w:line="119" w:lineRule="exact"/>
              <w:rPr>
                <w:sz w:val="20"/>
                <w:szCs w:val="20"/>
                <w:color w:val="auto"/>
              </w:rPr>
            </w:pPr>
            <w:r>
              <w:rPr>
                <w:rFonts w:ascii="Times New Roman" w:cs="Times New Roman" w:eastAsia="Times New Roman" w:hAnsi="Times New Roman"/>
                <w:sz w:val="13"/>
                <w:szCs w:val="13"/>
                <w:color w:val="auto"/>
              </w:rPr>
              <w:t>Issuance of common stock related</w:t>
            </w: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48,605</w:t>
            </w:r>
          </w:p>
        </w:tc>
        <w:tc>
          <w:tcPr>
            <w:tcW w:w="200" w:type="dxa"/>
            <w:vAlign w:val="bottom"/>
            <w:tcBorders>
              <w:top w:val="single" w:sz="8" w:color="CFF0FC"/>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2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FF0FC"/>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FF0FC"/>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12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 ESPP purchases</w:t>
            </w:r>
          </w:p>
        </w:tc>
        <w:tc>
          <w:tcPr>
            <w:tcW w:w="12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08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related</w:t>
            </w: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2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to RSU vesting</w:t>
            </w:r>
          </w:p>
        </w:tc>
        <w:tc>
          <w:tcPr>
            <w:tcW w:w="120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0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Stock-based compensation expense related to</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1,229</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1,229</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employee stock awards</w:t>
            </w:r>
          </w:p>
        </w:tc>
        <w:tc>
          <w:tcPr>
            <w:tcW w:w="12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08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Stock-based compensation expense related to</w:t>
            </w: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employee stock purchases</w:t>
            </w:r>
          </w:p>
        </w:tc>
        <w:tc>
          <w:tcPr>
            <w:tcW w:w="120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loss</w:t>
            </w: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30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(1,504)</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(1,504)</w:t>
            </w:r>
          </w:p>
        </w:tc>
        <w:tc>
          <w:tcPr>
            <w:tcW w:w="0" w:type="dxa"/>
            <w:vAlign w:val="bottom"/>
          </w:tcPr>
          <w:p>
            <w:pPr>
              <w:spacing w:after="0"/>
              <w:rPr>
                <w:sz w:val="1"/>
                <w:szCs w:val="1"/>
                <w:color w:val="auto"/>
              </w:rPr>
            </w:pPr>
          </w:p>
        </w:tc>
      </w:tr>
      <w:tr>
        <w:trPr>
          <w:trHeight w:val="20"/>
        </w:trPr>
        <w:tc>
          <w:tcPr>
            <w:tcW w:w="308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0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as of June 30, 2026</w:t>
            </w:r>
          </w:p>
        </w:tc>
        <w:tc>
          <w:tcPr>
            <w:tcW w:w="12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6,236,828</w:t>
            </w:r>
          </w:p>
        </w:tc>
        <w:tc>
          <w:tcPr>
            <w:tcW w:w="200" w:type="dxa"/>
            <w:vAlign w:val="bottom"/>
          </w:tcPr>
          <w:p>
            <w:pPr>
              <w:spacing w:after="0"/>
              <w:rPr>
                <w:sz w:val="12"/>
                <w:szCs w:val="12"/>
                <w:color w:val="auto"/>
              </w:rPr>
            </w:pPr>
          </w:p>
        </w:tc>
        <w:tc>
          <w:tcPr>
            <w:tcW w:w="960" w:type="dxa"/>
            <w:vAlign w:val="bottom"/>
          </w:tcPr>
          <w:p>
            <w:pPr>
              <w:jc w:val="right"/>
              <w:ind w:right="8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w:t>
            </w:r>
          </w:p>
        </w:tc>
        <w:tc>
          <w:tcPr>
            <w:tcW w:w="36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698,183</w:t>
            </w:r>
          </w:p>
        </w:tc>
        <w:tc>
          <w:tcPr>
            <w:tcW w:w="3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(666,745)</w:t>
            </w:r>
          </w:p>
        </w:tc>
        <w:tc>
          <w:tcPr>
            <w:tcW w:w="1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437</w:t>
            </w:r>
          </w:p>
        </w:tc>
        <w:tc>
          <w:tcPr>
            <w:tcW w:w="140" w:type="dxa"/>
            <w:vAlign w:val="bottom"/>
          </w:tcPr>
          <w:p>
            <w:pPr>
              <w:spacing w:after="0"/>
              <w:rPr>
                <w:sz w:val="12"/>
                <w:szCs w:val="12"/>
                <w:color w:val="auto"/>
              </w:rPr>
            </w:pPr>
          </w:p>
        </w:tc>
        <w:tc>
          <w:tcPr>
            <w:tcW w:w="18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31,884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08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3"/>
                <w:szCs w:val="13"/>
                <w:color w:val="auto"/>
              </w:rPr>
              <w:t>Issuance of common stock related</w:t>
            </w:r>
          </w:p>
        </w:tc>
        <w:tc>
          <w:tcPr>
            <w:tcW w:w="12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11,612</w:t>
            </w:r>
          </w:p>
        </w:tc>
        <w:tc>
          <w:tcPr>
            <w:tcW w:w="200" w:type="dxa"/>
            <w:vAlign w:val="bottom"/>
            <w:shd w:val="clear" w:color="auto" w:fill="CFF0FC"/>
          </w:tcPr>
          <w:p>
            <w:pPr>
              <w:spacing w:after="0"/>
              <w:rPr>
                <w:sz w:val="10"/>
                <w:szCs w:val="10"/>
                <w:color w:val="auto"/>
              </w:rPr>
            </w:pPr>
          </w:p>
        </w:tc>
        <w:tc>
          <w:tcPr>
            <w:tcW w:w="96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10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10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10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10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to RSU vesting</w:t>
            </w:r>
          </w:p>
        </w:tc>
        <w:tc>
          <w:tcPr>
            <w:tcW w:w="120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0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Stock-based compensation expense related to</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1,174</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1,174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employee stock awards</w:t>
            </w:r>
          </w:p>
        </w:tc>
        <w:tc>
          <w:tcPr>
            <w:tcW w:w="12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08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Stock-based compensation expense related to</w:t>
            </w: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employee stock purchases</w:t>
            </w:r>
          </w:p>
        </w:tc>
        <w:tc>
          <w:tcPr>
            <w:tcW w:w="120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(21,860)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(21,860)</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0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as of September 30, 2026</w:t>
            </w:r>
          </w:p>
        </w:tc>
        <w:tc>
          <w:tcPr>
            <w:tcW w:w="12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6,248,440</w:t>
            </w:r>
          </w:p>
        </w:tc>
        <w:tc>
          <w:tcPr>
            <w:tcW w:w="20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8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w:t>
            </w:r>
          </w:p>
        </w:tc>
        <w:tc>
          <w:tcPr>
            <w:tcW w:w="3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699,465</w:t>
            </w:r>
          </w:p>
        </w:tc>
        <w:tc>
          <w:tcPr>
            <w:tcW w:w="3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(688,605)</w:t>
            </w:r>
          </w:p>
        </w:tc>
        <w:tc>
          <w:tcPr>
            <w:tcW w:w="1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437</w:t>
            </w:r>
          </w:p>
        </w:tc>
        <w:tc>
          <w:tcPr>
            <w:tcW w:w="14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11,306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-1851025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-1851025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-1851025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-1851025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-1851025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-1851025</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-899160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-899160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-899160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-899160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-899160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-899160</wp:posOffset>
            </wp:positionV>
            <wp:extent cx="77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-24765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-7620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-24765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-7620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-24765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-7620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-24765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-7620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-24765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8" w:name="page9"/>
    <w:bookmarkEnd w:id="8"/>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(DEFICIT)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in thousands, except share and per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060" w:type="dxa"/>
            <w:vAlign w:val="bottom"/>
          </w:tcPr>
          <w:p>
            <w:pPr>
              <w:spacing w:after="0"/>
              <w:rPr>
                <w:sz w:val="12"/>
                <w:szCs w:val="12"/>
                <w:color w:val="auto"/>
              </w:rPr>
            </w:pPr>
          </w:p>
        </w:tc>
        <w:tc>
          <w:tcPr>
            <w:tcW w:w="2360" w:type="dxa"/>
            <w:vAlign w:val="bottom"/>
            <w:gridSpan w:val="3"/>
            <w:vMerge w:val="restart"/>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060" w:type="dxa"/>
            <w:vAlign w:val="bottom"/>
          </w:tcPr>
          <w:p>
            <w:pPr>
              <w:spacing w:after="0"/>
              <w:rPr>
                <w:sz w:val="13"/>
                <w:szCs w:val="13"/>
                <w:color w:val="auto"/>
              </w:rPr>
            </w:pPr>
          </w:p>
        </w:tc>
        <w:tc>
          <w:tcPr>
            <w:tcW w:w="2360" w:type="dxa"/>
            <w:vAlign w:val="bottom"/>
            <w:tcBorders>
              <w:bottom w:val="single" w:sz="8" w:color="auto"/>
            </w:tcBorders>
            <w:gridSpan w:val="3"/>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3"/>
                <w:szCs w:val="13"/>
                <w:color w:val="auto"/>
              </w:rPr>
            </w:pPr>
          </w:p>
        </w:tc>
        <w:tc>
          <w:tcPr>
            <w:tcW w:w="120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060" w:type="dxa"/>
            <w:vAlign w:val="bottom"/>
          </w:tcPr>
          <w:p>
            <w:pPr>
              <w:spacing w:after="0"/>
              <w:rPr>
                <w:sz w:val="12"/>
                <w:szCs w:val="12"/>
                <w:color w:val="auto"/>
              </w:rPr>
            </w:pPr>
          </w:p>
        </w:tc>
        <w:tc>
          <w:tcPr>
            <w:tcW w:w="1200" w:type="dxa"/>
            <w:vAlign w:val="bottom"/>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94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58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2"/>
                <w:szCs w:val="12"/>
                <w:color w:val="auto"/>
              </w:rPr>
            </w:pPr>
          </w:p>
        </w:tc>
        <w:tc>
          <w:tcPr>
            <w:tcW w:w="128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Income</w:t>
            </w:r>
          </w:p>
        </w:tc>
        <w:tc>
          <w:tcPr>
            <w:tcW w:w="100" w:type="dxa"/>
            <w:vAlign w:val="bottom"/>
          </w:tcPr>
          <w:p>
            <w:pPr>
              <w:spacing w:after="0"/>
              <w:rPr>
                <w:sz w:val="12"/>
                <w:szCs w:val="12"/>
                <w:color w:val="auto"/>
              </w:rPr>
            </w:pPr>
          </w:p>
        </w:tc>
        <w:tc>
          <w:tcPr>
            <w:tcW w:w="120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Equity (Deficit)</w:t>
            </w:r>
          </w:p>
        </w:tc>
        <w:tc>
          <w:tcPr>
            <w:tcW w:w="0" w:type="dxa"/>
            <w:vAlign w:val="bottom"/>
          </w:tcPr>
          <w:p>
            <w:pPr>
              <w:spacing w:after="0"/>
              <w:rPr>
                <w:sz w:val="1"/>
                <w:szCs w:val="1"/>
                <w:color w:val="auto"/>
              </w:rPr>
            </w:pPr>
          </w:p>
        </w:tc>
      </w:tr>
      <w:tr>
        <w:trPr>
          <w:trHeight w:val="142"/>
        </w:trPr>
        <w:tc>
          <w:tcPr>
            <w:tcW w:w="306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Balance as of December 31, 2024</w:t>
            </w: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3,864,436</w:t>
            </w:r>
          </w:p>
        </w:tc>
        <w:tc>
          <w:tcPr>
            <w:tcW w:w="1160" w:type="dxa"/>
            <w:vAlign w:val="bottom"/>
            <w:gridSpan w:val="2"/>
            <w:shd w:val="clear" w:color="auto" w:fill="CFF0FC"/>
          </w:tcPr>
          <w:p>
            <w:pPr>
              <w:jc w:val="right"/>
              <w:ind w:right="8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3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588,576</w:t>
            </w:r>
          </w:p>
        </w:tc>
        <w:tc>
          <w:tcPr>
            <w:tcW w:w="14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(618,008)</w:t>
            </w:r>
          </w:p>
        </w:tc>
        <w:tc>
          <w:tcPr>
            <w:tcW w:w="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451</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(28,973)</w:t>
            </w:r>
          </w:p>
        </w:tc>
        <w:tc>
          <w:tcPr>
            <w:tcW w:w="0" w:type="dxa"/>
            <w:vAlign w:val="bottom"/>
          </w:tcPr>
          <w:p>
            <w:pPr>
              <w:spacing w:after="0"/>
              <w:rPr>
                <w:sz w:val="1"/>
                <w:szCs w:val="1"/>
                <w:color w:val="auto"/>
              </w:rPr>
            </w:pPr>
          </w:p>
        </w:tc>
      </w:tr>
      <w:tr>
        <w:trPr>
          <w:trHeight w:val="126"/>
        </w:trPr>
        <w:tc>
          <w:tcPr>
            <w:tcW w:w="30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from</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590</w:t>
            </w: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RSU vesting</w:t>
            </w:r>
          </w:p>
        </w:tc>
        <w:tc>
          <w:tcPr>
            <w:tcW w:w="12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06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upon</w:t>
            </w: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146,468</w:t>
            </w:r>
          </w:p>
        </w:tc>
        <w:tc>
          <w:tcPr>
            <w:tcW w:w="22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net exercise of pre-funded warrants</w:t>
            </w:r>
          </w:p>
        </w:tc>
        <w:tc>
          <w:tcPr>
            <w:tcW w:w="12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0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pre-funded warrants</w:t>
            </w:r>
          </w:p>
        </w:tc>
        <w:tc>
          <w:tcPr>
            <w:tcW w:w="1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0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and common warrants in connection with 2025</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2,103,307</w:t>
            </w: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105,003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105,004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PIPE offering</w:t>
            </w:r>
          </w:p>
        </w:tc>
        <w:tc>
          <w:tcPr>
            <w:tcW w:w="12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Costs related to 2025 PIPE offering</w:t>
            </w: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(3,629)</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(3,629)</w:t>
            </w:r>
          </w:p>
        </w:tc>
        <w:tc>
          <w:tcPr>
            <w:tcW w:w="0" w:type="dxa"/>
            <w:vAlign w:val="bottom"/>
          </w:tcPr>
          <w:p>
            <w:pPr>
              <w:spacing w:after="0"/>
              <w:rPr>
                <w:sz w:val="1"/>
                <w:szCs w:val="1"/>
                <w:color w:val="auto"/>
              </w:rPr>
            </w:pPr>
          </w:p>
        </w:tc>
      </w:tr>
      <w:tr>
        <w:trPr>
          <w:trHeight w:val="126"/>
        </w:trPr>
        <w:tc>
          <w:tcPr>
            <w:tcW w:w="30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Stock-based compensation expense related to</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909</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909</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employee stock awards</w:t>
            </w:r>
          </w:p>
        </w:tc>
        <w:tc>
          <w:tcPr>
            <w:tcW w:w="12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06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Stock-based compensation expense related to</w:t>
            </w: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employee stock purchases</w:t>
            </w:r>
          </w:p>
        </w:tc>
        <w:tc>
          <w:tcPr>
            <w:tcW w:w="12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loss</w:t>
            </w: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2"/>
                <w:szCs w:val="12"/>
                <w:color w:val="auto"/>
              </w:rPr>
            </w:pPr>
          </w:p>
        </w:tc>
        <w:tc>
          <w:tcPr>
            <w:tcW w:w="12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48"/>
        </w:trPr>
        <w:tc>
          <w:tcPr>
            <w:tcW w:w="306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2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43,088</w:t>
            </w:r>
          </w:p>
        </w:tc>
        <w:tc>
          <w:tcPr>
            <w:tcW w:w="2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43,088</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as of March 31, 2025</w:t>
            </w:r>
          </w:p>
        </w:tc>
        <w:tc>
          <w:tcPr>
            <w:tcW w:w="12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6,114,801</w:t>
            </w:r>
          </w:p>
        </w:tc>
        <w:tc>
          <w:tcPr>
            <w:tcW w:w="1160" w:type="dxa"/>
            <w:vAlign w:val="bottom"/>
            <w:gridSpan w:val="2"/>
          </w:tcPr>
          <w:p>
            <w:pPr>
              <w:jc w:val="right"/>
              <w:ind w:right="8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w:t>
            </w:r>
          </w:p>
        </w:tc>
        <w:tc>
          <w:tcPr>
            <w:tcW w:w="38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690,909</w:t>
            </w:r>
          </w:p>
        </w:tc>
        <w:tc>
          <w:tcPr>
            <w:tcW w:w="140" w:type="dxa"/>
            <w:vAlign w:val="bottom"/>
          </w:tcPr>
          <w:p>
            <w:pPr>
              <w:spacing w:after="0"/>
              <w:rPr>
                <w:sz w:val="12"/>
                <w:szCs w:val="12"/>
                <w:color w:val="auto"/>
              </w:rPr>
            </w:pPr>
          </w:p>
        </w:tc>
        <w:tc>
          <w:tcPr>
            <w:tcW w:w="20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(574,920)</w:t>
            </w: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447</w:t>
            </w:r>
          </w:p>
        </w:tc>
        <w:tc>
          <w:tcPr>
            <w:tcW w:w="22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116,445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06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3"/>
                <w:szCs w:val="13"/>
                <w:color w:val="auto"/>
              </w:rPr>
              <w:t>Issuance of common stock related</w:t>
            </w:r>
          </w:p>
        </w:tc>
        <w:tc>
          <w:tcPr>
            <w:tcW w:w="12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36,473</w:t>
            </w:r>
          </w:p>
        </w:tc>
        <w:tc>
          <w:tcPr>
            <w:tcW w:w="220" w:type="dxa"/>
            <w:vAlign w:val="bottom"/>
            <w:shd w:val="clear" w:color="auto" w:fill="CFF0FC"/>
          </w:tcPr>
          <w:p>
            <w:pPr>
              <w:spacing w:after="0"/>
              <w:rPr>
                <w:sz w:val="10"/>
                <w:szCs w:val="10"/>
                <w:color w:val="auto"/>
              </w:rPr>
            </w:pPr>
          </w:p>
        </w:tc>
        <w:tc>
          <w:tcPr>
            <w:tcW w:w="94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9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10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10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10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to ESPP purchase</w:t>
            </w:r>
          </w:p>
        </w:tc>
        <w:tc>
          <w:tcPr>
            <w:tcW w:w="12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Costs related to 2025 PIPE offering</w:t>
            </w: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26"/>
        </w:trPr>
        <w:tc>
          <w:tcPr>
            <w:tcW w:w="306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Stock-based compensation expense related to</w:t>
            </w: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1,050</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1,050</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employee stock awards</w:t>
            </w:r>
          </w:p>
        </w:tc>
        <w:tc>
          <w:tcPr>
            <w:tcW w:w="12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0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Stock-based compensation expense related to</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employee stock purchases</w:t>
            </w:r>
          </w:p>
        </w:tc>
        <w:tc>
          <w:tcPr>
            <w:tcW w:w="12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loss</w:t>
            </w: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48"/>
        </w:trPr>
        <w:tc>
          <w:tcPr>
            <w:tcW w:w="3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(15,863)</w:t>
            </w: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(15,863)</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0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as of June 30, 2025</w:t>
            </w:r>
          </w:p>
        </w:tc>
        <w:tc>
          <w:tcPr>
            <w:tcW w:w="12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6,151,274</w:t>
            </w:r>
          </w:p>
        </w:tc>
        <w:tc>
          <w:tcPr>
            <w:tcW w:w="1160" w:type="dxa"/>
            <w:vAlign w:val="bottom"/>
            <w:gridSpan w:val="2"/>
            <w:shd w:val="clear" w:color="auto" w:fill="CFF0FC"/>
          </w:tcPr>
          <w:p>
            <w:pPr>
              <w:jc w:val="right"/>
              <w:ind w:right="8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w:t>
            </w:r>
          </w:p>
        </w:tc>
        <w:tc>
          <w:tcPr>
            <w:tcW w:w="38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692,220</w:t>
            </w:r>
          </w:p>
        </w:tc>
        <w:tc>
          <w:tcPr>
            <w:tcW w:w="14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(590,783)</w:t>
            </w: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420</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101,866</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3060" w:type="dxa"/>
            <w:vAlign w:val="bottom"/>
            <w:tcBorders>
              <w:top w:val="single" w:sz="8" w:color="CFF0FC"/>
            </w:tcBorders>
          </w:tcPr>
          <w:p>
            <w:pPr>
              <w:spacing w:after="0" w:line="106" w:lineRule="exact"/>
              <w:rPr>
                <w:sz w:val="20"/>
                <w:szCs w:val="20"/>
                <w:color w:val="auto"/>
              </w:rPr>
            </w:pPr>
            <w:r>
              <w:rPr>
                <w:rFonts w:ascii="Times New Roman" w:cs="Times New Roman" w:eastAsia="Times New Roman" w:hAnsi="Times New Roman"/>
                <w:sz w:val="12"/>
                <w:szCs w:val="12"/>
                <w:color w:val="auto"/>
              </w:rPr>
              <w:t>Issuance of common stock from</w:t>
            </w: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2,233</w:t>
            </w:r>
          </w:p>
        </w:tc>
        <w:tc>
          <w:tcPr>
            <w:tcW w:w="220" w:type="dxa"/>
            <w:vAlign w:val="bottom"/>
            <w:tcBorders>
              <w:top w:val="single" w:sz="8" w:color="CFF0FC"/>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tcBorders>
              <w:top w:val="single" w:sz="8" w:color="CFF0FC"/>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3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RSU vesting</w:t>
            </w:r>
          </w:p>
        </w:tc>
        <w:tc>
          <w:tcPr>
            <w:tcW w:w="12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06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Stock-based compensation expense related to</w:t>
            </w: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1,268</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1,268</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employee stock awards</w:t>
            </w:r>
          </w:p>
        </w:tc>
        <w:tc>
          <w:tcPr>
            <w:tcW w:w="12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0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Stock-based compensation expense related to</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employee stock purchases</w:t>
            </w:r>
          </w:p>
        </w:tc>
        <w:tc>
          <w:tcPr>
            <w:tcW w:w="12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(31,537)</w:t>
            </w: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(31,537)</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0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as of September 30, 2025</w:t>
            </w:r>
          </w:p>
        </w:tc>
        <w:tc>
          <w:tcPr>
            <w:tcW w:w="12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6,153,507</w:t>
            </w:r>
          </w:p>
        </w:tc>
        <w:tc>
          <w:tcPr>
            <w:tcW w:w="1160" w:type="dxa"/>
            <w:vAlign w:val="bottom"/>
            <w:gridSpan w:val="2"/>
            <w:shd w:val="clear" w:color="auto" w:fill="CFF0FC"/>
          </w:tcPr>
          <w:p>
            <w:pPr>
              <w:jc w:val="right"/>
              <w:ind w:right="8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w:t>
            </w:r>
          </w:p>
        </w:tc>
        <w:tc>
          <w:tcPr>
            <w:tcW w:w="38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693,689</w:t>
            </w:r>
          </w:p>
        </w:tc>
        <w:tc>
          <w:tcPr>
            <w:tcW w:w="14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(622,320)</w:t>
            </w: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455</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71,833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6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-1971040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-1971040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-1971040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-1971040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-1971040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-1971040</wp:posOffset>
            </wp:positionV>
            <wp:extent cx="774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-908050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-890905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-908050</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-890905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-908050</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-890905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-908050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-890905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-908050</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-890905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-908050</wp:posOffset>
            </wp:positionV>
            <wp:extent cx="7747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-890905</wp:posOffset>
            </wp:positionV>
            <wp:extent cx="774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-24765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-8255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-24765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-8255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-24765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-8255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-24765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-8255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-8255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4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80" w:type="dxa"/>
            <w:vAlign w:val="bottom"/>
            <w:gridSpan w:val="2"/>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(46,404)</w:t>
            </w: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(4,312)</w:t>
            </w:r>
          </w:p>
        </w:tc>
      </w:tr>
      <w:tr>
        <w:trPr>
          <w:trHeight w:val="216"/>
        </w:trPr>
        <w:tc>
          <w:tcPr>
            <w:tcW w:w="7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4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Accretion of discount on investments</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(491)</w:t>
            </w:r>
          </w:p>
        </w:tc>
        <w:tc>
          <w:tcPr>
            <w:tcW w:w="9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(1,744)</w:t>
            </w:r>
          </w:p>
        </w:tc>
      </w:tr>
      <w:tr>
        <w:trPr>
          <w:trHeight w:val="216"/>
        </w:trPr>
        <w:tc>
          <w:tcPr>
            <w:tcW w:w="70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Non-cash lease expense</w:t>
            </w:r>
          </w:p>
        </w:tc>
        <w:tc>
          <w:tcPr>
            <w:tcW w:w="4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00" w:type="dxa"/>
            <w:vAlign w:val="bottom"/>
            <w:shd w:val="clear" w:color="auto" w:fill="CFF0FC"/>
          </w:tcPr>
          <w:p>
            <w:pPr>
              <w:spacing w:after="0"/>
              <w:rPr>
                <w:sz w:val="18"/>
                <w:szCs w:val="18"/>
                <w:color w:val="auto"/>
              </w:rPr>
            </w:pPr>
          </w:p>
        </w:tc>
      </w:tr>
      <w:tr>
        <w:trPr>
          <w:trHeight w:val="216"/>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Change in fair value of 2023 Common Warrants</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(6,560)</w:t>
            </w:r>
          </w:p>
        </w:tc>
        <w:tc>
          <w:tcPr>
            <w:tcW w:w="9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(58,971)</w:t>
            </w:r>
          </w:p>
        </w:tc>
      </w:tr>
      <w:tr>
        <w:trPr>
          <w:trHeight w:val="216"/>
        </w:trPr>
        <w:tc>
          <w:tcPr>
            <w:tcW w:w="70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Depreciation expense</w:t>
            </w:r>
          </w:p>
        </w:tc>
        <w:tc>
          <w:tcPr>
            <w:tcW w:w="4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shd w:val="clear" w:color="auto" w:fill="CFF0FC"/>
          </w:tcPr>
          <w:p>
            <w:pPr>
              <w:spacing w:after="0"/>
              <w:rPr>
                <w:sz w:val="18"/>
                <w:szCs w:val="18"/>
                <w:color w:val="auto"/>
              </w:rPr>
            </w:pPr>
          </w:p>
        </w:tc>
      </w:tr>
      <w:tr>
        <w:trPr>
          <w:trHeight w:val="216"/>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Stock-based compensation including ESPP</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3,960</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3,586</w:t>
            </w:r>
          </w:p>
        </w:tc>
        <w:tc>
          <w:tcPr>
            <w:tcW w:w="100" w:type="dxa"/>
            <w:vAlign w:val="bottom"/>
          </w:tcPr>
          <w:p>
            <w:pPr>
              <w:spacing w:after="0"/>
              <w:rPr>
                <w:sz w:val="18"/>
                <w:szCs w:val="18"/>
                <w:color w:val="auto"/>
              </w:rPr>
            </w:pPr>
          </w:p>
        </w:tc>
      </w:tr>
      <w:tr>
        <w:trPr>
          <w:trHeight w:val="216"/>
        </w:trPr>
        <w:tc>
          <w:tcPr>
            <w:tcW w:w="7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(768)</w:t>
            </w:r>
          </w:p>
        </w:tc>
        <w:tc>
          <w:tcPr>
            <w:tcW w:w="9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100" w:type="dxa"/>
            <w:vAlign w:val="bottom"/>
          </w:tcPr>
          <w:p>
            <w:pPr>
              <w:spacing w:after="0"/>
              <w:rPr>
                <w:sz w:val="18"/>
                <w:szCs w:val="18"/>
                <w:color w:val="auto"/>
              </w:rPr>
            </w:pPr>
          </w:p>
        </w:tc>
      </w:tr>
      <w:tr>
        <w:trPr>
          <w:trHeight w:val="216"/>
        </w:trPr>
        <w:tc>
          <w:tcPr>
            <w:tcW w:w="70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Accrued liabilities</w:t>
            </w:r>
          </w:p>
        </w:tc>
        <w:tc>
          <w:tcPr>
            <w:tcW w:w="4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(1,952)</w:t>
            </w:r>
          </w:p>
        </w:tc>
      </w:tr>
      <w:tr>
        <w:trPr>
          <w:trHeight w:val="216"/>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(2,613)</w:t>
            </w:r>
          </w:p>
        </w:tc>
        <w:tc>
          <w:tcPr>
            <w:tcW w:w="9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(2,295)</w:t>
            </w:r>
          </w:p>
        </w:tc>
      </w:tr>
      <w:tr>
        <w:trPr>
          <w:trHeight w:val="216"/>
        </w:trPr>
        <w:tc>
          <w:tcPr>
            <w:tcW w:w="70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Other liabilities</w:t>
            </w:r>
          </w:p>
        </w:tc>
        <w:tc>
          <w:tcPr>
            <w:tcW w:w="4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(47)</w:t>
            </w:r>
          </w:p>
        </w:tc>
        <w:tc>
          <w:tcPr>
            <w:tcW w:w="9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 revenue</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r>
      <w:tr>
        <w:trPr>
          <w:trHeight w:val="216"/>
        </w:trPr>
        <w:tc>
          <w:tcPr>
            <w:tcW w:w="708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Other assets</w:t>
            </w:r>
          </w:p>
        </w:tc>
        <w:tc>
          <w:tcPr>
            <w:tcW w:w="44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30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cash and cash equivalents used in operating activities</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(46,627)</w:t>
            </w:r>
          </w:p>
        </w:tc>
        <w:tc>
          <w:tcPr>
            <w:tcW w:w="9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(60,758)</w:t>
            </w:r>
          </w:p>
        </w:tc>
      </w:tr>
      <w:tr>
        <w:trPr>
          <w:trHeight w:val="209"/>
        </w:trPr>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44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Maturities of short-term investments</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100" w:type="dxa"/>
            <w:vAlign w:val="bottom"/>
          </w:tcPr>
          <w:p>
            <w:pPr>
              <w:spacing w:after="0"/>
              <w:rPr>
                <w:sz w:val="18"/>
                <w:szCs w:val="18"/>
                <w:color w:val="auto"/>
              </w:rPr>
            </w:pPr>
          </w:p>
        </w:tc>
      </w:tr>
      <w:tr>
        <w:trPr>
          <w:trHeight w:val="216"/>
        </w:trPr>
        <w:tc>
          <w:tcPr>
            <w:tcW w:w="70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4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(125,460)</w:t>
            </w:r>
          </w:p>
        </w:tc>
      </w:tr>
      <w:tr>
        <w:trPr>
          <w:trHeight w:val="216"/>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(197)</w:t>
            </w:r>
          </w:p>
        </w:tc>
        <w:tc>
          <w:tcPr>
            <w:tcW w:w="9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(345)</w:t>
            </w:r>
          </w:p>
        </w:tc>
      </w:tr>
      <w:tr>
        <w:trPr>
          <w:trHeight w:val="20"/>
        </w:trPr>
        <w:tc>
          <w:tcPr>
            <w:tcW w:w="7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0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Net cash and cash equivalents provided by (used in) investing activities</w:t>
            </w:r>
          </w:p>
        </w:tc>
        <w:tc>
          <w:tcPr>
            <w:tcW w:w="4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59,803</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(35,805)</w:t>
            </w:r>
          </w:p>
        </w:tc>
      </w:tr>
      <w:tr>
        <w:trPr>
          <w:trHeight w:val="210"/>
        </w:trPr>
        <w:tc>
          <w:tcPr>
            <w:tcW w:w="70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440" w:type="dxa"/>
            <w:vAlign w:val="bottom"/>
            <w:tcBorders>
              <w:top w:val="single" w:sz="8" w:color="CFF0FC"/>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198"/>
        </w:trPr>
        <w:tc>
          <w:tcPr>
            <w:tcW w:w="7080" w:type="dxa"/>
            <w:vAlign w:val="bottom"/>
            <w:shd w:val="clear" w:color="auto" w:fill="CFF0FC"/>
          </w:tcPr>
          <w:p>
            <w:pPr>
              <w:ind w:left="280"/>
              <w:spacing w:after="0" w:line="198" w:lineRule="exact"/>
              <w:rPr>
                <w:sz w:val="20"/>
                <w:szCs w:val="20"/>
                <w:color w:val="auto"/>
              </w:rPr>
            </w:pPr>
            <w:r>
              <w:rPr>
                <w:rFonts w:ascii="Times New Roman" w:cs="Times New Roman" w:eastAsia="Times New Roman" w:hAnsi="Times New Roman"/>
                <w:sz w:val="18"/>
                <w:szCs w:val="18"/>
                <w:color w:val="auto"/>
              </w:rPr>
              <w:t>Proceeds from issuance of common stock, common warrants and pre-funded warrants in</w:t>
            </w:r>
          </w:p>
        </w:tc>
        <w:tc>
          <w:tcPr>
            <w:tcW w:w="4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101,343</w:t>
            </w:r>
          </w:p>
        </w:tc>
        <w:tc>
          <w:tcPr>
            <w:tcW w:w="100" w:type="dxa"/>
            <w:vAlign w:val="bottom"/>
            <w:shd w:val="clear" w:color="auto" w:fill="CFF0FC"/>
          </w:tcPr>
          <w:p>
            <w:pPr>
              <w:spacing w:after="0"/>
              <w:rPr>
                <w:sz w:val="17"/>
                <w:szCs w:val="17"/>
                <w:color w:val="auto"/>
              </w:rPr>
            </w:pPr>
          </w:p>
        </w:tc>
      </w:tr>
      <w:tr>
        <w:trPr>
          <w:trHeight w:val="234"/>
        </w:trPr>
        <w:tc>
          <w:tcPr>
            <w:tcW w:w="70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connection with 2025 PIPE offering, net of costs</w:t>
            </w:r>
          </w:p>
        </w:tc>
        <w:tc>
          <w:tcPr>
            <w:tcW w:w="44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Payments on finance lease</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(86)</w:t>
            </w:r>
          </w:p>
        </w:tc>
        <w:tc>
          <w:tcPr>
            <w:tcW w:w="9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708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Proceeds from the ESPP purchase</w:t>
            </w:r>
          </w:p>
        </w:tc>
        <w:tc>
          <w:tcPr>
            <w:tcW w:w="44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30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cash and cash equivalents provided by financing activities</w:t>
            </w:r>
          </w:p>
        </w:tc>
        <w:tc>
          <w:tcPr>
            <w:tcW w:w="44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3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101,512</w:t>
            </w:r>
          </w:p>
        </w:tc>
        <w:tc>
          <w:tcPr>
            <w:tcW w:w="100" w:type="dxa"/>
            <w:vAlign w:val="bottom"/>
          </w:tcPr>
          <w:p>
            <w:pPr>
              <w:spacing w:after="0"/>
              <w:rPr>
                <w:sz w:val="18"/>
                <w:szCs w:val="18"/>
                <w:color w:val="auto"/>
              </w:rPr>
            </w:pPr>
          </w:p>
        </w:tc>
      </w:tr>
      <w:tr>
        <w:trPr>
          <w:trHeight w:val="210"/>
        </w:trPr>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4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13,326</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4,949</w:t>
            </w:r>
          </w:p>
        </w:tc>
        <w:tc>
          <w:tcPr>
            <w:tcW w:w="100" w:type="dxa"/>
            <w:vAlign w:val="bottom"/>
            <w:shd w:val="clear" w:color="auto" w:fill="CFF0FC"/>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44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18,413</w:t>
            </w:r>
          </w:p>
        </w:tc>
        <w:tc>
          <w:tcPr>
            <w:tcW w:w="3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37,107</w:t>
            </w:r>
          </w:p>
        </w:tc>
        <w:tc>
          <w:tcPr>
            <w:tcW w:w="100" w:type="dxa"/>
            <w:vAlign w:val="bottom"/>
          </w:tcPr>
          <w:p>
            <w:pPr>
              <w:spacing w:after="0"/>
              <w:rPr>
                <w:sz w:val="18"/>
                <w:szCs w:val="18"/>
                <w:color w:val="auto"/>
              </w:rPr>
            </w:pPr>
          </w:p>
        </w:tc>
      </w:tr>
      <w:tr>
        <w:trPr>
          <w:trHeight w:val="210"/>
        </w:trPr>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148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31,739</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42,056</w:t>
            </w:r>
          </w:p>
        </w:tc>
        <w:tc>
          <w:tcPr>
            <w:tcW w:w="100" w:type="dxa"/>
            <w:vAlign w:val="bottom"/>
            <w:shd w:val="clear" w:color="auto" w:fill="CFF0FC"/>
          </w:tcPr>
          <w:p>
            <w:pPr>
              <w:spacing w:after="0"/>
              <w:rPr>
                <w:sz w:val="18"/>
                <w:szCs w:val="18"/>
                <w:color w:val="auto"/>
              </w:rPr>
            </w:pPr>
          </w:p>
        </w:tc>
      </w:tr>
      <w:tr>
        <w:trPr>
          <w:trHeight w:val="142"/>
        </w:trPr>
        <w:tc>
          <w:tcPr>
            <w:tcW w:w="7080" w:type="dxa"/>
            <w:vAlign w:val="bottom"/>
            <w:tcBorders>
              <w:top w:val="single" w:sz="8" w:color="CFF0FC"/>
            </w:tcBorders>
          </w:tcPr>
          <w:p>
            <w:pPr>
              <w:spacing w:after="0"/>
              <w:rPr>
                <w:sz w:val="12"/>
                <w:szCs w:val="12"/>
                <w:color w:val="auto"/>
              </w:rPr>
            </w:pPr>
          </w:p>
        </w:tc>
        <w:tc>
          <w:tcPr>
            <w:tcW w:w="440" w:type="dxa"/>
            <w:vAlign w:val="bottom"/>
            <w:tcBorders>
              <w:top w:val="single" w:sz="8" w:color="CFF0FC"/>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00" w:type="dxa"/>
            <w:vAlign w:val="bottom"/>
            <w:tcBorders>
              <w:top w:val="single" w:sz="8" w:color="CFF0FC"/>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r>
      <w:tr>
        <w:trPr>
          <w:trHeight w:val="216"/>
        </w:trPr>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Supplemental disclosures of noncash financing and investing activities:</w:t>
            </w:r>
          </w:p>
        </w:tc>
        <w:tc>
          <w:tcPr>
            <w:tcW w:w="4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right-of-use asset through operating lease obligation</w:t>
            </w: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9,349</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-2505710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-2505710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-1656715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-1656715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-962660</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-962660</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-387985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-387985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ALIGOS THERAPEUTICS,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ind w:left="520" w:right="7720" w:hanging="512"/>
        <w:spacing w:after="0" w:line="440" w:lineRule="auto"/>
        <w:tabs>
          <w:tab w:leader="none" w:pos="5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Organization and basis of presentation </w:t>
      </w:r>
      <w:r>
        <w:rPr>
          <w:rFonts w:ascii="Times New Roman" w:cs="Times New Roman" w:eastAsia="Times New Roman" w:hAnsi="Times New Roman"/>
          <w:sz w:val="18"/>
          <w:szCs w:val="18"/>
          <w:b w:val="1"/>
          <w:bCs w:val="1"/>
          <w:i w:val="1"/>
          <w:iCs w:val="1"/>
          <w:color w:val="auto"/>
        </w:rPr>
        <w:t>Description of business</w:t>
      </w:r>
    </w:p>
    <w:p>
      <w:pPr>
        <w:spacing w:after="0" w:line="1" w:lineRule="exact"/>
        <w:rPr>
          <w:sz w:val="20"/>
          <w:szCs w:val="20"/>
          <w:color w:val="auto"/>
        </w:rPr>
      </w:pPr>
    </w:p>
    <w:p>
      <w:pPr>
        <w:ind w:right="340" w:firstLine="509"/>
        <w:spacing w:after="0" w:line="258" w:lineRule="auto"/>
        <w:rPr>
          <w:sz w:val="20"/>
          <w:szCs w:val="20"/>
          <w:color w:val="auto"/>
        </w:rPr>
      </w:pPr>
      <w:r>
        <w:rPr>
          <w:rFonts w:ascii="Times New Roman" w:cs="Times New Roman" w:eastAsia="Times New Roman" w:hAnsi="Times New Roman"/>
          <w:sz w:val="18"/>
          <w:szCs w:val="18"/>
          <w:color w:val="auto"/>
        </w:rPr>
        <w:t>Aligos Therapeutics, Inc. (Aligos-US) was incorporated in the state of Delaware on February 5, 2018 (inception). On September 10, 2018, the Company formed Aligos Belgium BVBA (Aligos-Belgium), a limited liability company organized under the laws of Belgium. On March 30, 2020, the Company formed as a wholly owned subsidiary, Aligos Australia Pty LTD (Aligos-Australia), a proprietary limited company. On May 18, 2021, the Company formed as a wholly owned subsidiary, Aligos Therapeutics (Shanghai) Co. Ltd. (Aligos-Shanghai) and together with Aligos-US, Aligos-Belgium, and Aligos-Australia being the “Company” or “Aligos”.</w:t>
      </w:r>
    </w:p>
    <w:p>
      <w:pPr>
        <w:spacing w:after="0" w:line="183"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Aligos is a clinical-stage biotechnology company developing novel therapeutics to address unmet medical needs in liver and viral diseases, including for chronic hepatitis B virus (HBV) infection, metabolic dysfunction associated steatohepatitis (MASH), and obesity.</w:t>
      </w:r>
    </w:p>
    <w:p>
      <w:pPr>
        <w:spacing w:after="0" w:line="5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Company is devoting substantially all of its efforts to the research and development of its drug candidates. The Company has not generated any product revenue to date. The Company is also subject to a number of risks similar to other companies in the biotechnology industry, including the uncertainty of success of its nonclinical studies and clinical trials, regulatory approval of drug candidates, uncertainty of market acceptance of products, competition from substitute products and larger companies, the need to obtain additional financing, compliance with government regulations, protection of proprietary technology, dependence on third parties, product liability, and dependence on key individuals.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U.S. generally accepted accounting principles (U.S. GAAP) and follow the requirements of the Securities and Exchange Commission (SEC) for interim reporting. As permitted under those rules, certain footnotes or other financial information that are normally required by U.S. GAAP can be condensed or omitted. These unaudited condensed consolidated financial statements have been prepared on the same basis as the Company's annual consolidated financial statements and, in the opinion of management, reflect all adjustments, consisting only of normal recurring adjustments, which are necessary for a fair statement of the Company’s consolidated financial information. The condensed consolidated financial statements include the accounts of the Company and its wholly owned subsidiaries. All intercompany balances and transactions have been eliminated in consolidation. Interim-period results are not necessarily indicative of results of operations or cash flows for a full year or any subsequent interim period. The balance sheet as of December 31, 2025 is derived from the audited consolidated financial statements at that date but does not include all of the information required by U.S. GAAP for complete consolidated financial statements.</w:t>
      </w:r>
    </w:p>
    <w:p>
      <w:pPr>
        <w:spacing w:after="0" w:line="2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19" w:lineRule="exact"/>
        <w:rPr>
          <w:sz w:val="20"/>
          <w:szCs w:val="20"/>
          <w:color w:val="auto"/>
        </w:rPr>
      </w:pPr>
    </w:p>
    <w:p>
      <w:pPr>
        <w:ind w:right="60" w:firstLine="509"/>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Accounting Standards Codification 205-40, </w:t>
      </w:r>
      <w:r>
        <w:rPr>
          <w:rFonts w:ascii="Times New Roman" w:cs="Times New Roman" w:eastAsia="Times New Roman" w:hAnsi="Times New Roman"/>
          <w:sz w:val="18"/>
          <w:szCs w:val="18"/>
          <w:i w:val="1"/>
          <w:iCs w:val="1"/>
          <w:color w:val="auto"/>
        </w:rPr>
        <w:t>Presentation of Financial Statements - Going Concern</w:t>
      </w:r>
      <w:r>
        <w:rPr>
          <w:rFonts w:ascii="Times New Roman" w:cs="Times New Roman" w:eastAsia="Times New Roman" w:hAnsi="Times New Roman"/>
          <w:sz w:val="18"/>
          <w:szCs w:val="18"/>
          <w:color w:val="auto"/>
        </w:rPr>
        <w:t>, the Company evaluated whether there are conditions and events, considered in the aggregate, that raise substantial doubt about its ability to continue as a going concern within one year of the date that the condensed financial statements are issued.</w:t>
      </w:r>
    </w:p>
    <w:p>
      <w:pPr>
        <w:spacing w:after="0" w:line="10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As of September 30, 2026, the Company had cash and cash equivalents of $31.1 million and an accumulated deficit of $688.6 million. The Company has incurred recurring losses from operations and negative cash flows from operating activities. The Company expects that its cash and cash equivalents will be sufficient to fund current planned operations into the first quarter of 2027, which is less than one year from the date of filing this Quarterly Report on Form 10-Q. The Company plans to raise substantial additional capital to continue as a going concern, including through a combination of public or private equity offerings, third-party funding, collaborations, strategic alliances, and licensing arrangements. In addition, the Company is evaluating future financing opportunities, and intends to secure additional funding.</w:t>
      </w:r>
    </w:p>
    <w:p>
      <w:pPr>
        <w:spacing w:after="0" w:line="10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However, there can be no assurance that any additional financing will be available to the Company on acceptable terms, if at all. If events or circumstances occur such that the Company does not obtain additional funding, it may be necessary to significantly reduce its scope of operations to reduce the current rate of spending, which could include reductions in staff and the need to delay, limit, reduce or terminate current or future product development, which could have a material adverse effect on the Company’s business, results of operations and financial condition. Moreover, even if financing efforts are successful and additional capital is obtained, available liquidity may still be insufficient to eliminate the aforementioned substantial doubt regarding the Company’s ability to continue as a going concern.</w:t>
      </w:r>
    </w:p>
    <w:p>
      <w:pPr>
        <w:spacing w:after="0" w:line="1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accompanying condensed financial statements have been prepared assuming the Company will continue to operate as a</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11" w:name="page12"/>
    <w:bookmarkEnd w:id="11"/>
    <w:p>
      <w:pPr>
        <w:ind w:right="20"/>
        <w:spacing w:after="0" w:line="266" w:lineRule="auto"/>
        <w:rPr>
          <w:sz w:val="20"/>
          <w:szCs w:val="20"/>
          <w:color w:val="auto"/>
        </w:rPr>
      </w:pPr>
      <w:r>
        <w:rPr>
          <w:rFonts w:ascii="Times New Roman" w:cs="Times New Roman" w:eastAsia="Times New Roman" w:hAnsi="Times New Roman"/>
          <w:sz w:val="18"/>
          <w:szCs w:val="18"/>
          <w:color w:val="auto"/>
        </w:rPr>
        <w:t>going concern, which contemplates the realization of assets and the settlement of liabilities in the normal course of business. The condensed financial statements do not include any adjustments to reflect the possible future effects on the recoverability and classification of assets or the amounts of liabilities that may result from uncertainty related to the Company’s ability to continue as a going concern.</w:t>
      </w:r>
    </w:p>
    <w:p>
      <w:pPr>
        <w:spacing w:after="0" w:line="10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Periodically, the Company maintains deposits in accredited financial institutions in excess of federally insured limits. The Company deposits its cash in financial institutions that it believes have high credit quality and has not experienced any losses on such accounts and does not believe it is exposed to any unusual credit risk beyond the normal credit risk associated with commercial banking relationships. The Company maintains a dual banking system to limit its credit and liquidity risk.</w:t>
      </w:r>
    </w:p>
    <w:p>
      <w:pPr>
        <w:spacing w:after="0" w:line="7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and related financial information should be read in conjunction with the audited consolidated financial statements and the related notes thereto included in the Company’s Annual Report on Form 10-K for the year ended December 31, 2025 filed with the SEC on March 5, 2026 (the 2025 Form 10-K).</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20" w:right="7360" w:hanging="512"/>
        <w:spacing w:after="0" w:line="378" w:lineRule="auto"/>
        <w:tabs>
          <w:tab w:leader="none" w:pos="5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Use of Estimates</w:t>
      </w: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management to make judgments, estimates and assumptions that affect the reported amounts of assets, liabilities, revenue and expenses, and related disclosures. Management bases its estimates on historical experience and on various other assumptions that it believes to be reasonable under the circumstances. These estimates form the basis for making judgments about the carrying values of assets and liabilities when these values are not readily apparent from other sources. Accounting estimates and judgments are inherently uncertain, and actual results could differ from these estimates.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 and estimates</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No material changes were made to the Company’s significant accounting policies disclosed in Note 2. Summary of significant accounting policies, in its 2025 Form 10-K, other than those noted below.</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 from licensing agreements</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If a license to intellectual property is determined to be distinct from other performance obligations identified in the arrangement, the Company recognizes revenue attributable to the license at the point in time the license is transferred to the customer, and the customer is able to use and benefit from the license.</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that the Company adopts as of the specified effective date. The Company's status as an emerging growth company ended on the last day of the fiscal year ending after the fifth anniversary of the Company's initial public offering, i.e., December 31, 2025.</w:t>
      </w:r>
    </w:p>
    <w:p>
      <w:pPr>
        <w:spacing w:after="0" w:line="68" w:lineRule="exact"/>
        <w:rPr>
          <w:sz w:val="20"/>
          <w:szCs w:val="20"/>
          <w:color w:val="auto"/>
        </w:rPr>
      </w:pPr>
    </w:p>
    <w:p>
      <w:pPr>
        <w:ind w:right="120" w:firstLine="509"/>
        <w:spacing w:after="0" w:line="239" w:lineRule="exact"/>
        <w:rPr>
          <w:sz w:val="20"/>
          <w:szCs w:val="20"/>
          <w:color w:val="auto"/>
        </w:rPr>
      </w:pPr>
      <w:r>
        <w:rPr>
          <w:rFonts w:ascii="Times New Roman" w:cs="Times New Roman" w:eastAsia="Times New Roman" w:hAnsi="Times New Roman"/>
          <w:sz w:val="18"/>
          <w:szCs w:val="18"/>
          <w:color w:val="auto"/>
        </w:rPr>
        <w:t>The Company has considered all recent accounting pronouncements issued, but not yet effective, and does not expect any to have a material effect on the Company’s condensed consolidated financial statements other than those discussed in its 2025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1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0" w:right="399" w:bottom="1440" w:gutter="0" w:footer="0" w:header="0"/>
        </w:sectPr>
      </w:pPr>
    </w:p>
    <w:bookmarkStart w:id="12" w:name="page13"/>
    <w:bookmarkEnd w:id="12"/>
    <w:p>
      <w:pPr>
        <w:ind w:left="520" w:right="8680" w:hanging="512"/>
        <w:spacing w:after="0" w:line="400" w:lineRule="auto"/>
        <w:tabs>
          <w:tab w:leader="none" w:pos="52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Balance sheet components </w:t>
      </w:r>
      <w:r>
        <w:rPr>
          <w:rFonts w:ascii="Times New Roman" w:cs="Times New Roman" w:eastAsia="Times New Roman" w:hAnsi="Times New Roman"/>
          <w:sz w:val="17"/>
          <w:szCs w:val="17"/>
          <w:b w:val="1"/>
          <w:bCs w:val="1"/>
          <w:i w:val="1"/>
          <w:iCs w:val="1"/>
          <w:color w:val="auto"/>
        </w:rPr>
        <w:t>Property and equipment</w:t>
      </w:r>
    </w:p>
    <w:p>
      <w:pPr>
        <w:ind w:left="5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components of property and equipment as of September 30, 2026 and December 31, 2025 were as follows (in thousands):</w:t>
      </w:r>
    </w:p>
    <w:p>
      <w:pPr>
        <w:spacing w:after="0" w:line="206"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6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4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3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09"/>
        </w:trPr>
        <w:tc>
          <w:tcPr>
            <w:tcW w:w="63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6,264</w:t>
            </w:r>
          </w:p>
        </w:tc>
        <w:tc>
          <w:tcPr>
            <w:tcW w:w="1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6,264</w:t>
            </w:r>
          </w:p>
        </w:tc>
        <w:tc>
          <w:tcPr>
            <w:tcW w:w="100" w:type="dxa"/>
            <w:vAlign w:val="bottom"/>
            <w:shd w:val="clear" w:color="auto" w:fill="CFF0FC"/>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6,209</w:t>
            </w:r>
          </w:p>
        </w:tc>
        <w:tc>
          <w:tcPr>
            <w:tcW w:w="100" w:type="dxa"/>
            <w:vAlign w:val="bottom"/>
          </w:tcPr>
          <w:p>
            <w:pPr>
              <w:spacing w:after="0"/>
              <w:rPr>
                <w:sz w:val="18"/>
                <w:szCs w:val="18"/>
                <w:color w:val="auto"/>
              </w:rPr>
            </w:pPr>
          </w:p>
        </w:tc>
      </w:tr>
      <w:tr>
        <w:trPr>
          <w:trHeight w:val="216"/>
        </w:trPr>
        <w:tc>
          <w:tcPr>
            <w:tcW w:w="63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shd w:val="clear" w:color="auto" w:fill="CFF0FC"/>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tcPr>
          <w:p>
            <w:pPr>
              <w:spacing w:after="0"/>
              <w:rPr>
                <w:sz w:val="18"/>
                <w:szCs w:val="18"/>
                <w:color w:val="auto"/>
              </w:rPr>
            </w:pPr>
          </w:p>
        </w:tc>
      </w:tr>
      <w:tr>
        <w:trPr>
          <w:trHeight w:val="216"/>
        </w:trPr>
        <w:tc>
          <w:tcPr>
            <w:tcW w:w="6340" w:type="dxa"/>
            <w:vAlign w:val="bottom"/>
            <w:tcBorders>
              <w:bottom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Vehicles and equipment</w:t>
            </w:r>
          </w:p>
        </w:tc>
        <w:tc>
          <w:tcPr>
            <w:tcW w:w="24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at cost</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14,579</w:t>
            </w:r>
          </w:p>
        </w:tc>
        <w:tc>
          <w:tcPr>
            <w:tcW w:w="100" w:type="dxa"/>
            <w:vAlign w:val="bottom"/>
          </w:tcPr>
          <w:p>
            <w:pPr>
              <w:spacing w:after="0"/>
              <w:rPr>
                <w:sz w:val="18"/>
                <w:szCs w:val="18"/>
                <w:color w:val="auto"/>
              </w:rPr>
            </w:pPr>
          </w:p>
        </w:tc>
      </w:tr>
      <w:tr>
        <w:trPr>
          <w:trHeight w:val="216"/>
        </w:trPr>
        <w:tc>
          <w:tcPr>
            <w:tcW w:w="63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2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(13,564)</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(12,712)</w:t>
            </w:r>
          </w:p>
        </w:tc>
      </w:tr>
      <w:tr>
        <w:trPr>
          <w:trHeight w:val="20"/>
        </w:trPr>
        <w:tc>
          <w:tcPr>
            <w:tcW w:w="634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net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16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100" w:type="dxa"/>
            <w:vAlign w:val="bottom"/>
          </w:tcPr>
          <w:p>
            <w:pPr>
              <w:spacing w:after="0"/>
              <w:rPr>
                <w:sz w:val="18"/>
                <w:szCs w:val="18"/>
                <w:color w:val="auto"/>
              </w:rPr>
            </w:pPr>
          </w:p>
        </w:tc>
      </w:tr>
      <w:tr>
        <w:trPr>
          <w:trHeight w:val="20"/>
        </w:trPr>
        <w:tc>
          <w:tcPr>
            <w:tcW w:w="6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-454025</wp:posOffset>
            </wp:positionV>
            <wp:extent cx="603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-454025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-170815</wp:posOffset>
            </wp:positionV>
            <wp:extent cx="603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-170815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Depreciation expense was $0.3 million and $0.9 million for the three and nine months ended September 30, 2026 and $0.2 million and $0.7 million for the three and nine months ended September 30, 2025. Finance leases are also included in property and equipment as vehicles and lab equipment on the Condensed Consolidated Balance Sheets.</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Accrued Liabilities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w:t>
      </w:r>
    </w:p>
    <w:p>
      <w:pPr>
        <w:spacing w:after="0" w:line="206"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7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10"/>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R&amp;D expenses</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00" w:type="dxa"/>
            <w:vAlign w:val="bottom"/>
            <w:shd w:val="clear" w:color="auto" w:fill="CFF0FC"/>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Accrued clinical expenses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100" w:type="dxa"/>
            <w:vAlign w:val="bottom"/>
          </w:tcPr>
          <w:p>
            <w:pPr>
              <w:spacing w:after="0"/>
              <w:rPr>
                <w:sz w:val="18"/>
                <w:szCs w:val="18"/>
                <w:color w:val="auto"/>
              </w:rPr>
            </w:pPr>
          </w:p>
        </w:tc>
      </w:tr>
      <w:tr>
        <w:trPr>
          <w:trHeight w:val="216"/>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5,985</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7,464</w:t>
            </w:r>
          </w:p>
        </w:tc>
        <w:tc>
          <w:tcPr>
            <w:tcW w:w="100" w:type="dxa"/>
            <w:vAlign w:val="bottom"/>
            <w:shd w:val="clear" w:color="auto" w:fill="CFF0FC"/>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4,131</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3,249</w:t>
            </w:r>
          </w:p>
        </w:tc>
        <w:tc>
          <w:tcPr>
            <w:tcW w:w="100" w:type="dxa"/>
            <w:vAlign w:val="bottom"/>
          </w:tcPr>
          <w:p>
            <w:pPr>
              <w:spacing w:after="0"/>
              <w:rPr>
                <w:sz w:val="18"/>
                <w:szCs w:val="18"/>
                <w:color w:val="auto"/>
              </w:rPr>
            </w:pPr>
          </w:p>
        </w:tc>
      </w:tr>
      <w:tr>
        <w:trPr>
          <w:trHeight w:val="210"/>
        </w:trPr>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15,146</w:t>
            </w:r>
          </w:p>
        </w:tc>
        <w:tc>
          <w:tcPr>
            <w:tcW w:w="2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13,526</w:t>
            </w:r>
          </w:p>
        </w:tc>
        <w:tc>
          <w:tcPr>
            <w:tcW w:w="100" w:type="dxa"/>
            <w:vAlign w:val="bottom"/>
          </w:tcPr>
          <w:p>
            <w:pPr>
              <w:spacing w:after="0"/>
              <w:rPr>
                <w:sz w:val="18"/>
                <w:szCs w:val="18"/>
                <w:color w:val="auto"/>
              </w:rPr>
            </w:pPr>
          </w:p>
        </w:tc>
      </w:tr>
      <w:tr>
        <w:trPr>
          <w:trHeight w:val="20"/>
        </w:trPr>
        <w:tc>
          <w:tcPr>
            <w:tcW w:w="7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Leases</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September 2026, the Company entered into the First Amendment to Lease (the “Amendment”) with Britannia Biotech Gateway Limited Partnership for its corporate headquarters, comprising approximately 38,675 rentable square feet of office and laboratory space in South San Francisco, California. The Amendment extends the lease term from March 31, 2027 to March 31, 2034. Monthly base rent under the extended term ranges from $4.65 to $5.72 per rentable square foot, increasing annually, and is subject to abatement for the ten-month period from April 1, 2027 through January 31, 2028. The Company will continue to pay its share of operating expenses. The Amendment provides the Company a one-time right to terminate the lease effective March 31, 2031, upon written notice by March 31, 2030 and payment of a termination fee of approximately $2.5 million, and one option to extend the term for an additional seven years. The Company has recorded the $0.6 million Letter of Credit as non-current restricted cash on its balance sheet as of September 30, 2026.</w:t>
      </w:r>
    </w:p>
    <w:p>
      <w:pPr>
        <w:spacing w:after="0" w:line="84"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Company accounted for the Amendment as a lease modification that was not a separate contract. On the effective date of the modification, the Company reassessed the lease classification, which remained an operating lease, and remeasured the lease liability using its incremental borrowing rate of 10.81% as of that date. The remeasurement increased the operating lease liability and the corresponding operating lease right-of-use asset by $9.3 million. The Company determined that it is reasonably certain not to exercise the early termination option and that it is not reasonably certain to exercise the extension option. Accordingly, the lease term used to measure the lease liability ends on March 31, 2034.</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4" w:right="379" w:bottom="1440" w:gutter="0" w:footer="0" w:header="0"/>
        </w:sectPr>
      </w:pPr>
    </w:p>
    <w:bookmarkStart w:id="13" w:name="page14"/>
    <w:bookmarkEnd w:id="13"/>
    <w:p>
      <w:pPr>
        <w:ind w:left="520"/>
        <w:spacing w:after="0"/>
        <w:rPr>
          <w:sz w:val="20"/>
          <w:szCs w:val="20"/>
          <w:color w:val="auto"/>
        </w:rPr>
      </w:pPr>
      <w:r>
        <w:rPr>
          <w:rFonts w:ascii="Times New Roman" w:cs="Times New Roman" w:eastAsia="Times New Roman" w:hAnsi="Times New Roman"/>
          <w:sz w:val="18"/>
          <w:szCs w:val="18"/>
          <w:color w:val="auto"/>
        </w:rPr>
        <w:t>Supplemental information related to the Amendment is as follows:</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80" w:type="dxa"/>
            <w:vAlign w:val="bottom"/>
            <w:gridSpan w:val="3"/>
          </w:tcPr>
          <w:p>
            <w:pPr>
              <w:jc w:val="right"/>
              <w:ind w:right="14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0" w:type="dxa"/>
            <w:vAlign w:val="bottom"/>
          </w:tcPr>
          <w:p>
            <w:pPr>
              <w:spacing w:after="0"/>
              <w:rPr>
                <w:sz w:val="1"/>
                <w:szCs w:val="1"/>
                <w:color w:val="auto"/>
              </w:rPr>
            </w:pPr>
          </w:p>
        </w:tc>
      </w:tr>
      <w:tr>
        <w:trPr>
          <w:trHeight w:val="210"/>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w:t>
            </w:r>
          </w:p>
        </w:tc>
        <w:tc>
          <w:tcPr>
            <w:tcW w:w="40" w:type="dxa"/>
            <w:vAlign w:val="bottom"/>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31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72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3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40" w:type="dxa"/>
            <w:vAlign w:val="bottom"/>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318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4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2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4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31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10,841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45"/>
        </w:trPr>
        <w:tc>
          <w:tcPr>
            <w:tcW w:w="7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80" w:type="dxa"/>
            <w:vAlign w:val="bottom"/>
            <w:gridSpan w:val="3"/>
          </w:tcPr>
          <w:p>
            <w:pPr>
              <w:jc w:val="right"/>
              <w:ind w:right="14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0" w:type="dxa"/>
            <w:vAlign w:val="bottom"/>
          </w:tcPr>
          <w:p>
            <w:pPr>
              <w:spacing w:after="0"/>
              <w:rPr>
                <w:sz w:val="1"/>
                <w:szCs w:val="1"/>
                <w:color w:val="auto"/>
              </w:rPr>
            </w:pPr>
          </w:p>
        </w:tc>
      </w:tr>
      <w:tr>
        <w:trPr>
          <w:trHeight w:val="209"/>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40" w:type="dxa"/>
            <w:vAlign w:val="bottom"/>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31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72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3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7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Undiscounted future non-cancelable lease payments</w:t>
            </w: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80" w:type="dxa"/>
            <w:vAlign w:val="bottom"/>
            <w:gridSpan w:val="3"/>
          </w:tcPr>
          <w:p>
            <w:pPr>
              <w:jc w:val="right"/>
              <w:ind w:right="14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0" w:type="dxa"/>
            <w:vAlign w:val="bottom"/>
          </w:tcPr>
          <w:p>
            <w:pPr>
              <w:spacing w:after="0"/>
              <w:rPr>
                <w:sz w:val="1"/>
                <w:szCs w:val="1"/>
                <w:color w:val="auto"/>
              </w:rPr>
            </w:pPr>
          </w:p>
        </w:tc>
      </w:tr>
      <w:tr>
        <w:trPr>
          <w:trHeight w:val="209"/>
        </w:trPr>
        <w:tc>
          <w:tcPr>
            <w:tcW w:w="724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2026, remaining</w:t>
            </w:r>
          </w:p>
        </w:tc>
        <w:tc>
          <w:tcPr>
            <w:tcW w:w="720" w:type="dxa"/>
            <w:vAlign w:val="bottom"/>
            <w:gridSpan w:val="2"/>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3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2027</w:t>
            </w: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2028</w:t>
            </w:r>
          </w:p>
        </w:tc>
        <w:tc>
          <w:tcPr>
            <w:tcW w:w="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2,035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2029</w:t>
            </w: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2030</w:t>
            </w:r>
          </w:p>
        </w:tc>
        <w:tc>
          <w:tcPr>
            <w:tcW w:w="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Thereafter</w:t>
            </w:r>
          </w:p>
        </w:tc>
        <w:tc>
          <w:tcPr>
            <w:tcW w:w="4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16,436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(5,595)</w:t>
            </w:r>
          </w:p>
        </w:tc>
        <w:tc>
          <w:tcPr>
            <w:tcW w:w="0" w:type="dxa"/>
            <w:vAlign w:val="bottom"/>
          </w:tcPr>
          <w:p>
            <w:pPr>
              <w:spacing w:after="0"/>
              <w:rPr>
                <w:sz w:val="1"/>
                <w:szCs w:val="1"/>
                <w:color w:val="auto"/>
              </w:rPr>
            </w:pPr>
          </w:p>
        </w:tc>
      </w:tr>
      <w:tr>
        <w:trPr>
          <w:trHeight w:val="209"/>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4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31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Lease:</w:t>
            </w: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80" w:type="dxa"/>
            <w:vAlign w:val="bottom"/>
            <w:gridSpan w:val="3"/>
          </w:tcPr>
          <w:p>
            <w:pPr>
              <w:jc w:val="right"/>
              <w:ind w:right="15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0" w:type="dxa"/>
            <w:vAlign w:val="bottom"/>
          </w:tcPr>
          <w:p>
            <w:pPr>
              <w:spacing w:after="0"/>
              <w:rPr>
                <w:sz w:val="1"/>
                <w:szCs w:val="1"/>
                <w:color w:val="auto"/>
              </w:rPr>
            </w:pPr>
          </w:p>
        </w:tc>
      </w:tr>
      <w:tr>
        <w:trPr>
          <w:trHeight w:val="209"/>
        </w:trPr>
        <w:tc>
          <w:tcPr>
            <w:tcW w:w="7240" w:type="dxa"/>
            <w:vAlign w:val="bottom"/>
            <w:vMerge w:val="continue"/>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1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-2891155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-2874010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121"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2026 and December 31, 2025, amortized cost, gross unrealized gains and losses, and estimated fair values of total fixed-maturity securities were as follows (in thousands):</w:t>
      </w:r>
    </w:p>
    <w:p>
      <w:pPr>
        <w:spacing w:after="0" w:line="155" w:lineRule="exact"/>
        <w:rPr>
          <w:sz w:val="20"/>
          <w:szCs w:val="20"/>
          <w:color w:val="auto"/>
        </w:rPr>
      </w:pPr>
    </w:p>
    <w:tbl>
      <w:tblPr>
        <w:tblLayout w:type="fixed"/>
        <w:tblInd w:w="520" w:type="dxa"/>
        <w:tblCellMar>
          <w:top w:w="0" w:type="dxa"/>
          <w:left w:w="0" w:type="dxa"/>
          <w:bottom w:w="0" w:type="dxa"/>
          <w:right w:w="0" w:type="dxa"/>
        </w:tblCellMar>
      </w:tblPr>
      <w:tr>
        <w:trPr>
          <w:trHeight w:val="173"/>
        </w:trPr>
        <w:tc>
          <w:tcPr>
            <w:tcW w:w="2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6"/>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4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Pr>
          <w:p>
            <w:pPr>
              <w:jc w:val="center"/>
              <w:ind w:right="144"/>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2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ind w:right="144"/>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Gain</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63"/>
              <w:spacing w:after="0"/>
              <w:rPr>
                <w:sz w:val="20"/>
                <w:szCs w:val="20"/>
                <w:color w:val="auto"/>
              </w:rPr>
            </w:pPr>
            <w:r>
              <w:rPr>
                <w:rFonts w:ascii="Times New Roman" w:cs="Times New Roman" w:eastAsia="Times New Roman" w:hAnsi="Times New Roman"/>
                <w:sz w:val="14"/>
                <w:szCs w:val="14"/>
                <w:b w:val="1"/>
                <w:bCs w:val="1"/>
                <w:color w:val="auto"/>
              </w:rPr>
              <w:t>Loss</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1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Level 1</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25,593</w:t>
            </w:r>
          </w:p>
        </w:tc>
        <w:tc>
          <w:tcPr>
            <w:tcW w:w="4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4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25,593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2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6"/>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4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Pr>
          <w:p>
            <w:pPr>
              <w:jc w:val="center"/>
              <w:ind w:right="224"/>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2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ind w:right="224"/>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center"/>
              <w:ind w:right="244"/>
              <w:spacing w:after="0"/>
              <w:rPr>
                <w:sz w:val="20"/>
                <w:szCs w:val="20"/>
                <w:color w:val="auto"/>
              </w:rPr>
            </w:pPr>
            <w:r>
              <w:rPr>
                <w:rFonts w:ascii="Times New Roman" w:cs="Times New Roman" w:eastAsia="Times New Roman" w:hAnsi="Times New Roman"/>
                <w:sz w:val="14"/>
                <w:szCs w:val="14"/>
                <w:b w:val="1"/>
                <w:bCs w:val="1"/>
                <w:color w:val="auto"/>
              </w:rPr>
              <w:t>Gain</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2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bonds</w:t>
            </w:r>
          </w:p>
        </w:tc>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Level 2</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59,519</w:t>
            </w:r>
          </w:p>
        </w:tc>
        <w:tc>
          <w:tcPr>
            <w:tcW w:w="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1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Level 1</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9,992</w:t>
            </w:r>
          </w:p>
        </w:tc>
        <w:tc>
          <w:tcPr>
            <w:tcW w:w="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September 30, 2026, there were no short-term investments.</w:t>
      </w:r>
    </w:p>
    <w:p>
      <w:pPr>
        <w:spacing w:after="0" w:line="117"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2025, none of the Company's short-term investments were in an unrealized loss position. Changes in fair value are related to changes in market interest rates. The Company expects to collect all contractual principal and interest payments and does not intend to sell the investments before recovery of their amortized cost bases.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4" w:name="page15"/>
    <w:bookmarkEnd w:id="14"/>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Company recorded interest income of $0.2 million and $0.6 million for the three and nine months ended September 30, 2026, and $0.4 million and $1.6 million for the three and nine months ended September 30, 2025. There was no accrued interest receivable as of September 30, 2026 and December 31, 2025.</w:t>
      </w:r>
    </w:p>
    <w:p>
      <w:pPr>
        <w:spacing w:after="0" w:line="200" w:lineRule="exact"/>
        <w:rPr>
          <w:sz w:val="20"/>
          <w:szCs w:val="20"/>
          <w:color w:val="auto"/>
        </w:rPr>
      </w:pPr>
    </w:p>
    <w:p>
      <w:pPr>
        <w:spacing w:after="0" w:line="215"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On June 25, 2025, the Company's stockholders approved an amendment to the Company's Amended and Restated Certificate of Incorporation to increase the number of authorized shares of voting common stock from 20,000,000 shares to 100,000,000 shares and to increase the number of authorized shares of non-voting common stock from 800,000 shares to 15,800,000 shares.</w:t>
      </w:r>
    </w:p>
    <w:p>
      <w:pPr>
        <w:spacing w:after="0" w:line="68"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2026 and December 31, 2025, the Company had 800,000 shares of non-voting common stock issued and outstanding. There were no issuances, repurchases, conversions, or other changes in non-voting common stock during the nine months ended September 30, 2026.</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holders of shares of voting common stock are entitled to one vote for each share of common stock at all meetings of stockholders.</w:t>
      </w:r>
    </w:p>
    <w:p>
      <w:pPr>
        <w:spacing w:after="0" w:line="200" w:lineRule="exact"/>
        <w:rPr>
          <w:sz w:val="20"/>
          <w:szCs w:val="20"/>
          <w:color w:val="auto"/>
        </w:rPr>
      </w:pPr>
    </w:p>
    <w:p>
      <w:pPr>
        <w:spacing w:after="0" w:line="345" w:lineRule="exact"/>
        <w:rPr>
          <w:sz w:val="20"/>
          <w:szCs w:val="20"/>
          <w:color w:val="auto"/>
        </w:rPr>
      </w:pPr>
    </w:p>
    <w:p>
      <w:pPr>
        <w:ind w:left="520" w:right="7060" w:hanging="512"/>
        <w:spacing w:after="0" w:line="440" w:lineRule="auto"/>
        <w:tabs>
          <w:tab w:leader="none" w:pos="5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Warrants and Pre-Funded Warrants 2025 PIPE</w:t>
      </w:r>
    </w:p>
    <w:p>
      <w:pPr>
        <w:spacing w:after="0" w:line="1" w:lineRule="exact"/>
        <w:rPr>
          <w:sz w:val="20"/>
          <w:szCs w:val="20"/>
          <w:color w:val="auto"/>
        </w:rPr>
      </w:pPr>
    </w:p>
    <w:p>
      <w:pPr>
        <w:ind w:right="180" w:firstLine="509"/>
        <w:spacing w:after="0" w:line="218" w:lineRule="exact"/>
        <w:rPr>
          <w:sz w:val="20"/>
          <w:szCs w:val="20"/>
          <w:color w:val="auto"/>
        </w:rPr>
      </w:pPr>
      <w:r>
        <w:rPr>
          <w:rFonts w:ascii="Times New Roman" w:cs="Times New Roman" w:eastAsia="Times New Roman" w:hAnsi="Times New Roman"/>
          <w:sz w:val="18"/>
          <w:szCs w:val="18"/>
          <w:color w:val="auto"/>
        </w:rPr>
        <w:t>In February 2025, the Company closed its private investment in public equity (PIPE) offering (the 2025 Private Placement) and entered into a securities purchase agreement with certain investors (the 2025 Securities Purchase Agreement) that resulted in gross proceeds of $105.0 million. In the 2025 Private Placement, the Company issued (i) 2,103,307 shares of the Company’s common stock (the Common Stock), par value $0.0001 per share, consisting of 1,427,000 shares of voting common stock and 676,307 shares of non-voting common stock, (ii)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warrants (the 2025 Pre-Funded Warrants) to purchase up to 1,922,511 shares of voting Common Stock and (iii) accompanying common warrants (the 2025 Common Warrants) to purchase up to 2,012,909 shares of Common Stock. The purchase price per share was $26.0825, or $26.0824 per 2025 Pre-Funded Warrant, which represents the purchase price per share less the $0.0001 per share exercise price of each Pre-Funded Warrant. Each 2025 Pre-Funded Warrant is immediately exercisable and does not expire. Each 2025 Common Warrant has an exercise price of $26.02, is immediately exercisable and will expire in February 2032. The Company received net proceeds of $101.4 million, after deducting the placement agent fees and expenses and offering costs.</w:t>
      </w:r>
    </w:p>
    <w:p>
      <w:pPr>
        <w:spacing w:after="0" w:line="9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the 2025 Common Warrants and 2025 Pre-Funded Warrants in Stockholders' Equity on the Condensed Consolidated Balance Sheet and determined the outstanding 2025 Common Warrants and 2025 Pre-Funded Warrants are freestanding derivative instruments. The Company classified the 2025 Common Warrants and 2025 Pre-Funded Warrants as equity because they met the equity scope exception under Accounting Standards Codification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based on the terms in the 2025 Securities Purchase Agreement.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2023 PIPE</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October 2023, the Company completed a PIPE offering and entered into a securities purchase agreement (the 2023 Securities Purchase Agreement) with certain institutional and accredited investors, pursuant to which the Company agreed to offer, issue and sell to these investors 1,257,168 shares of Common Stock, par value $0.0001 per share, pre-funded warrants to purchase an aggregate of 3,242,018 shares of Common Stock (the 2023 Pre-Funded Warrants), and warrants to purchase an aggregate of 2,249,680 shares of Common Stock (the 2023 Common Warrants). Each 2023 Pre-Funded Warrant has an exercise price of $0.0025 per share of common stock, was immediately exercisable and is exercisable until exercised in full. Each 2023 Common Warrant has an exercise price of $18.92 per share of common stock, is immediately exercisable and will expire on October 25, 2030. The closing of the offering occurred on October 25, 2023. The Company received gross proceeds of $92.1 million, and after deducting the placement agent fees and expenses and offering costs, net proceeds were $86.2 million.</w:t>
      </w:r>
    </w:p>
    <w:p>
      <w:pPr>
        <w:spacing w:after="0" w:line="84"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2023 Common Warrants are liability classified pursuant to ASC 480, Distinguishing Liabilities from Equity, as there is a contingent obligation that exists to transfer assets to settle the instruments. The Company classified the 2025 Pre-Funded Warrants as equity because they met the equity scope exception under ASC 815 based on the terms in the 2023 Securities Purchase Agreement.</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0" w:right="399" w:bottom="1440" w:gutter="0" w:footer="0" w:header="0"/>
        </w:sectPr>
      </w:pPr>
    </w:p>
    <w:bookmarkStart w:id="15" w:name="page16"/>
    <w:bookmarkEnd w:id="15"/>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information about shares issuable under the 2023 and 2025 Pre-Funded Warrants outstanding at December 31, 2025 and September 30, 2026:</w:t>
      </w:r>
    </w:p>
    <w:p>
      <w:pPr>
        <w:spacing w:after="0" w:line="209" w:lineRule="exact"/>
        <w:rPr>
          <w:sz w:val="20"/>
          <w:szCs w:val="20"/>
          <w:color w:val="auto"/>
        </w:rPr>
      </w:pPr>
    </w:p>
    <w:tbl>
      <w:tblPr>
        <w:tblLayout w:type="fixed"/>
        <w:tblInd w:w="520" w:type="dxa"/>
        <w:tblCellMar>
          <w:top w:w="0" w:type="dxa"/>
          <w:left w:w="0" w:type="dxa"/>
          <w:bottom w:w="0" w:type="dxa"/>
          <w:right w:w="0" w:type="dxa"/>
        </w:tblCellMar>
      </w:tblPr>
      <w:tr>
        <w:trPr>
          <w:trHeight w:val="173"/>
        </w:trPr>
        <w:tc>
          <w:tcPr>
            <w:tcW w:w="4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Pre-funded warrant shares outstanding</w:t>
            </w:r>
          </w:p>
        </w:tc>
        <w:tc>
          <w:tcPr>
            <w:tcW w:w="256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360" w:type="dxa"/>
            <w:vAlign w:val="bottom"/>
          </w:tcPr>
          <w:p>
            <w:pPr>
              <w:spacing w:after="0"/>
              <w:rPr>
                <w:sz w:val="15"/>
                <w:szCs w:val="15"/>
                <w:color w:val="auto"/>
              </w:rPr>
            </w:pPr>
          </w:p>
        </w:tc>
        <w:tc>
          <w:tcPr>
            <w:tcW w:w="258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the beginning of the year</w:t>
            </w:r>
          </w:p>
        </w:tc>
        <w:tc>
          <w:tcPr>
            <w:tcW w:w="2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4,217,432</w:t>
            </w:r>
          </w:p>
        </w:tc>
        <w:tc>
          <w:tcPr>
            <w:tcW w:w="2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2,441,405</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Issued</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1,922,511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2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2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(146,484)</w:t>
            </w:r>
          </w:p>
        </w:tc>
      </w:tr>
      <w:tr>
        <w:trPr>
          <w:trHeight w:val="210"/>
        </w:trPr>
        <w:tc>
          <w:tcPr>
            <w:tcW w:w="20" w:type="dxa"/>
            <w:vAlign w:val="bottom"/>
          </w:tcPr>
          <w:p>
            <w:pPr>
              <w:spacing w:after="0"/>
              <w:rPr>
                <w:sz w:val="18"/>
                <w:szCs w:val="18"/>
                <w:color w:val="auto"/>
              </w:rPr>
            </w:pPr>
          </w:p>
        </w:tc>
        <w:tc>
          <w:tcPr>
            <w:tcW w:w="46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Outstanding at the end of the period</w:t>
            </w:r>
          </w:p>
        </w:tc>
        <w:tc>
          <w:tcPr>
            <w:tcW w:w="2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4,217,432</w:t>
            </w:r>
          </w:p>
        </w:tc>
        <w:tc>
          <w:tcPr>
            <w:tcW w:w="360" w:type="dxa"/>
            <w:vAlign w:val="bottom"/>
            <w:tcBorders>
              <w:top w:val="single" w:sz="8" w:color="CFF0FC"/>
            </w:tcBorders>
          </w:tcPr>
          <w:p>
            <w:pPr>
              <w:spacing w:after="0"/>
              <w:rPr>
                <w:sz w:val="18"/>
                <w:szCs w:val="18"/>
                <w:color w:val="auto"/>
              </w:rPr>
            </w:pPr>
          </w:p>
        </w:tc>
        <w:tc>
          <w:tcPr>
            <w:tcW w:w="2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4,217,432</w:t>
            </w:r>
          </w:p>
        </w:tc>
        <w:tc>
          <w:tcPr>
            <w:tcW w:w="100" w:type="dxa"/>
            <w:vAlign w:val="bottom"/>
            <w:tcBorders>
              <w:top w:val="single" w:sz="8" w:color="CFF0FC"/>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Exercisable at the end of the period</w:t>
            </w:r>
          </w:p>
        </w:tc>
        <w:tc>
          <w:tcPr>
            <w:tcW w:w="2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4,217,432</w:t>
            </w:r>
          </w:p>
        </w:tc>
        <w:tc>
          <w:tcPr>
            <w:tcW w:w="2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4,217,432</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-290830</wp:posOffset>
            </wp:positionV>
            <wp:extent cx="603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-290830</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right="70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sets forth a summary of the activities of the Company’s 2023 Common Warrant liability, which represents a recurring measurement that is classified with Level 3 of the fair value hierarchy wherein the fair value is estimated using significant unobservable inputs (in thousands):</w:t>
      </w:r>
    </w:p>
    <w:p>
      <w:pPr>
        <w:spacing w:after="0" w:line="223" w:lineRule="exact"/>
        <w:rPr>
          <w:sz w:val="20"/>
          <w:szCs w:val="20"/>
          <w:color w:val="auto"/>
        </w:rPr>
      </w:pPr>
    </w:p>
    <w:tbl>
      <w:tblPr>
        <w:tblLayout w:type="fixed"/>
        <w:tblInd w:w="520" w:type="dxa"/>
        <w:tblCellMar>
          <w:top w:w="0" w:type="dxa"/>
          <w:left w:w="0" w:type="dxa"/>
          <w:bottom w:w="0" w:type="dxa"/>
          <w:right w:w="0" w:type="dxa"/>
        </w:tblCellMar>
      </w:tblPr>
      <w:tr>
        <w:trPr>
          <w:trHeight w:val="173"/>
        </w:trPr>
        <w:tc>
          <w:tcPr>
            <w:tcW w:w="31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520" w:type="dxa"/>
            <w:vAlign w:val="bottom"/>
            <w:tcBorders>
              <w:bottom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5"/>
                <w:szCs w:val="15"/>
                <w:color w:val="auto"/>
              </w:rPr>
            </w:pPr>
          </w:p>
        </w:tc>
      </w:tr>
      <w:tr>
        <w:trPr>
          <w:trHeight w:val="210"/>
        </w:trPr>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liability</w:t>
            </w:r>
          </w:p>
        </w:tc>
        <w:tc>
          <w:tcPr>
            <w:tcW w:w="3440" w:type="dxa"/>
            <w:vAlign w:val="bottom"/>
            <w:gridSpan w:val="2"/>
            <w:shd w:val="clear" w:color="auto" w:fill="CFF0FC"/>
          </w:tcPr>
          <w:p>
            <w:pPr>
              <w:jc w:val="right"/>
              <w:ind w:right="154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12,183</w:t>
            </w:r>
          </w:p>
        </w:tc>
        <w:tc>
          <w:tcPr>
            <w:tcW w:w="6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72,367</w:t>
            </w:r>
          </w:p>
        </w:tc>
        <w:tc>
          <w:tcPr>
            <w:tcW w:w="100" w:type="dxa"/>
            <w:vAlign w:val="bottom"/>
            <w:shd w:val="clear" w:color="auto" w:fill="CFF0FC"/>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7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(6,560)</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(60,184)</w:t>
            </w:r>
          </w:p>
        </w:tc>
      </w:tr>
      <w:tr>
        <w:trPr>
          <w:trHeight w:val="20"/>
        </w:trPr>
        <w:tc>
          <w:tcPr>
            <w:tcW w:w="3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liability</w:t>
            </w:r>
          </w:p>
        </w:tc>
        <w:tc>
          <w:tcPr>
            <w:tcW w:w="3440" w:type="dxa"/>
            <w:vAlign w:val="bottom"/>
            <w:gridSpan w:val="2"/>
            <w:shd w:val="clear" w:color="auto" w:fill="CFF0FC"/>
          </w:tcPr>
          <w:p>
            <w:pPr>
              <w:jc w:val="right"/>
              <w:ind w:right="154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5,623</w:t>
            </w:r>
          </w:p>
        </w:tc>
        <w:tc>
          <w:tcPr>
            <w:tcW w:w="6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12,183</w:t>
            </w:r>
          </w:p>
        </w:tc>
        <w:tc>
          <w:tcPr>
            <w:tcW w:w="100" w:type="dxa"/>
            <w:vAlign w:val="bottom"/>
            <w:shd w:val="clear" w:color="auto" w:fill="CFF0FC"/>
          </w:tcPr>
          <w:p>
            <w:pPr>
              <w:spacing w:after="0"/>
              <w:rPr>
                <w:sz w:val="18"/>
                <w:szCs w:val="18"/>
                <w:color w:val="auto"/>
              </w:rPr>
            </w:pPr>
          </w:p>
        </w:tc>
      </w:tr>
      <w:tr>
        <w:trPr>
          <w:trHeight w:val="20"/>
        </w:trPr>
        <w:tc>
          <w:tcPr>
            <w:tcW w:w="3180" w:type="dxa"/>
            <w:vAlign w:val="bottom"/>
            <w:shd w:val="clear" w:color="auto" w:fill="CFF0FC"/>
          </w:tcPr>
          <w:p>
            <w:pPr>
              <w:spacing w:after="0" w:line="20" w:lineRule="exact"/>
              <w:rPr>
                <w:sz w:val="1"/>
                <w:szCs w:val="1"/>
                <w:color w:val="auto"/>
              </w:rPr>
            </w:pPr>
          </w:p>
        </w:tc>
        <w:tc>
          <w:tcPr>
            <w:tcW w:w="1740" w:type="dxa"/>
            <w:vAlign w:val="bottom"/>
            <w:shd w:val="clear" w:color="auto" w:fill="CFF0FC"/>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-7620</wp:posOffset>
            </wp:positionV>
            <wp:extent cx="596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-7620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fair value of the 2023 Common Warrants was measured using the Black Scholes option pricing model and will be remeasured each reporting period, and the change in fair value will be recorded in earnings. The fair value of the 2023 Common Warrants is inherently sensitive to changes in the Company's stock price and related volatility assumptions. The assumptions that the Company used to determine the fair value at the reporting date were as follows:</w:t>
      </w:r>
    </w:p>
    <w:p>
      <w:pPr>
        <w:spacing w:after="0" w:line="227" w:lineRule="exact"/>
        <w:rPr>
          <w:sz w:val="20"/>
          <w:szCs w:val="20"/>
          <w:color w:val="auto"/>
        </w:rPr>
      </w:pPr>
    </w:p>
    <w:tbl>
      <w:tblPr>
        <w:tblLayout w:type="fixed"/>
        <w:tblInd w:w="52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194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52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24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15"/>
                <w:szCs w:val="15"/>
                <w:color w:val="auto"/>
              </w:rPr>
            </w:pPr>
          </w:p>
        </w:tc>
      </w:tr>
      <w:tr>
        <w:trPr>
          <w:trHeight w:val="210"/>
        </w:trPr>
        <w:tc>
          <w:tcPr>
            <w:tcW w:w="6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440" w:type="dxa"/>
            <w:vAlign w:val="bottom"/>
            <w:shd w:val="clear" w:color="auto" w:fill="CFF0FC"/>
          </w:tcPr>
          <w:p>
            <w:pPr>
              <w:spacing w:after="0"/>
              <w:rPr>
                <w:sz w:val="18"/>
                <w:szCs w:val="18"/>
                <w:color w:val="auto"/>
              </w:rPr>
            </w:pPr>
          </w:p>
        </w:tc>
        <w:tc>
          <w:tcPr>
            <w:tcW w:w="2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80" w:type="dxa"/>
            <w:vAlign w:val="bottom"/>
            <w:shd w:val="clear" w:color="auto" w:fill="CFF0FC"/>
          </w:tcPr>
          <w:p>
            <w:pPr>
              <w:spacing w:after="0"/>
              <w:rPr>
                <w:sz w:val="18"/>
                <w:szCs w:val="18"/>
                <w:color w:val="auto"/>
              </w:rPr>
            </w:pP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5.05%</w:t>
            </w:r>
          </w:p>
        </w:tc>
        <w:tc>
          <w:tcPr>
            <w:tcW w:w="2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3.72%</w:t>
            </w:r>
          </w:p>
        </w:tc>
      </w:tr>
      <w:tr>
        <w:trPr>
          <w:trHeight w:val="216"/>
        </w:trPr>
        <w:tc>
          <w:tcPr>
            <w:tcW w:w="6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18"/>
                <w:szCs w:val="18"/>
                <w:color w:val="auto"/>
              </w:rPr>
            </w:pPr>
          </w:p>
        </w:tc>
        <w:tc>
          <w:tcPr>
            <w:tcW w:w="2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r>
      <w:tr>
        <w:trPr>
          <w:trHeight w:val="234"/>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Volatility</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91.54%</w:t>
            </w:r>
          </w:p>
        </w:tc>
        <w:tc>
          <w:tcPr>
            <w:tcW w:w="2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90.98%</w:t>
            </w:r>
          </w:p>
        </w:tc>
      </w:tr>
    </w:tbl>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information about shares issuable under the 2023 and 2025 Common Warrants outstanding at September 30, 2026:</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4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Common warrant shares outstanding</w:t>
            </w:r>
          </w:p>
        </w:tc>
        <w:tc>
          <w:tcPr>
            <w:tcW w:w="256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360" w:type="dxa"/>
            <w:vAlign w:val="bottom"/>
          </w:tcPr>
          <w:p>
            <w:pPr>
              <w:spacing w:after="0"/>
              <w:rPr>
                <w:sz w:val="15"/>
                <w:szCs w:val="15"/>
                <w:color w:val="auto"/>
              </w:rPr>
            </w:pPr>
          </w:p>
        </w:tc>
        <w:tc>
          <w:tcPr>
            <w:tcW w:w="258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600" w:type="dxa"/>
            <w:vAlign w:val="bottom"/>
            <w:gridSpan w:val="2"/>
          </w:tcPr>
          <w:p>
            <w:pPr>
              <w:spacing w:after="0"/>
              <w:rPr>
                <w:sz w:val="15"/>
                <w:szCs w:val="15"/>
                <w:color w:val="auto"/>
              </w:rPr>
            </w:pPr>
          </w:p>
        </w:tc>
      </w:tr>
      <w:tr>
        <w:trPr>
          <w:trHeight w:val="210"/>
        </w:trPr>
        <w:tc>
          <w:tcPr>
            <w:tcW w:w="520" w:type="dxa"/>
            <w:vAlign w:val="bottom"/>
          </w:tcPr>
          <w:p>
            <w:pPr>
              <w:spacing w:after="0"/>
              <w:rPr>
                <w:sz w:val="18"/>
                <w:szCs w:val="18"/>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the beginning of the year</w:t>
            </w:r>
          </w:p>
        </w:tc>
        <w:tc>
          <w:tcPr>
            <w:tcW w:w="2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4,213,767</w:t>
            </w:r>
          </w:p>
        </w:tc>
        <w:tc>
          <w:tcPr>
            <w:tcW w:w="2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2,200,858</w:t>
            </w:r>
          </w:p>
        </w:tc>
        <w:tc>
          <w:tcPr>
            <w:tcW w:w="100" w:type="dxa"/>
            <w:vAlign w:val="bottom"/>
            <w:shd w:val="clear" w:color="auto" w:fill="CFF0FC"/>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Issued</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2,012,909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4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2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FF0FC"/>
            </w:tcBorders>
            <w:shd w:val="clear" w:color="auto" w:fill="CFF0FC"/>
          </w:tcPr>
          <w:p>
            <w:pPr>
              <w:spacing w:after="0"/>
              <w:rPr>
                <w:sz w:val="18"/>
                <w:szCs w:val="18"/>
                <w:color w:val="auto"/>
              </w:rPr>
            </w:pPr>
          </w:p>
        </w:tc>
        <w:tc>
          <w:tcPr>
            <w:tcW w:w="2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500" w:type="dxa"/>
            <w:vAlign w:val="bottom"/>
          </w:tcPr>
          <w:p>
            <w:pPr>
              <w:spacing w:after="0"/>
              <w:rPr>
                <w:sz w:val="18"/>
                <w:szCs w:val="18"/>
                <w:color w:val="auto"/>
              </w:rPr>
            </w:pPr>
          </w:p>
        </w:tc>
      </w:tr>
      <w:tr>
        <w:trPr>
          <w:trHeight w:val="210"/>
        </w:trPr>
        <w:tc>
          <w:tcPr>
            <w:tcW w:w="5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the end of the period</w:t>
            </w:r>
          </w:p>
        </w:tc>
        <w:tc>
          <w:tcPr>
            <w:tcW w:w="2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4,213,767</w:t>
            </w:r>
          </w:p>
        </w:tc>
        <w:tc>
          <w:tcPr>
            <w:tcW w:w="360" w:type="dxa"/>
            <w:vAlign w:val="bottom"/>
          </w:tcPr>
          <w:p>
            <w:pPr>
              <w:spacing w:after="0"/>
              <w:rPr>
                <w:sz w:val="18"/>
                <w:szCs w:val="18"/>
                <w:color w:val="auto"/>
              </w:rPr>
            </w:pPr>
          </w:p>
        </w:tc>
        <w:tc>
          <w:tcPr>
            <w:tcW w:w="2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4,213,767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09"/>
        </w:trPr>
        <w:tc>
          <w:tcPr>
            <w:tcW w:w="520" w:type="dxa"/>
            <w:vAlign w:val="bottom"/>
          </w:tcPr>
          <w:p>
            <w:pPr>
              <w:spacing w:after="0"/>
              <w:rPr>
                <w:sz w:val="18"/>
                <w:szCs w:val="18"/>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Exercisable at the end of the period</w:t>
            </w:r>
          </w:p>
        </w:tc>
        <w:tc>
          <w:tcPr>
            <w:tcW w:w="2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4,213,767</w:t>
            </w:r>
          </w:p>
        </w:tc>
        <w:tc>
          <w:tcPr>
            <w:tcW w:w="2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4,213,767</w:t>
            </w:r>
          </w:p>
        </w:tc>
        <w:tc>
          <w:tcPr>
            <w:tcW w:w="100" w:type="dxa"/>
            <w:vAlign w:val="bottom"/>
            <w:shd w:val="clear" w:color="auto" w:fill="CFF0FC"/>
          </w:tcPr>
          <w:p>
            <w:pPr>
              <w:spacing w:after="0"/>
              <w:rPr>
                <w:sz w:val="18"/>
                <w:szCs w:val="18"/>
                <w:color w:val="auto"/>
              </w:rPr>
            </w:pPr>
          </w:p>
        </w:tc>
        <w:tc>
          <w:tcPr>
            <w:tcW w:w="500" w:type="dxa"/>
            <w:vAlign w:val="bottom"/>
          </w:tcPr>
          <w:p>
            <w:pPr>
              <w:spacing w:after="0"/>
              <w:rPr>
                <w:sz w:val="18"/>
                <w:szCs w:val="18"/>
                <w:color w:val="auto"/>
              </w:rPr>
            </w:pPr>
          </w:p>
        </w:tc>
      </w:tr>
      <w:tr>
        <w:trPr>
          <w:trHeight w:val="648"/>
        </w:trPr>
        <w:tc>
          <w:tcPr>
            <w:tcW w:w="5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560" w:type="dxa"/>
            <w:vAlign w:val="bottom"/>
          </w:tcPr>
          <w:p>
            <w:pPr>
              <w:jc w:val="right"/>
              <w:ind w:right="1893"/>
              <w:spacing w:after="0"/>
              <w:rPr>
                <w:sz w:val="20"/>
                <w:szCs w:val="20"/>
                <w:color w:val="auto"/>
              </w:rPr>
            </w:pPr>
            <w:r>
              <w:rPr>
                <w:rFonts w:ascii="Times New Roman" w:cs="Times New Roman" w:eastAsia="Times New Roman" w:hAnsi="Times New Roman"/>
                <w:sz w:val="18"/>
                <w:szCs w:val="18"/>
                <w:color w:val="auto"/>
              </w:rPr>
              <w:t>11</w:t>
            </w:r>
          </w:p>
        </w:tc>
        <w:tc>
          <w:tcPr>
            <w:tcW w:w="3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763"/>
        </w:trPr>
        <w:tc>
          <w:tcPr>
            <w:tcW w:w="52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-1199515</wp:posOffset>
            </wp:positionV>
            <wp:extent cx="603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-1199515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6" w:name="page17"/>
    <w:bookmarkEnd w:id="16"/>
    <w:p>
      <w:pPr>
        <w:ind w:left="520" w:right="6200" w:hanging="512"/>
        <w:spacing w:after="0" w:line="393" w:lineRule="auto"/>
        <w:tabs>
          <w:tab w:leader="none" w:pos="5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Equity Incentive Awards and Stock-based Compensation </w:t>
      </w:r>
      <w:r>
        <w:rPr>
          <w:rFonts w:ascii="Times New Roman" w:cs="Times New Roman" w:eastAsia="Times New Roman" w:hAnsi="Times New Roman"/>
          <w:sz w:val="18"/>
          <w:szCs w:val="18"/>
          <w:b w:val="1"/>
          <w:bCs w:val="1"/>
          <w:i w:val="1"/>
          <w:iCs w:val="1"/>
          <w:color w:val="auto"/>
        </w:rPr>
        <w:t>Stock options</w:t>
      </w:r>
    </w:p>
    <w:p>
      <w:pPr>
        <w:spacing w:after="0" w:line="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Stock option activity during the nine months ended September 30, 2026 is as follows:</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4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4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subject</w:t>
            </w:r>
          </w:p>
        </w:tc>
        <w:tc>
          <w:tcPr>
            <w:tcW w:w="18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 options</w:t>
            </w:r>
          </w:p>
        </w:tc>
        <w:tc>
          <w:tcPr>
            <w:tcW w:w="180" w:type="dxa"/>
            <w:vAlign w:val="bottom"/>
          </w:tcPr>
          <w:p>
            <w:pPr>
              <w:spacing w:after="0"/>
              <w:rPr>
                <w:sz w:val="15"/>
                <w:szCs w:val="15"/>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1,728,737</w:t>
            </w:r>
          </w:p>
        </w:tc>
        <w:tc>
          <w:tcPr>
            <w:tcW w:w="24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220" w:type="dxa"/>
            <w:vAlign w:val="bottom"/>
            <w:tcBorders>
              <w:left w:val="single" w:sz="8" w:color="CFF0FC"/>
            </w:tcBorders>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512,825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Forfeited or Expired</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(86,698)</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September 30, 2026</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2,154,864</w:t>
            </w:r>
          </w:p>
        </w:tc>
        <w:tc>
          <w:tcPr>
            <w:tcW w:w="24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220" w:type="dxa"/>
            <w:vAlign w:val="bottom"/>
            <w:tcBorders>
              <w:left w:val="single" w:sz="8" w:color="CFF0FC"/>
            </w:tcBorders>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0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220" w:type="dxa"/>
            <w:vAlign w:val="bottom"/>
            <w:tcBorders>
              <w:left w:val="single" w:sz="8" w:color="CFF0FC"/>
            </w:tcBorders>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Options vested and expected to vest as of September 30, 2026</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2,154,864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vested and exercisable as of September 30, 2026</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833,031</w:t>
            </w:r>
          </w:p>
        </w:tc>
        <w:tc>
          <w:tcPr>
            <w:tcW w:w="24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220" w:type="dxa"/>
            <w:vAlign w:val="bottom"/>
            <w:tcBorders>
              <w:left w:val="single" w:sz="8" w:color="CFF0FC"/>
            </w:tcBorders>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4600" w:type="dxa"/>
            <w:vAlign w:val="bottom"/>
            <w:tcBorders>
              <w:top w:val="single" w:sz="8" w:color="CFF0FC"/>
            </w:tcBorders>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tc>
        <w:tc>
          <w:tcPr>
            <w:tcW w:w="12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040" w:type="dxa"/>
            <w:vAlign w:val="bottom"/>
            <w:tcBorders>
              <w:top w:val="single" w:sz="8" w:color="CFF0FC"/>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80" w:type="dxa"/>
            <w:vAlign w:val="bottom"/>
            <w:tcBorders>
              <w:top w:val="single" w:sz="8" w:color="CFF0FC"/>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5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Restricted stock unit activity during the nine months ended September 30, 2026 is as follows:</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of Awards</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Issued and unvested as of December 31, 2025</w:t>
            </w:r>
          </w:p>
        </w:tc>
        <w:tc>
          <w:tcPr>
            <w:tcW w:w="124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76,786</w:t>
            </w:r>
          </w:p>
        </w:tc>
        <w:tc>
          <w:tcPr>
            <w:tcW w:w="220" w:type="dxa"/>
            <w:vAlign w:val="bottom"/>
            <w:tcBorders>
              <w:left w:val="single" w:sz="8" w:color="CFF0FC"/>
            </w:tcBorders>
            <w:shd w:val="clear" w:color="auto" w:fill="CFF0FC"/>
          </w:tcPr>
          <w:p>
            <w:pPr>
              <w:spacing w:after="0"/>
              <w:rPr>
                <w:sz w:val="18"/>
                <w:szCs w:val="18"/>
                <w:color w:val="auto"/>
              </w:rPr>
            </w:pPr>
          </w:p>
        </w:tc>
        <w:tc>
          <w:tcPr>
            <w:tcW w:w="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13,595</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and released</w:t>
            </w:r>
          </w:p>
        </w:tc>
        <w:tc>
          <w:tcPr>
            <w:tcW w:w="124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(21,605)</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00" w:type="dxa"/>
            <w:vAlign w:val="bottom"/>
            <w:shd w:val="clear" w:color="auto" w:fill="CFF0FC"/>
          </w:tcPr>
          <w:p>
            <w:pPr>
              <w:spacing w:after="0" w:line="20" w:lineRule="exact"/>
              <w:rPr>
                <w:sz w:val="1"/>
                <w:szCs w:val="1"/>
                <w:color w:val="auto"/>
              </w:rPr>
            </w:pPr>
          </w:p>
        </w:tc>
        <w:tc>
          <w:tcPr>
            <w:tcW w:w="1240" w:type="dxa"/>
            <w:vAlign w:val="bottom"/>
            <w:shd w:val="clear" w:color="auto" w:fill="CFF0FC"/>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Borders>
              <w:left w:val="single" w:sz="8" w:color="CFF0FC"/>
            </w:tcBorders>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Issued and unvested as of September 30, 2026</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68,776</w:t>
            </w:r>
          </w:p>
        </w:tc>
        <w:tc>
          <w:tcPr>
            <w:tcW w:w="220" w:type="dxa"/>
            <w:vAlign w:val="bottom"/>
          </w:tcPr>
          <w:p>
            <w:pPr>
              <w:spacing w:after="0"/>
              <w:rPr>
                <w:sz w:val="18"/>
                <w:szCs w:val="18"/>
                <w:color w:val="auto"/>
              </w:rPr>
            </w:pP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-2013585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-2013585</wp:posOffset>
            </wp:positionV>
            <wp:extent cx="596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-1722120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-1722120</wp:posOffset>
            </wp:positionV>
            <wp:extent cx="596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-153670</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-153670</wp:posOffset>
            </wp:positionV>
            <wp:extent cx="5969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Stock-based compensation expense was allocated as follows for the three and nine months ended September 30, 2026 and 2025 (in thousands):</w:t>
      </w:r>
    </w:p>
    <w:p>
      <w:pPr>
        <w:spacing w:after="0" w:line="178" w:lineRule="exact"/>
        <w:rPr>
          <w:sz w:val="20"/>
          <w:szCs w:val="20"/>
          <w:color w:val="auto"/>
        </w:rPr>
      </w:pPr>
    </w:p>
    <w:tbl>
      <w:tblPr>
        <w:tblLayout w:type="fixed"/>
        <w:tblInd w:w="152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gridSpan w:val="4"/>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gridSpan w:val="4"/>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8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35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3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3,960</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3,586</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-24765</wp:posOffset>
            </wp:positionV>
            <wp:extent cx="514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-7620</wp:posOffset>
            </wp:positionV>
            <wp:extent cx="514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-24765</wp:posOffset>
            </wp:positionV>
            <wp:extent cx="514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-7620</wp:posOffset>
            </wp:positionV>
            <wp:extent cx="514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-24765</wp:posOffset>
            </wp:positionV>
            <wp:extent cx="514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-7620</wp:posOffset>
            </wp:positionV>
            <wp:extent cx="514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514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514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49"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117"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License Agreement with Amoytop</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May 2026, the Company and Xiamen Amoytop Biotech Co., Ltd (Amoytop) entered into a License Agreement (the Amoytop License Agreement) to develop and commercialize pevifoscorvir sodium in Greater China for chronic HBV infection. Along with a $25.0 million, net of Chinese withholding tax, upfront payment, Aligos is entitled to up to $420 million in clinical, regulatory, and sales milestones with tiered, high single-digit royalties. These potential payments consist of (i) development milestones and (ii) sales-based milestones. Under the terms of the agreement, the Company received an upfront payment of $25.0 million, net of Chinese withholding tax, in July 2026.</w:t>
      </w:r>
    </w:p>
    <w:p>
      <w:pPr>
        <w:spacing w:after="0" w:line="75"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Company determined that the Amoytop License Agreement falls within the scope of ASC 606. The agreement did not fall under the ASC 808 guidance due to Amoytop and the Company not being joint active participants, and both parties not having significant risks and rewards. Management of the Company determined that the provision of the license along with initial transfer of</w:t>
      </w:r>
    </w:p>
    <w:p>
      <w:pPr>
        <w:spacing w:after="0" w:line="17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24" w:right="479" w:bottom="1440" w:gutter="0" w:footer="0" w:header="0"/>
        </w:sectPr>
      </w:pPr>
    </w:p>
    <w:bookmarkStart w:id="17" w:name="page18"/>
    <w:bookmarkEnd w:id="17"/>
    <w:p>
      <w:pPr>
        <w:ind w:right="180"/>
        <w:spacing w:after="0" w:line="261" w:lineRule="auto"/>
        <w:rPr>
          <w:sz w:val="20"/>
          <w:szCs w:val="20"/>
          <w:color w:val="auto"/>
        </w:rPr>
      </w:pPr>
      <w:r>
        <w:rPr>
          <w:rFonts w:ascii="Times New Roman" w:cs="Times New Roman" w:eastAsia="Times New Roman" w:hAnsi="Times New Roman"/>
          <w:sz w:val="18"/>
          <w:szCs w:val="18"/>
          <w:color w:val="auto"/>
        </w:rPr>
        <w:t>know-how were not distinct within the context of the contract and therefore represent a single performance obligation and the related upfront payment is recognized at a point in time. In addition, variable consideration (e.g., milestone payments and royalties) was evaluated based on the Company’s analysis that the probability of achieving any of the milestone payments is remote, and therefore determined to be constrained and excluded from the transaction price.</w:t>
      </w:r>
    </w:p>
    <w:p>
      <w:pPr>
        <w:spacing w:after="0" w:line="72" w:lineRule="exact"/>
        <w:rPr>
          <w:sz w:val="20"/>
          <w:szCs w:val="20"/>
          <w:color w:val="auto"/>
        </w:rPr>
      </w:pPr>
    </w:p>
    <w:p>
      <w:pPr>
        <w:ind w:right="200" w:firstLine="554"/>
        <w:spacing w:after="0" w:line="289" w:lineRule="auto"/>
        <w:rPr>
          <w:sz w:val="20"/>
          <w:szCs w:val="20"/>
          <w:color w:val="auto"/>
        </w:rPr>
      </w:pPr>
      <w:r>
        <w:rPr>
          <w:rFonts w:ascii="Times New Roman" w:cs="Times New Roman" w:eastAsia="Times New Roman" w:hAnsi="Times New Roman"/>
          <w:sz w:val="17"/>
          <w:szCs w:val="17"/>
          <w:color w:val="auto"/>
        </w:rPr>
        <w:t>During the three and nine months ended September 30, 2026, the Company recognized $39.0 thousand and $27.8 million in revenue from license agreements related to the upfront payment. In addition, an amount of $2.8 million of withholding taxes was recognized as income tax expense with a corresponding liability. During the three and nine months ended September 30, 2025, there was no revenue from licensing agreements recognized.</w:t>
      </w:r>
    </w:p>
    <w:p>
      <w:pPr>
        <w:spacing w:after="0" w:line="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Collaboration Agreement with Amoytop</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In May 2023, the Company and Amoytop entered into a Research Collaboration and Development Agreement (the Amoytop Collaboration Agreement) with a focus on nucleic acid technology for HBV treatment, with the Company granting to Amoytop an exclusive, time-limited option to enter into an exclusive, territory-limited license to develop and commercialize such compounds. Under the terms of the agreement, the Company received an upfront payment of $7.0 million, less withholding taxes of $1.1 million from Amoytop. With respect to the agreement, the Company is eligible for up to $109.0 million in development and commercialization milestones as well as tiered royalties on net sales. These potential payments consist of (i) potential development milestones (such as for the commencement of a Good Laboratory Practice toxicology study for a collaboration compound, approval of IND by regulatory authority, initiation of Phase 2 and 3 clinical trials, and regulatory approval of a licensed product), and (ii) sales-based milestones.</w:t>
      </w:r>
    </w:p>
    <w:p>
      <w:pPr>
        <w:spacing w:after="0" w:line="8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In May 2024, the Company and Amoytop entered into an extension to the Amoytop Collaboration Agreement, covering work performed through January 2025. Under the terms of the agreement, the Company received an upfront payment of $1.5 million, which was recognized as revenue from contracts with customers from the second quarter of 2024 through the first quarter of 2025.</w:t>
      </w:r>
    </w:p>
    <w:p>
      <w:pPr>
        <w:spacing w:after="0" w:line="68"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May 2025, the Company and Amoytop entered into an additional extension to the Amoytop Collaboration Agreement, covering work performed through approximately November 2025. Under the terms of the agreement, the Company received an upfront payment of $1.0 million, which was recognized as revenue from contracts with customers from the second quarter of 2025 through the fourth quarter of 2025.</w:t>
      </w:r>
    </w:p>
    <w:p>
      <w:pPr>
        <w:spacing w:after="0" w:line="68"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In September 2025, Amoytop exercised its option to obtain an exclusive, territory-limited license to one compound developed under the Amoytop Collaboration Agreement, with the right to choose an alternative compound among three identified candidates following the completion of certain IND-enabling studies. IND-enabling studies began on its chosen compound in January 2026, triggering a milestone payment of $3.0 million, of which the Company recognized $2.8 million as revenue from contracts with customers, net of $0.2 million of value-added tax withheld in China.</w:t>
      </w:r>
    </w:p>
    <w:p>
      <w:pPr>
        <w:spacing w:after="0" w:line="72"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In July 2026, Amoytop received IND approval in China on its chosen compound, triggering a milestone payment of $3.0 million, of which the Company recognized $2.8 million as revenue from contracts with customers, net of $0.2 million of value-added tax withheld in China.</w:t>
      </w:r>
    </w:p>
    <w:p>
      <w:pPr>
        <w:spacing w:after="0" w:line="5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Company determined that the Amoytop Collaboration Agreement falls within the scope of ASC 606. The agreement did not fall under the ASC 808 guidance due to Amoytop and the Company not being joint active participants, and both parties not having significant risks and rewards. Management of the Company determined that there were three performance obligations for the agreement given the deliverables are distinct. The Company evaluated the standalone selling price for each obligation based on available data for similar arrangements. The Company evaluated the performance obligations and determined the provision of R&amp;D services for the collaboration compound performance obligation will be satisfied over time, the research license including data and know-how has been satisfied, and the provision of materials will be satisfied upon delivery. Given the nature of the arrangement, the Company believes that the satisfaction of its performance obligations is best measured by the progress of its efforts as it relates to the performance of the R&amp;D services. As such, the Company has used an input method based on costs incurred to recognize revenue associated with the upfront payments, and the Company recognizes revenue over time based on the costs incurred. The effect of any updates to the estimated overall costs are recorded as a change in estimate. In addition, variable consideration (e.g., milestone payments) were evaluated based on the Company’s analysis that the probability of achieving any of the milestone payments is remote, and therefore determined to be constrained and excluded from the transaction price.</w:t>
      </w:r>
    </w:p>
    <w:p>
      <w:pPr>
        <w:spacing w:after="0" w:line="84" w:lineRule="exact"/>
        <w:rPr>
          <w:sz w:val="20"/>
          <w:szCs w:val="20"/>
          <w:color w:val="auto"/>
        </w:rPr>
      </w:pPr>
    </w:p>
    <w:p>
      <w:pPr>
        <w:ind w:right="280" w:firstLine="554"/>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2026, the Company recognized $2.8 million and $5.7 million in revenue from customers related to milestone payments described above, less withholding taxes.</w:t>
      </w:r>
    </w:p>
    <w:p>
      <w:pPr>
        <w:spacing w:after="0" w:line="54"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2025, the Company recognized no revenue from customers related to milestone payments. During the three and nine months ended September 30, 2025, the Company recognized $0.7 million and $2.0 million, respectively, in revenue from customers related to upfront payments.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18" w:name="page19"/>
    <w:bookmarkEnd w:id="18"/>
    <w:p>
      <w:pPr>
        <w:ind w:left="520" w:hanging="512"/>
        <w:spacing w:after="0"/>
        <w:tabs>
          <w:tab w:leader="none" w:pos="5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In-licensing agreements</w:t>
      </w:r>
    </w:p>
    <w:p>
      <w:pPr>
        <w:spacing w:after="0" w:line="117"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Agreement with Emory University (Emory)</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June 2018, the Company entered into a license agreement with Emory (the Emory License Agreement), pursuant to which Emory granted the Company a worldwide, sublicensable license under certain of its intellectual property rights to make, have made, develop, use, offer to sell, sell, import and export products containing certain compounds relating to Emory’s hepatitis B virus capsid assembly modulator technology, for all therapeutic and prophylactic uses. Such license is initially exclusive with respect to specified licensed patents owned by Emory and non-exclusive with respect to certain of Emory’s specified know-how. In June 2022, the license to such patents became non-exclusive for certain licensed compounds with respect to all fields except for the treatment and prevention of HBV; however, the Company may select up to six compounds which will maintain exclusivity with respect to all therapeutic and prophylactic uses. With respect to all other compounds that are enabled by the licensed patents, those which are jointly invented by the Company and Emory or inventors in the Schinazi laboratory, or which are disclosed in a specified licensed patent, are licensed to the Company exclusively including as to Emory; whereas all other such compounds are licensed to the Company non-exclusively. Under the terms of the Emory License Agreement, the Company is obligated to use commercially reasonable efforts to bring licensed products to market in accordance with a mutually agreed upon development plan. Unless terminated earlier by either party in accordance with the provisions thereof, the Emory License Agreement shall continue until the expiration of the last-to-expire of the patents licensed to the Company thereunder.</w:t>
      </w:r>
    </w:p>
    <w:p>
      <w:pPr>
        <w:spacing w:after="0" w:line="8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June 2020, the Company amended the license agreement with Emory. Pursuant to the amended license agreement, Emory granted the Company additional patent rights to certain compounds targeting the treatment or prevention of HBV. As consideration for the additional rights, the Company made a one-time, non-refundable payment to Emory in the amount of $0.2 million, with an additional obligation to pay up to a maximum of $35,000. On the same date, the Company entered into a collaboration agreement with Emory, with the initial research plan pertaining to the synthesis and evaluation of the compounds licensed through the additional patent rights granted in the amended license agreement. The research plan was set to terminate one year from the effective date of June 2020 but the Company exercised its option to extend it for a second year. In June 2022, the research plan terminated.</w:t>
      </w:r>
    </w:p>
    <w:p>
      <w:pPr>
        <w:spacing w:after="0" w:line="7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Company has agreed to pay Emory up to an aggregate of $125.0 million upon the achievement of specified development, regulatory, and commercial milestones, and all ongoing patent costs. During the three and nine months ended September 30, 2026, no milestone payments were made. During the three and nine months ended September 30, 2025, the Company made a $9.0 million payment to Emory following the first subject dosed in the Phase 2 study. The Company also agreed to pay Emory tiered single-digit royalties on worldwide annual net sales of licensed products, on a quarterly basis and calculated on a product-by-product basis. With respect to licensed products containing any of a specified subset of the licensed compounds, such royalties range from a mid-single digit to a high-single digit percentage rate. With respect to licensed products which do not contain such compounds, the royalties range from a low-single digit to a mid-single digit rate. The Company is obligated to pay Emory a certain percentage of upfront fees received by the Company from certain sublicensees. Under this provision, the Company paid $1.5 million to Emory in connection with the Amoytop License Agreement.</w:t>
      </w:r>
    </w:p>
    <w:p>
      <w:pPr>
        <w:spacing w:after="0" w:line="80"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2026, the Company recognized a $1.5 million payment for the aforementioned provision in research and development expenses.</w:t>
      </w:r>
    </w:p>
    <w:p>
      <w:pPr>
        <w:spacing w:after="0" w:line="54"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2025, the Company made no payments associated with royalties and recognized no expense or accruals.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Agreement with Katholieke Universiteit Leuven (KU Leuven)</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On June 25, 2020, the Company entered into a Research, Licensing and Commercialization Agreement (KU Leuven Agreement) with KU Leuven, under which the Company is collaborating with KU Leuven’s Rega Institute for Medical Research, as well as its Centre for Drug Design and Discovery, to research and develop potential protease inhibitors for the treatment, diagnosis or prevention of coronaviruses, including of SARS-CoV-2. Unless terminated earlier by either party in accordance with provisions in the agreement, the collaboration period terminated at the earlier of completion of all collaboration activities or 2.5 years. In connection with the KU Leuven Agreement, KU Leuven and the Company granted each other exclusive cross-licenses to use certain know-how and existing patents of the other party as well as certain joint know-how and joint patents to carry out research and development collaboration activities during the collaboration period. As of December 2022, the original collaboration period expired. An amendment to the agreement was agreed in July 2023 to include a new collaboration plan. KU Leuven granted to the Company an exclusive (including as to KU Leuven), worldwide license under certain of KU Leuven’s know-how and existing patents, and certain joint patents and joint know-how, to manufacture and commercialize the licensed products for the treatment, diagnosis or detection of viral infections in humans. KU Leuven reserved the right to use all KU Leuven know-how, existing KU Leuven patents, joint patents and joint know-how for academic and non-commercial research and teaching purposes. As consideration for this license, the Company is obligated to make payments to KU Leuven, in aggregate, totaling up to but no more than $30.0 million upon the achievement of certain commercial sales milestones. For each licensed product developed through KU Leuven and the Company’s collaborative effort, the Company is obligated to make payments to KU Leuven, in aggregate, totaling up to $32.0 million upon the achievement of</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19" w:name="page20"/>
    <w:bookmarkEnd w:id="19"/>
    <w:p>
      <w:pPr>
        <w:ind w:right="40"/>
        <w:spacing w:after="0" w:line="256" w:lineRule="auto"/>
        <w:rPr>
          <w:sz w:val="20"/>
          <w:szCs w:val="20"/>
          <w:color w:val="auto"/>
        </w:rPr>
      </w:pPr>
      <w:r>
        <w:rPr>
          <w:rFonts w:ascii="Times New Roman" w:cs="Times New Roman" w:eastAsia="Times New Roman" w:hAnsi="Times New Roman"/>
          <w:sz w:val="18"/>
          <w:szCs w:val="18"/>
          <w:color w:val="auto"/>
        </w:rPr>
        <w:t>certain development and regulatory milestones. The Company is also required to pay KU Leuven a low-to-mid-single digit royalty percentage, subject to certain adjustments, on net sales of applicable products, if any. The Company is also required to pay a revenue share to KU Leuven should the program be partnered with an external party. Unless terminated earlier by either party, the agreement shall continue until the expiration of the last to expire royalty term, which is the later of the expiration of the last valid patent claim covering the manufacture, use, sale or importation of the licensed product in a particular country or 10 years after the first commercial sale of a licensed product. During the three and nine months ended September 30, 2026, the Company made no payments of royalties or milestones.</w:t>
      </w:r>
    </w:p>
    <w:p>
      <w:pPr>
        <w:spacing w:after="0" w:line="183"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From time to time, the Company may have certain contingent liabilities, including legal matters that arise in the ordinary course of its business activities. The Company accrues a liability for such matters when it is probable that future expenditures will be made and such expenditures can be reasonably estimated. Contingent liabilities requiring accrual were appropriately accrued as of September 30, 2026 and December 31, 2025. The Company enters into contracts in the normal course of business that include arrangements with clinical research organizations, vendors for preclinical research and vendors for manufacturing. These agreements generally allow for cancellation with notice. As of September 30, 2026, the Company had no material non-cancellable purchase commitments.</w:t>
      </w:r>
    </w:p>
    <w:p>
      <w:pPr>
        <w:spacing w:after="0" w:line="183"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Company recorded income tax provision of $3.5 million for the nine months ended September 30, 2026, primarily related to the Company's international operations.</w:t>
      </w:r>
    </w:p>
    <w:p>
      <w:pPr>
        <w:spacing w:after="0" w:line="54"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The Company has a history of losses in prior fiscal years and projects losses for the full year 2026. The Company continues to maintain a full valuation allowance on its net deferred tax assets.</w:t>
      </w:r>
    </w:p>
    <w:p>
      <w:pPr>
        <w:spacing w:after="0" w:line="158"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computation of basic and diluted net loss per share of the Company (in thousands, except share and per share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w:t>
      </w:r>
    </w:p>
    <w:p>
      <w:pPr>
        <w:spacing w:after="0" w:line="296"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60" w:type="dxa"/>
            <w:vAlign w:val="bottom"/>
            <w:gridSpan w:val="6"/>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40" w:type="dxa"/>
            <w:vAlign w:val="bottom"/>
            <w:gridSpan w:val="6"/>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6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8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as reported</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(21,860)</w:t>
            </w:r>
          </w:p>
        </w:tc>
        <w:tc>
          <w:tcPr>
            <w:tcW w:w="4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(31,537)</w:t>
            </w: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(46,404)</w:t>
            </w:r>
          </w:p>
        </w:tc>
        <w:tc>
          <w:tcPr>
            <w:tcW w:w="4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(4,312)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Less: increase in available income</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Diluted net loss</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(21,860)</w:t>
            </w:r>
          </w:p>
        </w:tc>
        <w:tc>
          <w:tcPr>
            <w:tcW w:w="4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(31,537)</w:t>
            </w: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(46,404)</w:t>
            </w:r>
          </w:p>
        </w:tc>
        <w:tc>
          <w:tcPr>
            <w:tcW w:w="4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(4,312)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Weighted average shares outstanding, basic</w:t>
            </w: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10,461,954</w:t>
            </w: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10,369,535</w:t>
            </w:r>
          </w:p>
        </w:tc>
        <w:tc>
          <w:tcPr>
            <w:tcW w:w="280" w:type="dxa"/>
            <w:vAlign w:val="bottom"/>
            <w:tcBorders>
              <w:top w:val="single" w:sz="8" w:color="CFF0FC"/>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10,432,125</w:t>
            </w:r>
          </w:p>
        </w:tc>
        <w:tc>
          <w:tcPr>
            <w:tcW w:w="14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9,716,895</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Add: Weighted average shares issuable</w:t>
            </w:r>
          </w:p>
        </w:tc>
        <w:tc>
          <w:tcPr>
            <w:tcW w:w="2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shares outstanding, diluted</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10,461,954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10,369,535</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10,432,125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9,716,895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per share - basic</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(2.09)</w:t>
            </w:r>
          </w:p>
        </w:tc>
        <w:tc>
          <w:tcPr>
            <w:tcW w:w="4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(3.04)</w:t>
            </w: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(4.45)</w:t>
            </w:r>
          </w:p>
        </w:tc>
        <w:tc>
          <w:tcPr>
            <w:tcW w:w="4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(0.44)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Net loss per share - diluted</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(2.09)</w:t>
            </w:r>
          </w:p>
        </w:tc>
        <w:tc>
          <w:tcPr>
            <w:tcW w:w="4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(3.04)</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(4.45)</w:t>
            </w:r>
          </w:p>
        </w:tc>
        <w:tc>
          <w:tcPr>
            <w:tcW w:w="4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-719455</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-719455</wp:posOffset>
            </wp:positionV>
            <wp:extent cx="6032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-719455</wp:posOffset>
            </wp:positionV>
            <wp:extent cx="6032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-719455</wp:posOffset>
            </wp:positionV>
            <wp:extent cx="6032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-453390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-453390</wp:posOffset>
            </wp:positionV>
            <wp:extent cx="603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-453390</wp:posOffset>
            </wp:positionV>
            <wp:extent cx="603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-453390</wp:posOffset>
            </wp:positionV>
            <wp:extent cx="603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-179705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-162560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-179705</wp:posOffset>
            </wp:positionV>
            <wp:extent cx="6032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-162560</wp:posOffset>
            </wp:positionV>
            <wp:extent cx="603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-179705</wp:posOffset>
            </wp:positionV>
            <wp:extent cx="6032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-162560</wp:posOffset>
            </wp:positionV>
            <wp:extent cx="603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-179705</wp:posOffset>
            </wp:positionV>
            <wp:extent cx="6032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-162560</wp:posOffset>
            </wp:positionV>
            <wp:extent cx="603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Company excluded the following potential shares of Common Stock, presented based on amounts outstanding at each period end, from the computation of diluted net loss per share for the periods indicated because including them would have had an anti-dilutive effect:</w:t>
      </w:r>
    </w:p>
    <w:p>
      <w:pPr>
        <w:spacing w:after="0" w:line="25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2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3"/>
                <w:szCs w:val="13"/>
                <w:color w:val="auto"/>
              </w:rPr>
            </w:pPr>
          </w:p>
        </w:tc>
        <w:tc>
          <w:tcPr>
            <w:tcW w:w="288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4660" w:type="dxa"/>
            <w:vAlign w:val="bottom"/>
          </w:tcPr>
          <w:p>
            <w:pPr>
              <w:spacing w:after="0"/>
              <w:rPr>
                <w:sz w:val="15"/>
                <w:szCs w:val="15"/>
                <w:color w:val="auto"/>
              </w:rPr>
            </w:pPr>
          </w:p>
        </w:tc>
        <w:tc>
          <w:tcPr>
            <w:tcW w:w="1820" w:type="dxa"/>
            <w:vAlign w:val="bottom"/>
            <w:tcBorders>
              <w:bottom w:val="single" w:sz="8" w:color="auto"/>
            </w:tcBorders>
            <w:gridSpan w:val="3"/>
          </w:tcPr>
          <w:p>
            <w:pPr>
              <w:jc w:val="center"/>
              <w:ind w:left="74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1900" w:type="dxa"/>
            <w:vAlign w:val="bottom"/>
            <w:tcBorders>
              <w:bottom w:val="single" w:sz="8" w:color="auto"/>
            </w:tcBorders>
            <w:gridSpan w:val="3"/>
          </w:tcPr>
          <w:p>
            <w:pPr>
              <w:jc w:val="center"/>
              <w:ind w:left="78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660" w:type="dxa"/>
            <w:vAlign w:val="bottom"/>
          </w:tcPr>
          <w:p>
            <w:pPr>
              <w:spacing w:after="0"/>
              <w:rPr>
                <w:sz w:val="12"/>
                <w:szCs w:val="12"/>
                <w:color w:val="auto"/>
              </w:rPr>
            </w:pPr>
          </w:p>
        </w:tc>
        <w:tc>
          <w:tcPr>
            <w:tcW w:w="1200" w:type="dxa"/>
            <w:vAlign w:val="bottom"/>
            <w:tcBorders>
              <w:bottom w:val="single" w:sz="8" w:color="auto"/>
            </w:tcBorders>
          </w:tcPr>
          <w:p>
            <w:pPr>
              <w:jc w:val="right"/>
              <w:ind w:right="38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8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2"/>
                <w:szCs w:val="12"/>
                <w:color w:val="auto"/>
              </w:rPr>
            </w:pPr>
          </w:p>
        </w:tc>
        <w:tc>
          <w:tcPr>
            <w:tcW w:w="1300" w:type="dxa"/>
            <w:vAlign w:val="bottom"/>
            <w:tcBorders>
              <w:bottom w:val="single" w:sz="8" w:color="auto"/>
            </w:tcBorders>
          </w:tcPr>
          <w:p>
            <w:pPr>
              <w:jc w:val="right"/>
              <w:ind w:right="44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2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9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Options to purchase common stock</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2,154,864</w:t>
            </w:r>
          </w:p>
        </w:tc>
        <w:tc>
          <w:tcPr>
            <w:tcW w:w="2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1,678,221</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2,154,864</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1,678,221</w:t>
            </w:r>
          </w:p>
        </w:tc>
        <w:tc>
          <w:tcPr>
            <w:tcW w:w="100" w:type="dxa"/>
            <w:vAlign w:val="bottom"/>
            <w:shd w:val="clear" w:color="auto" w:fill="CFF0FC"/>
          </w:tcPr>
          <w:p>
            <w:pPr>
              <w:spacing w:after="0"/>
              <w:rPr>
                <w:sz w:val="17"/>
                <w:szCs w:val="17"/>
                <w:color w:val="auto"/>
              </w:rPr>
            </w:pPr>
          </w:p>
        </w:tc>
      </w:tr>
      <w:tr>
        <w:trPr>
          <w:trHeight w:val="203"/>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Unvested restricted stock</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68,776</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76,861</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68,776</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76,861</w:t>
            </w:r>
          </w:p>
        </w:tc>
        <w:tc>
          <w:tcPr>
            <w:tcW w:w="100" w:type="dxa"/>
            <w:vAlign w:val="bottom"/>
          </w:tcPr>
          <w:p>
            <w:pPr>
              <w:spacing w:after="0"/>
              <w:rPr>
                <w:sz w:val="17"/>
                <w:szCs w:val="17"/>
                <w:color w:val="auto"/>
              </w:rPr>
            </w:pPr>
          </w:p>
        </w:tc>
      </w:tr>
      <w:tr>
        <w:trPr>
          <w:trHeight w:val="203"/>
        </w:trPr>
        <w:tc>
          <w:tcPr>
            <w:tcW w:w="4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Common warrants to purchase common stock</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4,213,767</w:t>
            </w:r>
          </w:p>
        </w:tc>
        <w:tc>
          <w:tcPr>
            <w:tcW w:w="22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4,213,767</w:t>
            </w:r>
          </w:p>
        </w:tc>
        <w:tc>
          <w:tcPr>
            <w:tcW w:w="480" w:type="dxa"/>
            <w:vAlign w:val="bottom"/>
            <w:tcBorders>
              <w:bottom w:val="single" w:sz="8" w:color="CFF0FC"/>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4,213,767</w:t>
            </w:r>
          </w:p>
        </w:tc>
        <w:tc>
          <w:tcPr>
            <w:tcW w:w="20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4,213,767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6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6,437,407</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5,968,849</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6,437,407</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5,968,849</w:t>
            </w:r>
          </w:p>
        </w:tc>
        <w:tc>
          <w:tcPr>
            <w:tcW w:w="100" w:type="dxa"/>
            <w:vAlign w:val="bottom"/>
          </w:tcPr>
          <w:p>
            <w:pPr>
              <w:spacing w:after="0"/>
              <w:rPr>
                <w:sz w:val="17"/>
                <w:szCs w:val="17"/>
                <w:color w:val="auto"/>
              </w:rPr>
            </w:pPr>
          </w:p>
        </w:tc>
      </w:tr>
      <w:tr>
        <w:trPr>
          <w:trHeight w:val="20"/>
        </w:trPr>
        <w:tc>
          <w:tcPr>
            <w:tcW w:w="46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-161925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-161925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-161925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-161925</wp:posOffset>
            </wp:positionV>
            <wp:extent cx="603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55"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The chief operating decision maker (CODM), who is defined as the Company's Chairman, President and Chief Executive Officer, assesses performance for the Company’s single reportable segment and decides how to allocate resources based on the</w:t>
      </w:r>
    </w:p>
    <w:p>
      <w:pPr>
        <w:spacing w:after="0" w:line="27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20" w:right="419" w:bottom="1440" w:gutter="0" w:footer="0" w:header="0"/>
        </w:sectPr>
      </w:pPr>
    </w:p>
    <w:bookmarkStart w:id="20" w:name="page21"/>
    <w:bookmarkEnd w:id="20"/>
    <w:p>
      <w:pPr>
        <w:spacing w:after="0" w:line="254" w:lineRule="auto"/>
        <w:rPr>
          <w:sz w:val="20"/>
          <w:szCs w:val="20"/>
          <w:color w:val="auto"/>
        </w:rPr>
      </w:pPr>
      <w:r>
        <w:rPr>
          <w:rFonts w:ascii="Times New Roman" w:cs="Times New Roman" w:eastAsia="Times New Roman" w:hAnsi="Times New Roman"/>
          <w:sz w:val="18"/>
          <w:szCs w:val="18"/>
          <w:color w:val="auto"/>
        </w:rPr>
        <w:t>Company’s total operating expenses as reported on the Condensed Consolidated Statements of Operations and Comprehensive Loss. The CODM’s review of total operating expenses at the consolidated level is used to monitor the Company’s spending as well as budget versus actual results. As part of the CODM’s review of the segment’s performance, the CODM reviews the Company’s operating expense information. This includes research and development costs as well as general and administrative expenses. Based upon the operating expense information, the CODM can reconcile to net loss as reported on the Condensed Consolidated Statements of Operations and Comprehensive Loss, shown in the table below. The significant expense categories are consistent with those presented on the face of the consolidated financial statements, except for the breakout of the early-stage research and development from the late-stage research and development. The CODM does not receive or use any other segmented or disaggregated financial or any significant expense information for decision making purposes. The measure of segment assets is reported on the Condensed Consolidated Balance Sheets as total assets.</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segment revenues, significant segment expenses and reported segment net loss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 and 2025 (in thousands):</w:t>
      </w:r>
    </w:p>
    <w:p>
      <w:pPr>
        <w:spacing w:after="0" w:line="146" w:lineRule="exact"/>
        <w:rPr>
          <w:sz w:val="20"/>
          <w:szCs w:val="20"/>
          <w:color w:val="auto"/>
        </w:rPr>
      </w:pPr>
    </w:p>
    <w:tbl>
      <w:tblPr>
        <w:tblLayout w:type="fixed"/>
        <w:tblInd w:w="520" w:type="dxa"/>
        <w:tblCellMar>
          <w:top w:w="0" w:type="dxa"/>
          <w:left w:w="0" w:type="dxa"/>
          <w:bottom w:w="0" w:type="dxa"/>
          <w:right w:w="0" w:type="dxa"/>
        </w:tblCellMar>
      </w:tblPr>
      <w:tr>
        <w:trPr>
          <w:trHeight w:val="173"/>
        </w:trPr>
        <w:tc>
          <w:tcPr>
            <w:tcW w:w="4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6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8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6"/>
        </w:trPr>
        <w:tc>
          <w:tcPr>
            <w:tcW w:w="41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r>
      <w:tr>
        <w:trPr>
          <w:trHeight w:val="209"/>
        </w:trPr>
        <w:tc>
          <w:tcPr>
            <w:tcW w:w="4100" w:type="dxa"/>
            <w:vAlign w:val="bottom"/>
            <w:tcBorders>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Revenue from customers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8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24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5,660</w:t>
            </w:r>
          </w:p>
        </w:tc>
        <w:tc>
          <w:tcPr>
            <w:tcW w:w="10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shd w:val="clear" w:color="auto" w:fill="CFF0FC"/>
          </w:tcPr>
          <w:p>
            <w:pPr>
              <w:spacing w:after="0"/>
              <w:rPr>
                <w:sz w:val="18"/>
                <w:szCs w:val="18"/>
                <w:color w:val="auto"/>
              </w:rPr>
            </w:pPr>
          </w:p>
        </w:tc>
      </w:tr>
      <w:tr>
        <w:trPr>
          <w:trHeight w:val="216"/>
        </w:trPr>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 from licensing agreements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4100" w:type="dxa"/>
            <w:vAlign w:val="bottom"/>
            <w:tcBorders>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Less:</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100" w:type="dxa"/>
            <w:vAlign w:val="bottom"/>
          </w:tcPr>
          <w:p>
            <w:pPr>
              <w:ind w:left="100"/>
              <w:spacing w:after="0" w:line="216" w:lineRule="exact"/>
              <w:rPr>
                <w:sz w:val="20"/>
                <w:szCs w:val="20"/>
                <w:color w:val="auto"/>
              </w:rPr>
            </w:pPr>
            <w:r>
              <w:rPr>
                <w:rFonts w:ascii="Times New Roman" w:cs="Times New Roman" w:eastAsia="Times New Roman" w:hAnsi="Times New Roman"/>
                <w:sz w:val="18"/>
                <w:szCs w:val="18"/>
                <w:color w:val="auto"/>
              </w:rPr>
              <w:t>Early-stage research and development</w:t>
            </w:r>
            <w:r>
              <w:rPr>
                <w:rFonts w:ascii="Times New Roman" w:cs="Times New Roman" w:eastAsia="Times New Roman" w:hAnsi="Times New Roman"/>
                <w:sz w:val="24"/>
                <w:szCs w:val="24"/>
                <w:color w:val="auto"/>
                <w:vertAlign w:val="superscript"/>
              </w:rPr>
              <w:t>(1)</w:t>
            </w:r>
          </w:p>
        </w:tc>
        <w:tc>
          <w:tcPr>
            <w:tcW w:w="14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(1,936)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(2,328)</w:t>
            </w:r>
          </w:p>
        </w:tc>
      </w:tr>
      <w:tr>
        <w:trPr>
          <w:trHeight w:val="216"/>
        </w:trPr>
        <w:tc>
          <w:tcPr>
            <w:tcW w:w="4100" w:type="dxa"/>
            <w:vAlign w:val="bottom"/>
            <w:tcBorders>
              <w:right w:val="single" w:sz="8" w:color="CFF0FC"/>
            </w:tcBorders>
            <w:shd w:val="clear" w:color="auto" w:fill="CFF0FC"/>
          </w:tcPr>
          <w:p>
            <w:pPr>
              <w:ind w:left="100"/>
              <w:spacing w:after="0" w:line="216" w:lineRule="exact"/>
              <w:rPr>
                <w:sz w:val="20"/>
                <w:szCs w:val="20"/>
                <w:color w:val="auto"/>
              </w:rPr>
            </w:pPr>
            <w:r>
              <w:rPr>
                <w:rFonts w:ascii="Times New Roman" w:cs="Times New Roman" w:eastAsia="Times New Roman" w:hAnsi="Times New Roman"/>
                <w:sz w:val="18"/>
                <w:szCs w:val="18"/>
                <w:color w:val="auto"/>
              </w:rPr>
              <w:t>Late-stage research and development</w:t>
            </w:r>
            <w:r>
              <w:rPr>
                <w:rFonts w:ascii="Times New Roman" w:cs="Times New Roman" w:eastAsia="Times New Roman" w:hAnsi="Times New Roman"/>
                <w:sz w:val="24"/>
                <w:szCs w:val="24"/>
                <w:color w:val="auto"/>
                <w:vertAlign w:val="superscript"/>
              </w:rPr>
              <w:t>(2)</w:t>
            </w: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(18,101)</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(23,139)</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(64,358)</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(50,087)</w:t>
            </w:r>
          </w:p>
        </w:tc>
      </w:tr>
      <w:tr>
        <w:trPr>
          <w:trHeight w:val="216"/>
        </w:trPr>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(5,867)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(5,165)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(17,892)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(15,773)</w:t>
            </w:r>
          </w:p>
        </w:tc>
      </w:tr>
      <w:tr>
        <w:trPr>
          <w:trHeight w:val="20"/>
        </w:trPr>
        <w:tc>
          <w:tcPr>
            <w:tcW w:w="4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100" w:type="dxa"/>
            <w:vAlign w:val="bottom"/>
            <w:tcBorders>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(24,759)</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(29,102)</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(84,186)</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(68,188)</w:t>
            </w:r>
          </w:p>
        </w:tc>
      </w:tr>
      <w:tr>
        <w:trPr>
          <w:trHeight w:val="216"/>
        </w:trPr>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3,172</w:t>
            </w:r>
          </w:p>
        </w:tc>
        <w:tc>
          <w:tcPr>
            <w:tcW w:w="100" w:type="dxa"/>
            <w:vAlign w:val="bottom"/>
          </w:tcPr>
          <w:p>
            <w:pPr>
              <w:spacing w:after="0"/>
              <w:rPr>
                <w:sz w:val="18"/>
                <w:szCs w:val="18"/>
                <w:color w:val="auto"/>
              </w:rPr>
            </w:pPr>
          </w:p>
        </w:tc>
      </w:tr>
      <w:tr>
        <w:trPr>
          <w:trHeight w:val="216"/>
        </w:trPr>
        <w:tc>
          <w:tcPr>
            <w:tcW w:w="410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Change in fair value of 2023 Common Warrants</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(4,205)</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6,558</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58,971</w:t>
            </w:r>
          </w:p>
        </w:tc>
        <w:tc>
          <w:tcPr>
            <w:tcW w:w="100" w:type="dxa"/>
            <w:vAlign w:val="bottom"/>
            <w:shd w:val="clear" w:color="auto" w:fill="CFF0FC"/>
          </w:tcPr>
          <w:p>
            <w:pPr>
              <w:spacing w:after="0"/>
              <w:rPr>
                <w:sz w:val="18"/>
                <w:szCs w:val="18"/>
                <w:color w:val="auto"/>
              </w:rPr>
            </w:pPr>
          </w:p>
        </w:tc>
      </w:tr>
      <w:tr>
        <w:trPr>
          <w:trHeight w:val="20"/>
        </w:trPr>
        <w:tc>
          <w:tcPr>
            <w:tcW w:w="410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before income tax</w:t>
            </w:r>
          </w:p>
        </w:tc>
        <w:tc>
          <w:tcPr>
            <w:tcW w:w="14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(21,534)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(31,481)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(42,950)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(4,028)</w:t>
            </w:r>
          </w:p>
        </w:tc>
      </w:tr>
      <w:tr>
        <w:trPr>
          <w:trHeight w:val="216"/>
        </w:trPr>
        <w:tc>
          <w:tcPr>
            <w:tcW w:w="410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Income tax provision</w:t>
            </w: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(326)</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(3,454)</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(284)</w:t>
            </w:r>
          </w:p>
        </w:tc>
      </w:tr>
      <w:tr>
        <w:trPr>
          <w:trHeight w:val="20"/>
        </w:trPr>
        <w:tc>
          <w:tcPr>
            <w:tcW w:w="410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Segment and consolidated 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(21,860)</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(31,537)</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(46,404)</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(4,312)</w:t>
            </w:r>
          </w:p>
        </w:tc>
      </w:tr>
      <w:tr>
        <w:trPr>
          <w:trHeight w:val="20"/>
        </w:trPr>
        <w:tc>
          <w:tcPr>
            <w:tcW w:w="4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-453390</wp:posOffset>
            </wp:positionV>
            <wp:extent cx="603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-453390</wp:posOffset>
            </wp:positionV>
            <wp:extent cx="603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-453390</wp:posOffset>
            </wp:positionV>
            <wp:extent cx="603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-453390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-170815</wp:posOffset>
            </wp:positionV>
            <wp:extent cx="6032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-170815</wp:posOffset>
            </wp:positionV>
            <wp:extent cx="6032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-170815</wp:posOffset>
            </wp:positionV>
            <wp:extent cx="6032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-170815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5" w:lineRule="exact"/>
        <w:rPr>
          <w:sz w:val="20"/>
          <w:szCs w:val="20"/>
          <w:color w:val="auto"/>
        </w:rPr>
      </w:pPr>
    </w:p>
    <w:p>
      <w:pPr>
        <w:ind w:left="960" w:hanging="203"/>
        <w:spacing w:after="0"/>
        <w:tabs>
          <w:tab w:leader="none" w:pos="9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Early-stage research and development includes costs incurred from Discovery programs.</w:t>
      </w:r>
    </w:p>
    <w:p>
      <w:pPr>
        <w:spacing w:after="0" w:line="136" w:lineRule="exact"/>
        <w:rPr>
          <w:rFonts w:ascii="Times New Roman" w:cs="Times New Roman" w:eastAsia="Times New Roman" w:hAnsi="Times New Roman"/>
          <w:sz w:val="14"/>
          <w:szCs w:val="14"/>
          <w:color w:val="auto"/>
        </w:rPr>
      </w:pPr>
    </w:p>
    <w:p>
      <w:pPr>
        <w:ind w:left="960" w:hanging="203"/>
        <w:spacing w:after="0"/>
        <w:tabs>
          <w:tab w:leader="none" w:pos="9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Late-stage research and development includes costs incurred from Phase 1 and Phase 2 clinical trial programs.</w:t>
      </w:r>
    </w:p>
    <w:p>
      <w:pPr>
        <w:spacing w:after="0" w:line="1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reportable segment primarily generates revenue through its license and collaboration agreements (see Notes 9 and 10).</w:t>
      </w: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21" w:name="page22"/>
    <w:bookmarkEnd w:id="21"/>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Management’s Discussion and Analysis of Financial Condition and Results of Operations.</w:t>
      </w:r>
    </w:p>
    <w:p>
      <w:pPr>
        <w:spacing w:after="0" w:line="11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condensed consolidated financial statements and related notes and other financial information appearing elsewhere in this Quarterly Report on Form 10-Q. This discussion and analysis contains forward-looking statements that involve risks, uncertainties and assumptions. Our actual results could differ materially from these forward-looking statements as a result of many factors, including those discussed in “Risk Factors” and “Special note regarding forward-looking statements.”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60" w:firstLine="749"/>
        <w:spacing w:after="0" w:line="227" w:lineRule="exact"/>
        <w:rPr>
          <w:sz w:val="20"/>
          <w:szCs w:val="20"/>
          <w:color w:val="auto"/>
        </w:rPr>
      </w:pPr>
      <w:r>
        <w:rPr>
          <w:rFonts w:ascii="Times New Roman" w:cs="Times New Roman" w:eastAsia="Times New Roman" w:hAnsi="Times New Roman"/>
          <w:sz w:val="18"/>
          <w:szCs w:val="18"/>
          <w:color w:val="auto"/>
        </w:rPr>
        <w:t>We are a clinical-stage biotechnology company focused on developing novel therapeutics to address unmet medical needs in liver diseases and viral infections, including in the areas of chronic hepatitis B virus (HBV) infection, metabolic dysfunction-associated steatohepatitis (MASH), and obesity. The Aligos team has a demonstrated track record of success in drug development and medicinal chemistry in liver and viral diseases, resulting in multiple potential best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 drug candidates currently in clinical development.</w:t>
      </w:r>
    </w:p>
    <w:p>
      <w:pPr>
        <w:spacing w:after="0" w:line="24" w:lineRule="exact"/>
        <w:rPr>
          <w:sz w:val="20"/>
          <w:szCs w:val="20"/>
          <w:color w:val="auto"/>
        </w:rPr>
      </w:pPr>
    </w:p>
    <w:p>
      <w:pPr>
        <w:ind w:firstLine="749"/>
        <w:spacing w:after="0" w:line="223" w:lineRule="exact"/>
        <w:rPr>
          <w:sz w:val="20"/>
          <w:szCs w:val="20"/>
          <w:color w:val="auto"/>
        </w:rPr>
      </w:pPr>
      <w:r>
        <w:rPr>
          <w:rFonts w:ascii="Times New Roman" w:cs="Times New Roman" w:eastAsia="Times New Roman" w:hAnsi="Times New Roman"/>
          <w:sz w:val="18"/>
          <w:szCs w:val="18"/>
          <w:color w:val="auto"/>
        </w:rPr>
        <w:t>Our pipeline of drug candidates includes pevifoscorvir sodium (previously known as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000184) for chronic HBV infection,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170675 for chronic HBV infection,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for MASH and obesity, and a portfolio of preclinical programs. Pevifoscorvir sodium is our potential best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/first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 Capsid Assembly Modulator (CAM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 for chronic HBV infection which has shown in pre-clinical testing to have enhanced pharmacologic properties vs. competitor CAM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 drugs and greater HBV DNA suppression compared to the standard of care, nucleos(t)ide analogs (NAs), and has shown multi-log</w:t>
      </w:r>
      <w:r>
        <w:rPr>
          <w:rFonts w:ascii="Times New Roman" w:cs="Times New Roman" w:eastAsia="Times New Roman" w:hAnsi="Times New Roman"/>
          <w:sz w:val="24"/>
          <w:szCs w:val="24"/>
          <w:color w:val="auto"/>
          <w:vertAlign w:val="subscript"/>
        </w:rPr>
        <w:t>10</w:t>
      </w:r>
      <w:r>
        <w:rPr>
          <w:rFonts w:ascii="Times New Roman" w:cs="Times New Roman" w:eastAsia="Times New Roman" w:hAnsi="Times New Roman"/>
          <w:sz w:val="18"/>
          <w:szCs w:val="18"/>
          <w:color w:val="auto"/>
        </w:rPr>
        <w:t xml:space="preserve"> reductions in viral antigens in Phase 1 clinical studies conducted to date. Pevifoscorvir sodium has received Fast Track Designation from the Food and Drug Administration (FDA) and Breakthrough Therapy Designation from the Center for Drug Evaluation (CDE) of China’s National Medical Products Administration (NMPA) for the treatment of chronic HBV infection.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170675 is our potential next-generation best-in-class antisense oligonucleotide (ASO) under development for the treatment of chronic HBV infection with improved RNase H mediated in vivo activity and similar hTLR8 agonist activity observed in vitro and in vivo compared to competitor compounds.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170675 recently received IND approval in China and entered the clinic in August 2026 in China, with clinical trials sponsored and performed by our partner Xiamen Amoytop Biotech Co., Ltd (Amoytop).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is our potential best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 thyroid hormone receptor beta (THR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β) agonist for MASH and obesity with pharmacologic properties that appear to be enhanced based on data to date vs. competitor THR-β agonists.</w:t>
      </w:r>
    </w:p>
    <w:p>
      <w:pPr>
        <w:spacing w:after="0" w:line="5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Pevifoscorvir sodium: Potential best</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in</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class small molecule CAM</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E for chronic hepatitis B virus infection</w:t>
      </w:r>
    </w:p>
    <w:p>
      <w:pPr>
        <w:spacing w:after="0" w:line="158"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Our primary area of focus seeks to enhance the viral suppression (near term goal) and rate of functional cure (long term goal) for chronic HBV infection, which often results in life-threatening conditions such as cirrhosis, end-stage liver disease, and the most common form of liver cancer, hepatocellular carcinoma (HCC). To reduce the burden of disease associated with chronic HBV infection, we are developing a portfolio of differentiated drug candidates, including a small molecule CAM that results in the production of empty viral capsids.</w:t>
      </w:r>
    </w:p>
    <w:p>
      <w:pPr>
        <w:spacing w:after="0" w:line="31" w:lineRule="exact"/>
        <w:rPr>
          <w:sz w:val="20"/>
          <w:szCs w:val="20"/>
          <w:color w:val="auto"/>
        </w:rPr>
      </w:pPr>
    </w:p>
    <w:p>
      <w:pPr>
        <w:ind w:right="20" w:firstLine="749"/>
        <w:spacing w:after="0" w:line="221" w:lineRule="exact"/>
        <w:rPr>
          <w:sz w:val="20"/>
          <w:szCs w:val="20"/>
          <w:color w:val="auto"/>
        </w:rPr>
      </w:pPr>
      <w:r>
        <w:rPr>
          <w:rFonts w:ascii="Times New Roman" w:cs="Times New Roman" w:eastAsia="Times New Roman" w:hAnsi="Times New Roman"/>
          <w:sz w:val="18"/>
          <w:szCs w:val="18"/>
          <w:color w:val="auto"/>
        </w:rPr>
        <w:t>In 2018, we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licensed a lead drug candidate (GLP</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26) and the associated IP for a CAM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 from the laboratory of Professor Raymond Schinazi at Emory University. Our scientists optimized this lead drug candidate to discover the highly potent CAM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001075, which was further optimized to the prodrug pevifoscorvir sodium. Based on pre-clinical data to date, pevifoscorvir sodium has superior DMPK properties with enhanced absorption and high liver uptake, with a ~2- to 300-fold improvement in in vitro potency compared to other known CAMs. CAM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Es are a class of small molecule antiviral agents that accelerate HBV capsid assembly and inhibit pgRNA encapsidation (1st MOA), resulting in empty viral capsids and lower circulating HBV DNA and RNA levels. CAM-Es have the potential to prevent HBV DNA integration by blocking the conversion of pgRNA to dslDNA, the form which integrates into the host chromosome. CAM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Es are also believed to prevent the establishment and replenishment of cccDNA (2nd MOA), a major factor for the persistence of HBV infection which can be assessed by circulating HBV antigen levels (HBsAg, HBcrAg, and HBeAg). These three drivers, replication, integration, and the reservoir, comprise the disease pathogenesis which can lead to end-stage liver disease and liver cancer. We believe that effective therapies for chronic HBV infection must address all three drivers. In preclinical studies and clinical trials conducted to date, pevifoscorvir sodium has demonstrated the potential to not only block HBV replication and prevent HBV DNA integration, but also reduce the cccDNA reservoir, each of which we believe are clinically relevant markers that improve outcomes in chronic HBV infection.</w:t>
      </w:r>
    </w:p>
    <w:p>
      <w:pPr>
        <w:spacing w:after="0" w:line="91" w:lineRule="exact"/>
        <w:rPr>
          <w:sz w:val="20"/>
          <w:szCs w:val="20"/>
          <w:color w:val="auto"/>
        </w:rPr>
      </w:pPr>
    </w:p>
    <w:p>
      <w:pPr>
        <w:ind w:right="160" w:firstLine="749"/>
        <w:spacing w:after="0" w:line="223" w:lineRule="exact"/>
        <w:rPr>
          <w:sz w:val="20"/>
          <w:szCs w:val="20"/>
          <w:color w:val="auto"/>
        </w:rPr>
      </w:pPr>
      <w:r>
        <w:rPr>
          <w:rFonts w:ascii="Times New Roman" w:cs="Times New Roman" w:eastAsia="Times New Roman" w:hAnsi="Times New Roman"/>
          <w:sz w:val="17"/>
          <w:szCs w:val="17"/>
          <w:color w:val="auto"/>
        </w:rPr>
        <w:t>A multi-part Phase 1 study is complete, with evaluation of the safety, tolerability, and pharmacokinetic profile of pevifoscorvir sodium in HVs. Additionally, a dose-ranging phase assessing the safety, pharmacokinetics (PK), and antiviral activity of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300 mg doses of pevifoscorvir sodium administered over 28 days in untreated HBeAg+/- subjects with chronic HBV infection has also been completed. In these study phases, pevifoscorvir sodium was found to be well tolerated with a favorable PK profile and demonstrated potentially best-in-class multi-log</w:t>
      </w:r>
      <w:r>
        <w:rPr>
          <w:rFonts w:ascii="Times New Roman" w:cs="Times New Roman" w:eastAsia="Times New Roman" w:hAnsi="Times New Roman"/>
          <w:sz w:val="23"/>
          <w:szCs w:val="23"/>
          <w:color w:val="auto"/>
          <w:vertAlign w:val="subscript"/>
        </w:rPr>
        <w:t>10</w:t>
      </w:r>
      <w:r>
        <w:rPr>
          <w:rFonts w:ascii="Times New Roman" w:cs="Times New Roman" w:eastAsia="Times New Roman" w:hAnsi="Times New Roman"/>
          <w:sz w:val="17"/>
          <w:szCs w:val="17"/>
          <w:color w:val="auto"/>
        </w:rPr>
        <w:t xml:space="preserve"> HBV DNA and RNA reductions</w:t>
      </w:r>
    </w:p>
    <w:p>
      <w:pPr>
        <w:spacing w:after="0" w:line="1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at all doses tested, as well as HBV surface antigen (HBsAg) reductions in a subset of HBeAg+ subjects receiving 100 mg or 300 mg of pevifoscorvir sodium (Yuen, et al, Lancet Gastro. &amp; Hep., 2026). Based on the favorable profile observed with dosing up to 300 mg of pevifoscorvir sodium for 28 days, additional Phase 1 studies evaluated the risk-benefit profile of pevifoscorvir sodium at doses of 300 mg, with or without entecavir (ETV) therapy, for up to 96 weeks in HBeAg+ and HBeAg- subjects with chronic HBV infection. Data from these cohorts (Yuen et al.,</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2" w:name="page23"/>
    <w:bookmarkEnd w:id="22"/>
    <w:p>
      <w:pPr>
        <w:ind w:right="340"/>
        <w:spacing w:after="0" w:line="282" w:lineRule="auto"/>
        <w:rPr>
          <w:sz w:val="20"/>
          <w:szCs w:val="20"/>
          <w:color w:val="auto"/>
        </w:rPr>
      </w:pPr>
      <w:r>
        <w:rPr>
          <w:rFonts w:ascii="Times New Roman" w:cs="Times New Roman" w:eastAsia="Times New Roman" w:hAnsi="Times New Roman"/>
          <w:sz w:val="18"/>
          <w:szCs w:val="18"/>
          <w:color w:val="auto"/>
        </w:rPr>
        <w:t>AASLD 2025) have been presented, showing that pevifoscorvir sodium, administered for up to 96 weeks, was well tolerated, exhibited a favorable PK profile, and suggested potentially best-in-class potent and durable antiviral activity.</w:t>
      </w:r>
    </w:p>
    <w:p>
      <w:pPr>
        <w:spacing w:after="0" w:line="54"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Data from this study following an oral daily dose of 300 mg pevifoscorvir sodium monotherapy in HBeAg+ subjects demonstrated sustained HBV DNA suppression (&lt;LLOQ (10 IU/mL, target detected (TD) or target not detected (TND)) in 6/10 (60%) subjects with chronic HBV infection at Week 48 and 9/9 (100%) at Week 96. Additionally, HBV DNA level continuously declined to &lt; LLOQ (10 IU/mL, TND) in 5 of 10 subjects at Week 96. Data from the 300 mg pevifoscorvir sodium HBeAg- monotherapy cohort demonstrated HBV DNA suppression in all 11/11 (100%) subjects by Week 24 with the HBV DNA suppression level maintained for up to 96 weeks, with further decline in HBV DNA to &lt; LLOQ (10 IU/mL, TND) observed in 8/9 subjects (89%) at Week 96. Importantly, no viral breakthrough was observed in any subject, and no known CAM resistant mutations were identified.</w:t>
      </w:r>
    </w:p>
    <w:p>
      <w:pPr>
        <w:spacing w:after="0" w:line="79" w:lineRule="exact"/>
        <w:rPr>
          <w:sz w:val="20"/>
          <w:szCs w:val="20"/>
          <w:color w:val="auto"/>
        </w:rPr>
      </w:pPr>
    </w:p>
    <w:p>
      <w:pPr>
        <w:ind w:right="220" w:firstLine="749"/>
        <w:spacing w:after="0" w:line="241" w:lineRule="auto"/>
        <w:rPr>
          <w:sz w:val="20"/>
          <w:szCs w:val="20"/>
          <w:color w:val="auto"/>
        </w:rPr>
      </w:pPr>
      <w:r>
        <w:rPr>
          <w:rFonts w:ascii="Times New Roman" w:cs="Times New Roman" w:eastAsia="Times New Roman" w:hAnsi="Times New Roman"/>
          <w:sz w:val="18"/>
          <w:szCs w:val="18"/>
          <w:color w:val="auto"/>
        </w:rPr>
        <w:t>Additionally, HBV RNA level achieved &lt; LLOQ (10 copies/mL) in all HBeAg+ and HBeAg- subjects by Week 52 and Week 6, respectively. Furthermore, concurrent multi-log</w:t>
      </w:r>
      <w:r>
        <w:rPr>
          <w:rFonts w:ascii="Times New Roman" w:cs="Times New Roman" w:eastAsia="Times New Roman" w:hAnsi="Times New Roman"/>
          <w:sz w:val="24"/>
          <w:szCs w:val="24"/>
          <w:color w:val="auto"/>
          <w:vertAlign w:val="subscript"/>
        </w:rPr>
        <w:t>10</w:t>
      </w:r>
      <w:r>
        <w:rPr>
          <w:rFonts w:ascii="Times New Roman" w:cs="Times New Roman" w:eastAsia="Times New Roman" w:hAnsi="Times New Roman"/>
          <w:sz w:val="18"/>
          <w:szCs w:val="18"/>
          <w:color w:val="auto"/>
        </w:rPr>
        <w:t xml:space="preserve"> reductions in HBV antigens (HBsAg, HBeAg, and HBcrAg) in HBeAg+ subjects and HBcrAg decline in HBeAg-subjects were observed, suggesting the potential inhibition of cccDNA establishment by CAM-E 2nd mechanism of action of pevifoscorvir sodium.</w:t>
      </w:r>
    </w:p>
    <w:p>
      <w:pPr>
        <w:spacing w:after="0" w:line="90"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Further, data presented at The European Association for the Study of the Liver’s 2026 Congress highlighted outcomes for treatment-naïve or currently not treated HBeAg+ subjects who completed 96 weeks of 300 mg pevifoscorvir sodium monotherapy, followed by ≥24 weeks of nucleos(t)ide analog (NA) monotherapy. Among HBeAg+ subjects, 9 of 10 subjects transitioned to NA monotherapy; of these, 4 (44%) maintained HBV DNA levels below the lower limit of quantification (LLOQ; 10 IU/mL, target detected [TD] or target not detected [TND]) throughout the NA only ≥24-week follow-up period. Reductions in HBV antigens and HBV RNA were maintained during the NA only ≥24-week follow-up period. Notably, these viral biomarkers, such as HBV antigens and HBV RNA, are typically unaffected by NA therapy, suggesting that pevifoscorvir sodium may reduce the cccDNA reservoir through engagement of its secondary mechanism of action (Mak, et al. EASL 2026).</w:t>
      </w:r>
    </w:p>
    <w:p>
      <w:pPr>
        <w:spacing w:after="0" w:line="81" w:lineRule="exact"/>
        <w:rPr>
          <w:sz w:val="20"/>
          <w:szCs w:val="20"/>
          <w:color w:val="auto"/>
        </w:rPr>
      </w:pPr>
    </w:p>
    <w:p>
      <w:pPr>
        <w:ind w:right="360" w:firstLine="749"/>
        <w:spacing w:after="0" w:line="261" w:lineRule="auto"/>
        <w:rPr>
          <w:sz w:val="20"/>
          <w:szCs w:val="20"/>
          <w:color w:val="auto"/>
        </w:rPr>
      </w:pPr>
      <w:r>
        <w:rPr>
          <w:rFonts w:ascii="Times New Roman" w:cs="Times New Roman" w:eastAsia="Times New Roman" w:hAnsi="Times New Roman"/>
          <w:sz w:val="18"/>
          <w:szCs w:val="18"/>
          <w:color w:val="auto"/>
        </w:rPr>
        <w:t>In addition, data showed that among participants with a baseline HBsAg ≥3,000 IU/mL, 40% (4/10) achieved HBsAg &lt;3,000 IU/mL at 48 weeks, suggesting eligibility for a functional cure regimen, which may include an antisense oligonucleotide (ASO) agent (Yuen, et al. EASL 2026). In clinical trials conducted to date, certain ASO agents under development for chronic HBV infection have seen 19% functional cure rates in a patient population of HBsAg &lt;3,000 IU/mL (Hou, et al. N Engl J Med. 2026), which is estimated to be ~30-40% of all patients with chronic HBV infection.</w:t>
      </w:r>
    </w:p>
    <w:p>
      <w:pPr>
        <w:spacing w:after="0" w:line="72"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Additionally, preclinical in vitro data demonstrated that ALG-001075, the active parent moiety of pevifoscorvir sodium, can prevent cccDNA formation and HBV DNA integration. This finding was demonstrated by cell-based studies, which showed prevention of cccDNA establishment and HBV DNA integration following treatment with ALG-001075 (Verheyen, et. al. AASLD 2025). Preclinical in vitro data also demonstrated that long-term treatment with ALG-001075 resulted in profound suppression of HBeAg, HBsAg and intracellular HBV RNAs which was durable after treatment withdrawal in HBV-infected HepaRG cells, suggesting a potential reduction in cccDNA level and/or transcriptional activity (Debing, et al. EASL 2026).</w:t>
      </w:r>
    </w:p>
    <w:p>
      <w:pPr>
        <w:spacing w:after="0" w:line="75"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Compared to Phase 3 studies with the current standard of care nucleos(t)ide analogs (NAs), tenofovir disoproxil fumarate (TDF) and tenofovir alafenamide (TAF) (Buti et al., Lancet Gastro, 2016; Chen et al., Lancet Gastro 2016), the Company’s Phase 1 data to date suggest, subject to confirmation via further study, that pevifoscorvir sodium treatment may be superior to NAs in HBeAg+/- subjects in achieving HBV DNA levels &lt; LLOQ (10 IU/mL) after 48 weeks on treatment. Chronic suppressive therapy of HBV DNA levels is a validated approval pathway in chronic HBV infection (Food and Drug Administration (FDA) Guidance, Chronic Hepatitis B Virus Infection: Developing Drugs for Treatment Guidance for Industry, April 2022 – Section III.B.1.a). We have received affirmative feedback from the FDA, the Committee for Medicinal Products for Human Use (CHMP: EU) and the National Medical Products Administration (NMPA: China) supporting subsequent studies utilizing the chronic suppressive therapy pathway for pevifoscorvir sodium. Our ongoing Phase 2 B-SUPREME study is being conducted to test superiority to standard of care NA treatment (HBV DNA levels &lt;LLOQ (10 IU/ml, TD or TND) in HBeAg+ subjects and HBV DNA levels &lt; LLOQ (10 IU/ml, TND) in HBeAg- subjects) after 48 weeks of monotherapy treatment. Furthermore, when combined with other mechanisms of action, including other candidates in our chronic HBV infection portfolio, pevifoscorvir sodium dosing regimens have the potential to contribute to achieving higher rates of functional cure, subject to testing such endpoint, as compared with currently approved agents.</w:t>
      </w:r>
    </w:p>
    <w:p>
      <w:pPr>
        <w:spacing w:after="0" w:line="82"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With the completion of the 96-week Phase 1 study, we initiated the Phase 2 B-SUPREME study (NCT06963710), which is designed as a randomized, double-blind, active-controlled multicenter study evaluating the safety and efficacy of pevifoscorvir sodium monotherapy compared with tenofovir disoproxil fumarate for 48 weeks in approximately 250 currently untreated HBeAg+ and HBeAg- adult subjects with chronic HBV infection. The primary endpoint in the HBeAg+ arm is HBV DNA &lt;LLOQ (10 IU/mL, TD or TND) and the primary endpoint in the HBeAg- arm is HBV DNA &lt;LLOQ (10 IU/mL, TND). The study is also evaluating safety, PK, and other secondary and exploratory HBV biomarkers, including reductions in HBV antigens and other markers of HBV infection. Enrollment has been completed with 131 participants in the HBeAg+ Part 1a and 114 participants in the HBeAg- Part 2a. Topline data are expected to be available in late Q3 2027.</w:t>
      </w:r>
    </w:p>
    <w:p>
      <w:pPr>
        <w:spacing w:after="0" w:line="81" w:lineRule="exact"/>
        <w:rPr>
          <w:sz w:val="20"/>
          <w:szCs w:val="20"/>
          <w:color w:val="auto"/>
        </w:rPr>
      </w:pPr>
    </w:p>
    <w:p>
      <w:pPr>
        <w:ind w:right="500" w:firstLine="749"/>
        <w:spacing w:after="0" w:line="282" w:lineRule="auto"/>
        <w:rPr>
          <w:sz w:val="20"/>
          <w:szCs w:val="20"/>
          <w:color w:val="auto"/>
        </w:rPr>
      </w:pPr>
      <w:r>
        <w:rPr>
          <w:rFonts w:ascii="Times New Roman" w:cs="Times New Roman" w:eastAsia="Times New Roman" w:hAnsi="Times New Roman"/>
          <w:sz w:val="18"/>
          <w:szCs w:val="18"/>
          <w:color w:val="auto"/>
        </w:rPr>
        <w:t>In May 2026, we entered an exclusive license deal with Amoytop to develop and commercialize pevifoscorvir sodium in Mainland China, Taiwan, Hong Kong, and Macau (Greater China) for chronic HBV infection for an upfront payment of $25.0 million,</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23" w:name="page24"/>
    <w:bookmarkEnd w:id="23"/>
    <w:p>
      <w:pPr>
        <w:ind w:right="540"/>
        <w:spacing w:after="0" w:line="282" w:lineRule="auto"/>
        <w:rPr>
          <w:sz w:val="20"/>
          <w:szCs w:val="20"/>
          <w:color w:val="auto"/>
        </w:rPr>
      </w:pPr>
      <w:r>
        <w:rPr>
          <w:rFonts w:ascii="Times New Roman" w:cs="Times New Roman" w:eastAsia="Times New Roman" w:hAnsi="Times New Roman"/>
          <w:sz w:val="18"/>
          <w:szCs w:val="18"/>
          <w:color w:val="auto"/>
        </w:rPr>
        <w:t>net of tax, (which was received in July 2026) and up to $420 million in clinical, regulatory, and sales milestones, along with tiered, high single-digit royalties.</w:t>
      </w:r>
    </w:p>
    <w:p>
      <w:pPr>
        <w:spacing w:after="0" w:line="1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ALG</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170675: Potential best</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in</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class antisense oligonucleotide (ASO) for chronic hepatitis B virus infection</w:t>
      </w:r>
    </w:p>
    <w:p>
      <w:pPr>
        <w:spacing w:after="0" w:line="158"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ALG-170675 is a next-generation ASO we discovered as part of a research collaboration with Amoytop, which maintains rights in Greater China. Novel intellectual property has been filed for this candidate, which has shown improved RNase H mediated in vivo activity over GSK-836 (bepirovirsen) with similar hTLR8 agonist activity observed in vitro and in vivo. In addition, ALG-170675 utilizes novel monomers that could potentially reduce ASO toxicity and improve ASO liver to kidney ratios.</w:t>
      </w:r>
    </w:p>
    <w:p>
      <w:pPr>
        <w:spacing w:after="0" w:line="72"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ALG-170675 was designed to reduce the production of HBsAg by targeting and degrading HBV RNA transcripts inside infected hepatocytes. ALG-170675 selectively binds to the HBV transcripts and induces RNase H-mediated degradation of viral RNA, lowering antigen burden and potentially enabling restoration of antiviral immune responses (Hong, et al. EASL 2026).</w:t>
      </w:r>
    </w:p>
    <w:p>
      <w:pPr>
        <w:spacing w:after="0" w:line="68"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In addition, ALG-170675 may have advantages compared with GSK-836 with better in vitro safety, enhanced liver exposure, liver to kidney ratio, and improved in vivo efficacy in mice. Additionally, nonclinical studies have shown additive to synergistic effects when combined with a CAM-E.</w:t>
      </w:r>
    </w:p>
    <w:p>
      <w:pPr>
        <w:spacing w:after="0" w:line="54"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Amoytop has advanced the program into the clinic with a Phase 1 study in healthy volunteers. The Phase 1 study is designed to evaluate the safety, tolerability, pharmacokinetics, and pharmacodynamics of ALG-170675 following single (SAD) and multiple (MAD) ascending doses. The SAD portion plans to enroll approximately 32 healthy participants across four dose cohorts of 75 mg, 150 mg, 300 mg, and 450 mg. Following completion of the 300 mg SAD cohort, the MAD portion of the study is expected to begin and would enroll approximately 24 healthy participants. The study design also includes a cohort of approximately 16 participants with chronic HBV infection, which is expected to initiate following completion of the 150 mg MAD cohort in Q4 2026. Topline data from this study is expected in mid-2027.</w:t>
      </w:r>
    </w:p>
    <w:p>
      <w:pPr>
        <w:spacing w:after="0" w:line="79"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Under our agreement with Amoytop, we may utilize data from these studies for regulatory filings and other purposes. We have the potential to conduct a Phase 2 study in 2028. Each party is responsible for their own development costs.</w:t>
      </w:r>
    </w:p>
    <w:p>
      <w:pPr>
        <w:spacing w:after="0" w:line="1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ALG</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055009: Potential best-in-class small molecule THR-β agonist for metabolic dysfunction-associated steatohepatitis and obesity</w:t>
      </w:r>
    </w:p>
    <w:p>
      <w:pPr>
        <w:spacing w:after="0" w:line="158" w:lineRule="exact"/>
        <w:rPr>
          <w:sz w:val="20"/>
          <w:szCs w:val="20"/>
          <w:color w:val="auto"/>
        </w:rPr>
      </w:pPr>
    </w:p>
    <w:p>
      <w:pPr>
        <w:ind w:right="20" w:firstLine="749"/>
        <w:spacing w:after="0" w:line="219" w:lineRule="exact"/>
        <w:rPr>
          <w:sz w:val="20"/>
          <w:szCs w:val="20"/>
          <w:color w:val="auto"/>
        </w:rPr>
      </w:pPr>
      <w:r>
        <w:rPr>
          <w:rFonts w:ascii="Times New Roman" w:cs="Times New Roman" w:eastAsia="Times New Roman" w:hAnsi="Times New Roman"/>
          <w:sz w:val="18"/>
          <w:szCs w:val="18"/>
          <w:color w:val="auto"/>
        </w:rPr>
        <w:t>MASH is a complex, chronic liver disease which is a leading cause of liver-related morbidity including cirrhosis, hepatocellular carcinoma, liver transplant, and end-stage liver disease. Obesity is a complex disease caused by an overabundance of body fat that increases the risk of other comorbidities. Despite the availability of certain therapies, additional agents in these classes are needed to address remaining unmet needs. To achieve this, ALG-055009 has been purposefully designed to exhibit significantly greater potency and enhanced β selectivity, along with optimized pharmacologic properties to deliver a potentially improved PK profile compared to other THR-β agonists. We believe these advantages position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as a strong candidate to become a best-in-class THR-β agonist.</w:t>
      </w:r>
    </w:p>
    <w:p>
      <w:pPr>
        <w:spacing w:after="0" w:line="95" w:lineRule="exact"/>
        <w:rPr>
          <w:sz w:val="20"/>
          <w:szCs w:val="20"/>
          <w:color w:val="auto"/>
        </w:rPr>
      </w:pPr>
    </w:p>
    <w:p>
      <w:pPr>
        <w:ind w:right="20" w:firstLine="749"/>
        <w:spacing w:after="0" w:line="219" w:lineRule="exact"/>
        <w:rPr>
          <w:sz w:val="20"/>
          <w:szCs w:val="20"/>
          <w:color w:val="auto"/>
        </w:rPr>
      </w:pPr>
      <w:r>
        <w:rPr>
          <w:rFonts w:ascii="Times New Roman" w:cs="Times New Roman" w:eastAsia="Times New Roman" w:hAnsi="Times New Roman"/>
          <w:sz w:val="18"/>
          <w:szCs w:val="18"/>
          <w:color w:val="auto"/>
        </w:rPr>
        <w:t>Based on promising Phase 1 data, we conducted the Phase 2a HERALD study (NCT06342947) at sites across the United States. The study was a 12-week randomized, double-blind, placebo-controlled trial evaluating 4 doses (0.3 mg, 0.5 mg, 0.7 mg, and 0.9 mg) of ALG-055009 vs. placebo in 102 subjects with presumed MASH and liver fibrosis at stages 1-3 (F1-F3). The primary endpoint of this study was percent relative change in liver fat content by MRI-PDFF at Week 12. This study also evaluated the safety and PK of ALG-055009 treatment and its effect on multiple other efficacy biomarkers, including other non-invasive tests previously shown to be impacted by treatment with THR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β agonists. We announced positive topline data from this study in 2024, demonstrating that ALG-055009 dose groups were well-tolerated and met the primary endpoint.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demonstrated a favorable tolerability profile with incidence of gastrointestinal-related treatment emergent adverse events similar in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dose groups compared to placebo (Loomba et al, AASLD 2024).</w:t>
      </w:r>
    </w:p>
    <w:p>
      <w:pPr>
        <w:spacing w:after="0" w:line="90"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We believe ALG-055009 warrants further development as a potential treatment for both obesity and MASH. We are continuing to evaluate a variety of options to fund continued development, including potential out-licensing.</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revenues consist of the following:</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Customer revenue </w:t>
      </w:r>
      <w:r>
        <w:rPr>
          <w:rFonts w:ascii="Times New Roman" w:cs="Times New Roman" w:eastAsia="Times New Roman" w:hAnsi="Times New Roman"/>
          <w:sz w:val="18"/>
          <w:szCs w:val="18"/>
          <w:color w:val="auto"/>
        </w:rPr>
        <w:t>includes recognition of revenue generated from research and development services under third-party contracts with customers.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License revenue </w:t>
      </w:r>
      <w:r>
        <w:rPr>
          <w:rFonts w:ascii="Times New Roman" w:cs="Times New Roman" w:eastAsia="Times New Roman" w:hAnsi="Times New Roman"/>
          <w:sz w:val="18"/>
          <w:szCs w:val="18"/>
          <w:color w:val="auto"/>
        </w:rPr>
        <w:t>includes recognition of revenue from the upfront payment from license agreements.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operating expenses have historically consisted of research and development costs and general and administrative costs.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substantially in connection with our ongoing and planned clinical development activities for pevifoscorvir sodium and our other drug candidates. We rely substantially on third parties to conduct our discovery activities, nonclinical studies, clinical trials and manufacturing. We estimate research and development expenses based on estimates of services performed, and rely on third party contractors and vendors to provide us with timely and accurate estimates of expenses of services performed to assist us in these estimates. A portion of our research and development expenses are based on contractual milestones. Research and development costs consist primarily of costs incurred for the identification and development of our drug candidates through our technology platforms, which include:</w:t>
      </w:r>
    </w:p>
    <w:p>
      <w:pPr>
        <w:spacing w:after="0" w:line="295"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paid to institutions that conduct our clinical trials and to clinical trial-related service providers;</w:t>
      </w:r>
    </w:p>
    <w:p>
      <w:pPr>
        <w:spacing w:after="0" w:line="117"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benefits and other employee-related costs, including stock-based compensation expense, for personnel engaged in research and development functions;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outside consultants, including their fees, and related travel expenses;</w:t>
      </w:r>
    </w:p>
    <w:p>
      <w:pPr>
        <w:spacing w:after="0" w:line="117"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in-process research and development, including license fees and milestones paid to third-party collaborators for technologies;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production of clinical materials, including fees paid to contract manufacturers;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collaborators that perform nonclinical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costs, depreciation, and other expenses, which include direct and allocated expenses for rent and maintenance of facilities, insurance, and other supplies.</w:t>
      </w:r>
    </w:p>
    <w:p>
      <w:pPr>
        <w:spacing w:after="0" w:line="16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expense research and development costs as the services are performed or the goods are received. Non-refundable payments for goods or services that will be used for future research and development activities are deferred and capitalized. Such amounts are recognized as an expense as the goods are delivered or the related services are performed until it is no longer expected that the goods will be delivered or the services will be rendered.</w:t>
      </w:r>
    </w:p>
    <w:p>
      <w:pPr>
        <w:spacing w:after="0" w:line="176"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Our research and development costs may increase in future periods as we continue to invest in research and development activities and advance our nonclinical and clinical programs through clinical development. The process of conducting nonclinical studies and, eventually, clinical trials necessary to obtain regulatory approval is costly and time consuming, and the successful development of our drug candidates is highly uncertain. As a result, we are unable to determine the duration and completion costs of our research and development projects or clinical trials or if and to what extent we will generate revenue from the commercialization and sale of any of our drug candidates.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other related costs, including stock-based compensation, for personnel in our executive, finance, corporate and business development and administrative functions. General and administrative expenses also include legal fees relating to patent and corporate matters; professional fees for accounting, auditing, tax and consulting services; insurance costs; travel expenses; and facility-related expenses, which include direct depreciation costs and allocated expenses for rent and maintenance of facilities and other operating costs not otherwise classified as research and development costs.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5" w:name="page26"/>
    <w:bookmarkEnd w:id="25"/>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Our general and administrative expenses may increase in the future as we increase our general and administrative personnel headcount to support personnel in research and development and to support our operations generally as we increase our research and development activities and activities related to the potential commercialization of our drug candidates. We may also incur increased expenses associated with operating as a public company, including costs of accounting, audit, legal, regulatory and tax-related services associated with maintaining compliance with exchange listing rules and requirements of the Securities and Exchange Commission (the SEC), director and officer insurance costs, and investor and public relations costs.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income, net</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Interest and other income, net comprises interest income, net and other income, net. Interest income, net primarily consists of interest earned on our cash, cash equivalents, and investments. Other income, net primarily includes investments gains/losses.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2023 Common Warrants</w:t>
      </w:r>
    </w:p>
    <w:p>
      <w:pPr>
        <w:spacing w:after="0" w:line="12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change in fair value of 2023 Common Warrants includes the remeasurement of the 2023 Common Warrants using the Black Scholes option pricing model at each reporting period.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and nine months ended September 30, 2026 and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and operating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operating expenses for the three and nine months ended September 30, 2026 and 2025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gridSpan w:val="6"/>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060" w:type="dxa"/>
            <w:vAlign w:val="bottom"/>
            <w:gridSpan w:val="3"/>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6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3"/>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from customers</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2,830</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282%</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5,660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3,643</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licensing agreements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27,817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(5,045)</w:t>
            </w:r>
          </w:p>
        </w:tc>
        <w:tc>
          <w:tcPr>
            <w:tcW w:w="2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66,294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52,415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5,165</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17,892</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15,773</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(4,343)</w:t>
            </w:r>
          </w:p>
        </w:tc>
        <w:tc>
          <w:tcPr>
            <w:tcW w:w="2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84,186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68,188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9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(21,890)</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(28,361)</w:t>
            </w: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6,471</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-23%</w:t>
            </w:r>
          </w:p>
        </w:tc>
        <w:tc>
          <w:tcPr>
            <w:tcW w:w="12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(50,709)</w:t>
            </w:r>
          </w:p>
        </w:tc>
        <w:tc>
          <w:tcPr>
            <w:tcW w:w="1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(66,171)</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15,462</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8"/>
        </w:trPr>
        <w:tc>
          <w:tcPr>
            <w:tcW w:w="2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Interest and other income (expense),</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net:</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(144)</w:t>
            </w:r>
          </w:p>
        </w:tc>
        <w:tc>
          <w:tcPr>
            <w:tcW w:w="2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-38%</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(996)</w:t>
            </w:r>
          </w:p>
        </w:tc>
        <w:tc>
          <w:tcPr>
            <w:tcW w:w="2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 income, net</w:t>
            </w: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(772)</w:t>
            </w:r>
          </w:p>
        </w:tc>
        <w:tc>
          <w:tcPr>
            <w:tcW w:w="2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(975)</w:t>
            </w:r>
          </w:p>
        </w:tc>
        <w:tc>
          <w:tcPr>
            <w:tcW w:w="2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98"/>
        </w:trPr>
        <w:tc>
          <w:tcPr>
            <w:tcW w:w="28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 2023 Common</w:t>
            </w:r>
          </w:p>
        </w:tc>
        <w:tc>
          <w:tcPr>
            <w:tcW w:w="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(4,205)</w:t>
            </w:r>
          </w:p>
        </w:tc>
        <w:tc>
          <w:tcPr>
            <w:tcW w:w="1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4,392</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-104%</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6,558</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58,971</w:t>
            </w: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(52,413)</w:t>
            </w:r>
          </w:p>
        </w:tc>
        <w:tc>
          <w:tcPr>
            <w:tcW w:w="26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w:t>
            </w: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(21,534)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(31,481)</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(42,950)</w:t>
            </w:r>
          </w:p>
        </w:tc>
        <w:tc>
          <w:tcPr>
            <w:tcW w:w="16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(4,028)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(38,922)</w:t>
            </w:r>
          </w:p>
        </w:tc>
        <w:tc>
          <w:tcPr>
            <w:tcW w:w="2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966%</w:t>
            </w:r>
          </w:p>
        </w:tc>
        <w:tc>
          <w:tcPr>
            <w:tcW w:w="0" w:type="dxa"/>
            <w:vAlign w:val="bottom"/>
          </w:tcPr>
          <w:p>
            <w:pPr>
              <w:spacing w:after="0"/>
              <w:rPr>
                <w:sz w:val="1"/>
                <w:szCs w:val="1"/>
                <w:color w:val="auto"/>
              </w:rPr>
            </w:pPr>
          </w:p>
        </w:tc>
      </w:tr>
      <w:tr>
        <w:trPr>
          <w:trHeight w:val="216"/>
        </w:trPr>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9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(326)</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(270)</w:t>
            </w:r>
          </w:p>
        </w:tc>
        <w:tc>
          <w:tcPr>
            <w:tcW w:w="2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482%</w:t>
            </w:r>
          </w:p>
        </w:tc>
        <w:tc>
          <w:tcPr>
            <w:tcW w:w="12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(3,454)</w:t>
            </w:r>
          </w:p>
        </w:tc>
        <w:tc>
          <w:tcPr>
            <w:tcW w:w="1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(284)</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(3,170)</w:t>
            </w:r>
          </w:p>
        </w:tc>
        <w:tc>
          <w:tcPr>
            <w:tcW w:w="2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1116%</w:t>
            </w:r>
          </w:p>
        </w:tc>
        <w:tc>
          <w:tcPr>
            <w:tcW w:w="0" w:type="dxa"/>
            <w:vAlign w:val="bottom"/>
          </w:tcPr>
          <w:p>
            <w:pPr>
              <w:spacing w:after="0"/>
              <w:rPr>
                <w:sz w:val="1"/>
                <w:szCs w:val="1"/>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(21,860)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(31,537)</w:t>
            </w: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9,677</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(46,404)</w:t>
            </w:r>
          </w:p>
        </w:tc>
        <w:tc>
          <w:tcPr>
            <w:tcW w:w="16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(4,312)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(42,092)</w:t>
            </w:r>
          </w:p>
        </w:tc>
        <w:tc>
          <w:tcPr>
            <w:tcW w:w="26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976%</w:t>
            </w: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Revenue from customers increased by $3.6 million for the nine months ended September 30, 2026, when compared to the same period in 2025, due to two milestones achieved under the Amoytop Collaboration Agreement. Revenue from customers increased by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6" w:name="page27"/>
    <w:bookmarkEnd w:id="26"/>
    <w:p>
      <w:pPr>
        <w:ind w:right="20"/>
        <w:spacing w:after="0" w:line="282" w:lineRule="auto"/>
        <w:rPr>
          <w:sz w:val="20"/>
          <w:szCs w:val="20"/>
          <w:color w:val="auto"/>
        </w:rPr>
      </w:pPr>
      <w:r>
        <w:rPr>
          <w:rFonts w:ascii="Times New Roman" w:cs="Times New Roman" w:eastAsia="Times New Roman" w:hAnsi="Times New Roman"/>
          <w:sz w:val="18"/>
          <w:szCs w:val="18"/>
          <w:color w:val="auto"/>
        </w:rPr>
        <w:t>$2.1 million for the three months ended September 30, 2026, when compared to the same period in 2025 due to the IND approval milestone achieved under the Amoytop Collaboration Agreement.</w:t>
      </w:r>
    </w:p>
    <w:p>
      <w:pPr>
        <w:spacing w:after="0" w:line="54"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Revenue from licensing agreements increased by $27.8 million for the nine months ended September 30, 2026, related to the Amoytop license agreement. There was no revenue from licensing agreements in the three and nine months ended September 30,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We track direct external research and development expenses on a program-specific basis (chronic HBV infection, MASH, coronaviruses and early-stage programs). The following table summarizes these research and development costs (in thousands):</w:t>
      </w:r>
    </w:p>
    <w:p>
      <w:pPr>
        <w:spacing w:after="0" w:line="143"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w:t>
            </w:r>
          </w:p>
        </w:tc>
        <w:tc>
          <w:tcPr>
            <w:tcW w:w="420" w:type="dxa"/>
            <w:vAlign w:val="bottom"/>
          </w:tcPr>
          <w:p>
            <w:pPr>
              <w:spacing w:after="0"/>
              <w:rPr>
                <w:sz w:val="13"/>
                <w:szCs w:val="13"/>
                <w:color w:val="auto"/>
              </w:rPr>
            </w:pPr>
          </w:p>
        </w:tc>
        <w:tc>
          <w:tcPr>
            <w:tcW w:w="2100" w:type="dxa"/>
            <w:vAlign w:val="bottom"/>
            <w:gridSpan w:val="7"/>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Nine months ended September</w:t>
            </w:r>
          </w:p>
        </w:tc>
      </w:tr>
      <w:tr>
        <w:trPr>
          <w:trHeight w:val="173"/>
        </w:trPr>
        <w:tc>
          <w:tcPr>
            <w:tcW w:w="5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30,</w:t>
            </w:r>
          </w:p>
        </w:tc>
        <w:tc>
          <w:tcPr>
            <w:tcW w:w="74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30,</w:t>
            </w: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5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r>
      <w:tr>
        <w:trPr>
          <w:trHeight w:val="191"/>
        </w:trPr>
        <w:tc>
          <w:tcPr>
            <w:tcW w:w="5660" w:type="dxa"/>
            <w:vAlign w:val="bottom"/>
            <w:shd w:val="clear" w:color="auto" w:fill="CFF0FC"/>
          </w:tcPr>
          <w:p>
            <w:pPr>
              <w:ind w:left="40"/>
              <w:spacing w:after="0" w:line="191" w:lineRule="exact"/>
              <w:rPr>
                <w:sz w:val="20"/>
                <w:szCs w:val="20"/>
                <w:color w:val="auto"/>
              </w:rPr>
            </w:pPr>
            <w:r>
              <w:rPr>
                <w:rFonts w:ascii="Times New Roman" w:cs="Times New Roman" w:eastAsia="Times New Roman" w:hAnsi="Times New Roman"/>
                <w:sz w:val="18"/>
                <w:szCs w:val="18"/>
                <w:color w:val="auto"/>
              </w:rPr>
              <w:t>Direct research and development expenses by development</w:t>
            </w:r>
          </w:p>
        </w:tc>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4"/>
        </w:trPr>
        <w:tc>
          <w:tcPr>
            <w:tcW w:w="5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program:</w:t>
            </w: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Chronic Hepatitis B virus infection program</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8,593</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14,205</w:t>
            </w:r>
          </w:p>
        </w:tc>
        <w:tc>
          <w:tcPr>
            <w:tcW w:w="6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33,406</w:t>
            </w:r>
          </w:p>
        </w:tc>
        <w:tc>
          <w:tcPr>
            <w:tcW w:w="60" w:type="dxa"/>
            <w:vAlign w:val="bottom"/>
          </w:tcPr>
          <w:p>
            <w:pPr>
              <w:spacing w:after="0"/>
              <w:rPr>
                <w:sz w:val="18"/>
                <w:szCs w:val="18"/>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24,274</w:t>
            </w:r>
          </w:p>
        </w:tc>
        <w:tc>
          <w:tcPr>
            <w:tcW w:w="100" w:type="dxa"/>
            <w:vAlign w:val="bottom"/>
          </w:tcPr>
          <w:p>
            <w:pPr>
              <w:spacing w:after="0"/>
              <w:rPr>
                <w:sz w:val="18"/>
                <w:szCs w:val="18"/>
                <w:color w:val="auto"/>
              </w:rPr>
            </w:pPr>
          </w:p>
        </w:tc>
      </w:tr>
      <w:tr>
        <w:trPr>
          <w:trHeight w:val="216"/>
        </w:trPr>
        <w:tc>
          <w:tcPr>
            <w:tcW w:w="5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Metabolic dysfunction-associated steatohepatitis program</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00" w:type="dxa"/>
            <w:vAlign w:val="bottom"/>
            <w:shd w:val="clear" w:color="auto" w:fill="CFF0FC"/>
          </w:tcPr>
          <w:p>
            <w:pPr>
              <w:spacing w:after="0"/>
              <w:rPr>
                <w:sz w:val="18"/>
                <w:szCs w:val="18"/>
                <w:color w:val="auto"/>
              </w:rPr>
            </w:pPr>
          </w:p>
        </w:tc>
      </w:tr>
      <w:tr>
        <w:trPr>
          <w:trHeight w:val="216"/>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Coronaviruses program</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(615)</w:t>
            </w:r>
          </w:p>
        </w:tc>
      </w:tr>
      <w:tr>
        <w:trPr>
          <w:trHeight w:val="216"/>
        </w:trPr>
        <w:tc>
          <w:tcPr>
            <w:tcW w:w="56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early-stage programs</w:t>
            </w:r>
          </w:p>
        </w:tc>
        <w:tc>
          <w:tcPr>
            <w:tcW w:w="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4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6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direct research and development expenses</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9,516</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15,384</w:t>
            </w:r>
          </w:p>
        </w:tc>
        <w:tc>
          <w:tcPr>
            <w:tcW w:w="6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35,704</w:t>
            </w:r>
          </w:p>
        </w:tc>
        <w:tc>
          <w:tcPr>
            <w:tcW w:w="60" w:type="dxa"/>
            <w:vAlign w:val="bottom"/>
          </w:tcPr>
          <w:p>
            <w:pPr>
              <w:spacing w:after="0"/>
              <w:rPr>
                <w:sz w:val="18"/>
                <w:szCs w:val="18"/>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26,938</w:t>
            </w:r>
          </w:p>
        </w:tc>
        <w:tc>
          <w:tcPr>
            <w:tcW w:w="100" w:type="dxa"/>
            <w:vAlign w:val="bottom"/>
          </w:tcPr>
          <w:p>
            <w:pPr>
              <w:spacing w:after="0"/>
              <w:rPr>
                <w:sz w:val="18"/>
                <w:szCs w:val="18"/>
                <w:color w:val="auto"/>
              </w:rPr>
            </w:pPr>
          </w:p>
        </w:tc>
      </w:tr>
      <w:tr>
        <w:trPr>
          <w:trHeight w:val="216"/>
        </w:trPr>
        <w:tc>
          <w:tcPr>
            <w:tcW w:w="566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indirect research and development expenses</w:t>
            </w:r>
          </w:p>
        </w:tc>
        <w:tc>
          <w:tcPr>
            <w:tcW w:w="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9,376</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8,553</w:t>
            </w:r>
          </w:p>
        </w:tc>
        <w:tc>
          <w:tcPr>
            <w:tcW w:w="4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30,590</w:t>
            </w:r>
          </w:p>
        </w:tc>
        <w:tc>
          <w:tcPr>
            <w:tcW w:w="6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25,477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18,892</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23,937</w:t>
            </w:r>
          </w:p>
        </w:tc>
        <w:tc>
          <w:tcPr>
            <w:tcW w:w="6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66,294</w:t>
            </w:r>
          </w:p>
        </w:tc>
        <w:tc>
          <w:tcPr>
            <w:tcW w:w="60" w:type="dxa"/>
            <w:vAlign w:val="bottom"/>
          </w:tcPr>
          <w:p>
            <w:pPr>
              <w:spacing w:after="0"/>
              <w:rPr>
                <w:sz w:val="18"/>
                <w:szCs w:val="18"/>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52,415</w:t>
            </w:r>
          </w:p>
        </w:tc>
        <w:tc>
          <w:tcPr>
            <w:tcW w:w="100" w:type="dxa"/>
            <w:vAlign w:val="bottom"/>
          </w:tcPr>
          <w:p>
            <w:pPr>
              <w:spacing w:after="0"/>
              <w:rPr>
                <w:sz w:val="18"/>
                <w:szCs w:val="18"/>
                <w:color w:val="auto"/>
              </w:rPr>
            </w:pPr>
          </w:p>
        </w:tc>
      </w:tr>
      <w:tr>
        <w:trPr>
          <w:trHeight w:val="20"/>
        </w:trPr>
        <w:tc>
          <w:tcPr>
            <w:tcW w:w="5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-454025</wp:posOffset>
            </wp:positionV>
            <wp:extent cx="603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-454025</wp:posOffset>
            </wp:positionV>
            <wp:extent cx="603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-454025</wp:posOffset>
            </wp:positionV>
            <wp:extent cx="603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-454025</wp:posOffset>
            </wp:positionV>
            <wp:extent cx="603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-170815</wp:posOffset>
            </wp:positionV>
            <wp:extent cx="603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-170815</wp:posOffset>
            </wp:positionV>
            <wp:extent cx="603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-170815</wp:posOffset>
            </wp:positionV>
            <wp:extent cx="603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-170815</wp:posOffset>
            </wp:positionV>
            <wp:extent cx="603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20" w:firstLine="509"/>
        <w:spacing w:after="0" w:line="220" w:lineRule="exact"/>
        <w:rPr>
          <w:sz w:val="20"/>
          <w:szCs w:val="20"/>
          <w:color w:val="auto"/>
        </w:rPr>
      </w:pPr>
      <w:r>
        <w:rPr>
          <w:rFonts w:ascii="Times New Roman" w:cs="Times New Roman" w:eastAsia="Times New Roman" w:hAnsi="Times New Roman"/>
          <w:sz w:val="18"/>
          <w:szCs w:val="18"/>
          <w:color w:val="auto"/>
        </w:rPr>
        <w:t>Research and development expenses decreased by $5.0 million and increased by $13.9 million, respectively, during the three and nine months ended September 30, 2026 compared to the same periods in 2025. The decrease in the three months ended September 30, 2026 was primarily due to a $5.7 million decrease in third-party expenses as a result of the completion of enrollment in the pevifoscorvir sodium Phase 2 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SUPREME clinical trial. The increase in the nine months ended September 30, 2026 was primarily due to $9.2 million increase in third-party expenses as well as a $4.4 million increase in salary and benefit costs.</w:t>
      </w:r>
    </w:p>
    <w:p>
      <w:pPr>
        <w:spacing w:after="0" w:line="20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We expect research and development expenses will increase in future periods as we continue to focus on advancing clinical trials for pevifoscorvir sodium.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increased by $0.7 million and $2.1 million during the three and nine months ended September 30, 2026, respectively, compared to the same periods in 2025. The increase in the three-month period was primarily due to a $0.7 million increase in third-party expenses due to increased legal and intellectual property spend. The increase in the nine-month period was primarily due to a $1.4 million increase in employee-related costs, as well as a $1.1 million increase in third party expenses due to increased legal and intellectual property spend, partially offset by reduction in other expenses.</w:t>
      </w:r>
    </w:p>
    <w:p>
      <w:pPr>
        <w:spacing w:after="0" w:line="183"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We expect general and administrative expenses will increase in future periods due to increased activity in our research and development group, which will require more resources and additional activities in our general and administration group.</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other income (expense), net</w:t>
      </w:r>
    </w:p>
    <w:p>
      <w:pPr>
        <w:spacing w:after="0" w:line="227" w:lineRule="exact"/>
        <w:rPr>
          <w:sz w:val="20"/>
          <w:szCs w:val="20"/>
          <w:color w:val="auto"/>
        </w:rPr>
      </w:pPr>
    </w:p>
    <w:p>
      <w:pPr>
        <w:ind w:right="800" w:firstLine="509"/>
        <w:spacing w:after="0" w:line="282" w:lineRule="auto"/>
        <w:rPr>
          <w:sz w:val="20"/>
          <w:szCs w:val="20"/>
          <w:color w:val="auto"/>
        </w:rPr>
      </w:pPr>
      <w:r>
        <w:rPr>
          <w:rFonts w:ascii="Times New Roman" w:cs="Times New Roman" w:eastAsia="Times New Roman" w:hAnsi="Times New Roman"/>
          <w:sz w:val="18"/>
          <w:szCs w:val="18"/>
          <w:color w:val="auto"/>
        </w:rPr>
        <w:t>Interest and other income (expense), net decreased by $0.9 million and $2.0 million, respectively, during the three and nine months ended September 30, 2026 as compared to the same periods in the prior year. This was primarily due to a decreasing short-term investments balance.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2023 Common Warrants</w:t>
      </w:r>
    </w:p>
    <w:p>
      <w:pPr>
        <w:spacing w:after="0" w:line="22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change in fair value of 2023 Common Warrants was an increase of $4.4 million and a decrease of $52.4 million for the three and nine months ended September 30, 2026, compared to the same period ended September 30, 2025. The change was due to a change in the fair value of the 2023 Common Warrants measured using the Black Scholes option pricing model remeasured at each reporting period, principally due to a change in the stock price between reporting periods.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119"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We have incurred operating losses in each year since inception. Our cash and cash equivalents were $31.1 million as of September 30, 2026. As of September 30, 2026, we had an accumulated deficit of $688.6 million.</w:t>
      </w:r>
    </w:p>
    <w:p>
      <w:pPr>
        <w:spacing w:after="0" w:line="5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have had no revenue from product sales, and it is uncertain when in the future we may generate product sales. We have no internal manufacturing capabilities or sales force, and we outsource a substantial portion of our clinical trial work to third parties. Substantially all of our net losses have resulted from costs incurred in connection with our research and development programs and from general and administrative costs associated with our operations. We expect to continue to incur significant expenses and increasing operating losses over at least the next several years. Our net operating losses may fluctuate from quarter to quarter and year to year depending primarily on the timing of our clinical trials and nonclinical studies and our other research and development expenses.</w:t>
      </w:r>
    </w:p>
    <w:p>
      <w:pPr>
        <w:spacing w:after="0" w:line="79"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Our operations have been financed primarily by net proceeds from the sale and issuance of our convertible preferred stock, proceeds from public offerings, revenue from customers, collaboration and license agreements, and proceeds from private placements of our common stock, warrants and pre-funded warrants, and the issuance of convertible debt.</w:t>
      </w:r>
    </w:p>
    <w:p>
      <w:pPr>
        <w:spacing w:after="0" w:line="68" w:lineRule="exact"/>
        <w:rPr>
          <w:sz w:val="20"/>
          <w:szCs w:val="20"/>
          <w:color w:val="auto"/>
        </w:rPr>
      </w:pPr>
    </w:p>
    <w:p>
      <w:pPr>
        <w:ind w:right="20" w:firstLine="509"/>
        <w:spacing w:after="0" w:line="218" w:lineRule="exact"/>
        <w:rPr>
          <w:sz w:val="20"/>
          <w:szCs w:val="20"/>
          <w:color w:val="auto"/>
        </w:rPr>
      </w:pPr>
      <w:r>
        <w:rPr>
          <w:rFonts w:ascii="Times New Roman" w:cs="Times New Roman" w:eastAsia="Times New Roman" w:hAnsi="Times New Roman"/>
          <w:sz w:val="18"/>
          <w:szCs w:val="18"/>
          <w:color w:val="auto"/>
        </w:rPr>
        <w:t>In February 2025, we entered into a securities purchase agreement (the 2025 Securities Purchase Agreement) with certain investors named therein (the Purchasers) pursuant to which we issued (i) 2,103,307 shares of our common stock (the Common Stock), consisting of 1,427,000 shares of voting Common Stock and 676,307 shares of non-voting Common Stock, (ii)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warrants (the 2025 Pre-Funded Warrants) to purchase up to an aggregate of 1,922,511 shares of voting Common Stock, and (iii) accompanying common warrants (the 2025 Common Warrants and, together with the 2025 Pre-Funded Warrants, the 2025 Warrants) to purchase up to an aggregate of 2,012,909 shares of Common Stock (the 2025 Private Placement). Each 2025 Warrant is exercisable for one share of Common Stock. We received gross proceeds of $105.0 million. In connection with the 2025 Private Placement, we also entered into a registration rights agreement with the Purchasers, pursuant to which we agreed to register for resale the shares of Common Stock sold to the Purchasers, as well as the shares of Common Stock underlying the 2025 Warrants sold to the Purchasers, on the terms set forth therein. We also entered into a registration rights agreement with Baker Brothers Life Sciences, L.P. (together with its affiliates, the Lead Investor), pursuant to which we agreed to file a resale registration statement with the Securities and Exchange Commission following demand by the Lead Investor to register the resale of shares of Common Stock and any Common Stock issued or issuable upon the exercise or conversion of non-voting Common Stock and any of our other securities held by the Lead Investor.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Going concern</w:t>
      </w:r>
    </w:p>
    <w:p>
      <w:pPr>
        <w:spacing w:after="0" w:line="11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As of September 30, 2026, we had an accumulated deficit of $688.6 million, and cash and cash equivalents of $31.1 million, which we expect will be sufficient to fund current planned operations into the first quarter of 2027. Our current operating plan and projected cash outflows for the upcoming periods raise substantial doubt about our ability to continue as a going concern for at least 12 months from the issuance of the financial statements included elsewhere in this Quarterly Report. We plan to raise additional capital to fund continued operations beyond the first quarter of 2027. We are taking steps to identify access to future capital and expect to be able to access capital in the future. However, there can be no assurance that any additional funding will be available to us on acceptable terms, if at all. If events or circumstances occur such that we do not obtain additional funding, it may be necessary to significantly reduce the scope of operations to reduce the current rate of spending, which could include reductions in staff and the need to delay, limit, reduce or terminate current or future product development, which could have a material adverse effect on our business, results of operations and financial condition. Moreover, even if financing efforts are successful and additional capital is obtained, available liquidity may still be insufficient to eliminate the aforementioned substantial doubt regarding our ability to continue as a going concern.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resources</w:t>
      </w:r>
    </w:p>
    <w:p>
      <w:pPr>
        <w:spacing w:after="0" w:line="11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primary use of cash is to fund operating expenses, which consist primarily of research and development costs related to our drug candidates and our discovery programs, and to a lesser extent, general and administrative expenditures. Our current operating plan and projected cash outflows for the upcoming periods raise substantial doubt about our ability to continue as a going concern for at least 12 months from the issuance of the financial statements. If we are successful with our ability to access additional funding, we expect our expenses to increase substantially in connection with our ongoing clinical development activities related to our chronic HBV infection drug candidate pevifoscorvir sodium, for which we have an ongoing Phase 2 trial, as well as our research and development of our other drug candidates.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that our expenses will increase substantially to the extent we:</w:t>
      </w:r>
    </w:p>
    <w:p>
      <w:pPr>
        <w:spacing w:after="0" w:line="117"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current and future clinical trials, and additional nonclinical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continue research and nonclinical and clinical development of other drug candidates;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28" w:name="page29"/>
    <w:bookmarkEnd w:id="28"/>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additional drug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marketing approvals for any of our drug candidates that successfully complete clinical trials, if 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products for which we may obtain marketing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manufacture of larger quantities of our drug candidates for clinical development and potentially commercialization;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expand, protect and enforce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drug candidates and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additional clinical, quality control, manufacturing, medical affairs and scientific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milestones triggering payments by us under our current and potential future licensing and/or collaboration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out or expand existing facilities to support our ongoing development activity; and</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drug development, any future commercialization efforts and any additional requirement of being a public company.</w:t>
      </w:r>
    </w:p>
    <w:p>
      <w:pPr>
        <w:spacing w:after="0" w:line="54"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our research and development programs and because the extent to which we may enter into collaborations with third parties for development of our drug candidates is unknown, we are unable to estimate the timing and amounts of increased capital outlays and operating expenses associated with completing the research and development of our drug candidates. Our future capital requirements will depend on many factors, including:</w:t>
      </w:r>
    </w:p>
    <w:p>
      <w:pPr>
        <w:spacing w:after="0" w:line="72" w:lineRule="exact"/>
        <w:rPr>
          <w:sz w:val="20"/>
          <w:szCs w:val="20"/>
          <w:color w:val="auto"/>
        </w:rPr>
      </w:pPr>
    </w:p>
    <w:p>
      <w:pPr>
        <w:ind w:left="1020" w:right="8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our drug candidates and programs, and of conducting nonclinical studies and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obtaining marketing approvals for drug candidates we develop if clinical trials are successful;</w:t>
      </w:r>
    </w:p>
    <w:p>
      <w:pPr>
        <w:spacing w:after="0" w:line="117" w:lineRule="exact"/>
        <w:rPr>
          <w:rFonts w:ascii="Times New Roman" w:cs="Times New Roman" w:eastAsia="Times New Roman" w:hAnsi="Times New Roman"/>
          <w:sz w:val="18"/>
          <w:szCs w:val="18"/>
          <w:color w:val="auto"/>
        </w:rPr>
      </w:pPr>
    </w:p>
    <w:p>
      <w:pPr>
        <w:jc w:val="both"/>
        <w:ind w:left="1020" w:right="400" w:hanging="503"/>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commercialization activities for our current drug candidates, and any future drug candidates we develop, whether alone or in collaboration, including marketing, sales and distribution costs if our current drug candidates or any future drug candidate we develop is approved for sale;</w:t>
      </w:r>
    </w:p>
    <w:p>
      <w:pPr>
        <w:spacing w:after="0" w:line="67" w:lineRule="exact"/>
        <w:rPr>
          <w:rFonts w:ascii="Times New Roman" w:cs="Times New Roman" w:eastAsia="Times New Roman" w:hAnsi="Times New Roman"/>
          <w:sz w:val="18"/>
          <w:szCs w:val="18"/>
          <w:color w:val="auto"/>
        </w:rPr>
      </w:pPr>
    </w:p>
    <w:p>
      <w:pPr>
        <w:ind w:left="1020" w:right="128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current and future drug candidates for clinical trials in preparation for marketing approval and commercialization;</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licenses or other arrangements and the financial terms of such agreements including milestone payments to our licensors and payments received from our licensees;</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expanding, defending and enforcing patent claims, including litigation costs and the outcome of such litigation;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lawsuits related to our drug candidates or commenced against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sales of, or profit share or royalties on, our future products, if 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therapies for hepatological indications and viral diseases and other adverse market developments;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acquisitions or in-licensing of other programs or technologies.</w:t>
      </w:r>
    </w:p>
    <w:p>
      <w:pPr>
        <w:spacing w:after="0" w:line="11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Developing pharmaceutical products, including conducting nonclinical studies and clinical trials, is a time-consuming, expensive and uncertain process that takes years to complete, and we may never generate the necessary data or results required to obtain marketing approval for any drug candidates or generate revenue from the sale of any drug candidate for which we may obtain marketing approval. In addition, our drug candidates, if approved, may not achieve commercial success. Our commercial revenues, if any, will be derived from sales of drugs that we do not expect to be commercially available for many years, if ever. Accordingly, we will need to obtain substantial additional funds to achieve our business objectives.</w:t>
      </w:r>
    </w:p>
    <w:p>
      <w:pPr>
        <w:spacing w:after="0" w:line="75" w:lineRule="exact"/>
        <w:rPr>
          <w:sz w:val="20"/>
          <w:szCs w:val="20"/>
          <w:color w:val="auto"/>
        </w:rPr>
      </w:pPr>
    </w:p>
    <w:p>
      <w:pPr>
        <w:ind w:right="380" w:firstLine="509"/>
        <w:spacing w:after="0" w:line="261" w:lineRule="auto"/>
        <w:rPr>
          <w:sz w:val="20"/>
          <w:szCs w:val="20"/>
          <w:color w:val="auto"/>
        </w:rPr>
      </w:pPr>
      <w:r>
        <w:rPr>
          <w:rFonts w:ascii="Times New Roman" w:cs="Times New Roman" w:eastAsia="Times New Roman" w:hAnsi="Times New Roman"/>
          <w:sz w:val="18"/>
          <w:szCs w:val="18"/>
          <w:color w:val="auto"/>
        </w:rPr>
        <w:t>Adequate additional funds may not be available to us on acceptable terms, or at all. We do not currently have any committed external source of funds. To the extent that we raise additional capital through the sale of equity or convertible debt securities, ownership interest may be diluted, and the terms of these securities may include liquidation or other preferences and anti-dilution protections that could adversely affect the rights of a common stockholder. Additional debt or preferred equity financing, if available,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29" w:name="page30"/>
    <w:bookmarkEnd w:id="29"/>
    <w:p>
      <w:pPr>
        <w:ind w:right="120"/>
        <w:spacing w:after="0" w:line="266" w:lineRule="auto"/>
        <w:rPr>
          <w:sz w:val="20"/>
          <w:szCs w:val="20"/>
          <w:color w:val="auto"/>
        </w:rPr>
      </w:pPr>
      <w:r>
        <w:rPr>
          <w:rFonts w:ascii="Times New Roman" w:cs="Times New Roman" w:eastAsia="Times New Roman" w:hAnsi="Times New Roman"/>
          <w:sz w:val="18"/>
          <w:szCs w:val="18"/>
          <w:color w:val="auto"/>
        </w:rPr>
        <w:t>may involve agreements that include restrictive covenants that may limit our ability to take specific actions, such as incurring debt, making capital expenditures or declaring dividends, which could adversely constrain our ability to conduct our business, and may require the issuance of warrants, which could potentially dilute ownership interest.</w:t>
      </w:r>
    </w:p>
    <w:p>
      <w:pPr>
        <w:spacing w:after="0" w:line="6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licensing arrangements with third parties, we may have to relinquish valuable rights to our technology, future revenue streams, research programs, or drug candidates or grant licenses on terms that may not be favorable to us. If we are unable to raise additional funds through equity or debt financings or collaborations, strategic alliances or licensing arrangements with third parties when needed, we may be required to delay, limit, reduce and/or terminate our product development programs or any future commercialization efforts or grant rights to develop and market drug candidates that we would otherwise prefer to develop and market ourselves.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 (in thousands):</w:t>
      </w:r>
    </w:p>
    <w:p>
      <w:pPr>
        <w:spacing w:after="0" w:line="246" w:lineRule="exact"/>
        <w:rPr>
          <w:sz w:val="20"/>
          <w:szCs w:val="20"/>
          <w:color w:val="auto"/>
        </w:rPr>
      </w:pPr>
    </w:p>
    <w:p>
      <w:pPr>
        <w:jc w:val="center"/>
        <w:ind w:left="69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69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5684520</wp:posOffset>
            </wp:positionH>
            <wp:positionV relativeFrom="paragraph">
              <wp:posOffset>-12065</wp:posOffset>
            </wp:positionV>
            <wp:extent cx="85725" cy="13652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5725" cy="136525"/>
                    </a:xfrm>
                    <a:prstGeom prst="rect">
                      <a:avLst/>
                    </a:prstGeom>
                    <a:noFill/>
                  </pic:spPr>
                </pic:pic>
              </a:graphicData>
            </a:graphic>
          </wp:anchor>
        </w:drawing>
        <w:drawing>
          <wp:anchor simplePos="0" relativeHeight="251657728" behindDoc="1" locked="0" layoutInCell="0" allowOverlap="1">
            <wp:simplePos x="0" y="0"/>
            <wp:positionH relativeFrom="column">
              <wp:posOffset>6747510</wp:posOffset>
            </wp:positionH>
            <wp:positionV relativeFrom="paragraph">
              <wp:posOffset>-12065</wp:posOffset>
            </wp:positionV>
            <wp:extent cx="85725" cy="13652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5725" cy="136525"/>
                    </a:xfrm>
                    <a:prstGeom prst="rect">
                      <a:avLst/>
                    </a:prstGeom>
                    <a:noFill/>
                  </pic:spPr>
                </pic:pic>
              </a:graphicData>
            </a:graphic>
          </wp:anchor>
        </w:drawing>
      </w:r>
    </w:p>
    <w:tbl>
      <w:tblPr>
        <w:tblLayout w:type="fixed"/>
        <w:tblInd w:w="520" w:type="dxa"/>
        <w:tblCellMar>
          <w:top w:w="0" w:type="dxa"/>
          <w:left w:w="0" w:type="dxa"/>
          <w:bottom w:w="0" w:type="dxa"/>
          <w:right w:w="0" w:type="dxa"/>
        </w:tblCellMar>
      </w:tblPr>
      <w:tr>
        <w:trPr>
          <w:trHeight w:val="142"/>
        </w:trPr>
        <w:tc>
          <w:tcPr>
            <w:tcW w:w="7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top w:val="single" w:sz="8" w:color="auto"/>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10"/>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and cash equivalents used in operating activities</w:t>
            </w:r>
          </w:p>
        </w:tc>
        <w:tc>
          <w:tcPr>
            <w:tcW w:w="840" w:type="dxa"/>
            <w:vAlign w:val="bottom"/>
            <w:gridSpan w:val="2"/>
            <w:shd w:val="clear" w:color="auto" w:fill="CFF0FC"/>
          </w:tcPr>
          <w:p>
            <w:pPr>
              <w:jc w:val="right"/>
              <w:ind w:right="668"/>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w w:val="97"/>
              </w:rPr>
              <w:t>(46,627)</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(60,758)</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Net cash and cash equivalents provided by (used in) investing activities</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(35,805)</w:t>
            </w:r>
          </w:p>
        </w:tc>
      </w:tr>
      <w:tr>
        <w:trPr>
          <w:trHeight w:val="216"/>
        </w:trPr>
        <w:tc>
          <w:tcPr>
            <w:tcW w:w="7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and cash equivalents provided by financing activities</w:t>
            </w:r>
          </w:p>
        </w:tc>
        <w:tc>
          <w:tcPr>
            <w:tcW w:w="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101,512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84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13,326</w:t>
            </w:r>
          </w:p>
        </w:tc>
        <w:tc>
          <w:tcPr>
            <w:tcW w:w="14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4,949</w:t>
            </w:r>
          </w:p>
        </w:tc>
        <w:tc>
          <w:tcPr>
            <w:tcW w:w="100" w:type="dxa"/>
            <w:vAlign w:val="bottom"/>
          </w:tcPr>
          <w:p>
            <w:pPr>
              <w:spacing w:after="0"/>
              <w:rPr>
                <w:sz w:val="18"/>
                <w:szCs w:val="18"/>
                <w:color w:val="auto"/>
              </w:rPr>
            </w:pPr>
          </w:p>
        </w:tc>
      </w:tr>
      <w:tr>
        <w:trPr>
          <w:trHeight w:val="20"/>
        </w:trPr>
        <w:tc>
          <w:tcPr>
            <w:tcW w:w="70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-170815</wp:posOffset>
            </wp:positionV>
            <wp:extent cx="603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-170815</wp:posOffset>
            </wp:positionV>
            <wp:extent cx="603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120" w:firstLine="509"/>
        <w:spacing w:after="0" w:line="220" w:lineRule="exact"/>
        <w:rPr>
          <w:sz w:val="20"/>
          <w:szCs w:val="20"/>
          <w:color w:val="auto"/>
        </w:rPr>
      </w:pPr>
      <w:r>
        <w:rPr>
          <w:rFonts w:ascii="Times New Roman" w:cs="Times New Roman" w:eastAsia="Times New Roman" w:hAnsi="Times New Roman"/>
          <w:sz w:val="18"/>
          <w:szCs w:val="18"/>
          <w:color w:val="auto"/>
        </w:rPr>
        <w:t>Net cash used in operating activities of $46.6 million and $60.8 million for the nine months ended September 30, 2026 and 2025, respectively, was largely due to ongoing research and development activities, specifically our Phase 2 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SUPREME study, and general and administrative expenses to support those activities. Net loss for the nine months ended September 30, 2026 and 2025 included, among other items, non-cash charges of stock-based compensation, non-cash lease expense, and depreciation, offset by non-cash change in the fair value of the 2023 Common Warrants and accretion of discount on investments.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2026, investing activities provided $59.8 million of cash, primarily due to $60.0 million related to maturities of short-term investments.</w:t>
      </w:r>
    </w:p>
    <w:p>
      <w:pPr>
        <w:spacing w:after="0" w:line="54"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2025, investing activities used $35.8 million of cash, primarily due to $125.5 million of purchase of short-term investments, partially offset by $90.0 million related to maturities of short-term investments.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2026, net cash provided by financing activities was $0.2 million, primarily due to proceeds from the ESPP purchase.</w:t>
      </w:r>
    </w:p>
    <w:p>
      <w:pPr>
        <w:spacing w:after="0" w:line="54"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2025, net cash provided by financing activities was $101.5 million, primarily due to proceeds from the 2025 PIPE financing.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 September 2026, we entered into the First Amendment to Lease (the “Amendment”) with Britannia Biotech Gateway Limited Partnership for its corporate headquarters, comprising approximately 38,675 rentable square feet of office and laboratory space in South San Francisco, California. The Amendment extends the lease term from March 31, 2027 to March 31, 2034. Monthly base rent under the extended term ranges from $4.65 to $5.72 per rentable square foot, increasing annually, and is subject to abatement for the ten-month period from April 1, 2027 through January 31, 2028.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in the rules and regulations of the SEC.</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We enter into standard indemnification arrangements in the ordinary course of business. Pursuant to these arrangements, we indemnify, hold harmless and agree to reimburse the indemnified parties for losses related to third party claims against the indemnified party,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21"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U.S. generally accepted accounting principles (GAAP). The preparation of these consolidated financial statements requires us to make estimates and assumptions that affect the reported amounts and the disclosure of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8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For a discussion of our critical accounting estimates, see the section titled “Management’s Discussion and Analysis of Financial Condition and Results of Operations” and the notes to our audited financial statements in our Annual Report on Form 10-K, filed with the SEC on March 5, 2026 for the year ended December 31, 2025, and the notes to the financial statements appearing elsewhere in this Quarterly Report on Form 10-Q. There have been no material changes to these critical accounting policies and estimates through September 30, 2026 from those discussed in our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For a description of the expected impact of recently adopted accounting pronouncements, see Note 2. Summary of significant accounting policies in the “Notes to consolidated financial statements” contained in Part II, Item 8 in our Annual Report on Form 10-K, filed with the SEC on March 5,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market risk during the three and nine months ended September 30, 2026, compared to the disclosures in Part II, Item 7A of our Annual Report on Form 10-K for the year ended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have established disclosure controls and procedures (as defined in Rules 13a-15(e) and 15d-15(e) under the Exchange Act) designed to ensure that information required to be disclosed in the reports that we file or submit under the Securities Exchange Act of 1934, as amended (the Exchange Act), is recorded, processed, summarized and reported within the time periods specified in the SEC’s rules and forms and is accumulated and communicated to management, including the principal executive officer (our Chief Executive Officer) and principal financial officer (our Chief Financial Officer), to allow timely decisions regarding required disclosure.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Our management has evaluated, with the participation of our Chief Executive Officer and Chief Financial Officer, the effectiveness of our disclosure controls and procedures (as defined in Rules 13a-15(e) and 15d-15(e) under the Exchange Act) as of the end of the period covered by this Quarterly Report on Form 10-Q. Management recognizes that any controls and procedures, no matter how well designed and operated, can provide only reasonable assurance of achieving the desired control objectives and management necessarily applies its judgment in evaluating the cost-benefit relationship of possible controls and procedures. Our disclosure controls and procedures have been designed to provide reasonable assurance of achieving their objectives. Based on that evaluation, our Chief Executive Officer and Chief Financial Officer have concluded that, as of September 30, 2026, our disclosure controls and procedures were effective at the reasonable assurance level.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(as defined in Rules 13a-15(f) and 15d-15(f) under the Exchange Act) that occurred during the fiscal quarter ended September 30, 2026 that has materially affected, or is reasonably likely to materially affect, our internal control over financial reporting.</w:t>
      </w:r>
    </w:p>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24" w:right="439" w:bottom="1440" w:gutter="0" w:footer="0" w:header="0"/>
        </w:sectPr>
      </w:pPr>
    </w:p>
    <w:bookmarkStart w:id="32" w:name="page33"/>
    <w:bookmarkEnd w:id="3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are not currently a party to any material legal proceedings. From time to time, we may be subject to various claims, lawsuits, and other legal and administrative proceedings arising in the ordinary course of business. The outcome of any such matters is inherently uncertain, and some of these matters may result in adverse judgments or awards, including penalties or injunctive relief, that could have an adverse effect on our business, financial condition, results of operations, or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described below, as well as the other information in this Quarterly Report on Form 10-Q, including our condensed consolidated financial statements and the related notes and the section titled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may also impair our business operations and the market value of our common stock.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limited operating history, financial position and need for additional capital</w:t>
      </w:r>
    </w:p>
    <w:p>
      <w:pPr>
        <w:spacing w:after="0" w:line="117"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clinical-stage biotechnology company with a limited operating history and no products approved for commercial sale. We have incurred significant losses since inception. We expect to incur losses for at least the next several years and may never achieve or maintain profitability for a full fiscal year, which, together with our limited operating history, makes it difficult to assess our future viability.</w:t>
      </w:r>
    </w:p>
    <w:p>
      <w:pPr>
        <w:spacing w:after="0" w:line="6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Biopharmaceutical product development is a highly speculative undertaking and involves a substantial degree of risk. We are a clinical-stage biotechnology company, and we have only a limited operating history upon which you can evaluate our business and prospects. We currently have no products approved for commercial sale, have not generated any revenue from sales of products and have incurred losses in each year since our inception in February 2018. In addition, we have not yet demonstrated an ability to successfully overcome many of the risks and uncertainties frequently encountered by companies in new and rapidly evolving fields, particularly in the biopharmaceutical industry.</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have incurred operating losses in each year since inception. We have funded our operations to date primarily with proceeds from the sale of common stock, preferred stock, convertible notes and warrants, and to a lesser extent from upfront payments under our license/collaboration agreements. To date, we have devoted substantially all of our resources to organizing and staffing our company, business planning, raising capital, acquiring and discovering development programs, securing intellectual property rights and conducting discovery, research and development activities for our programs. We have not yet demonstrated our ability to successfully complete registrational clinical trials, obtain marketing approvals, manufacture a commercial-scale product or arrange for a third party to do so on our behalf, or conduct sales and marketing activities necessary for successful product commercialization. Our drug candidates will require substantial additional development time and resources before we will be able to apply for or receive regulatory approvals and, if approved, begin generating revenue from product sales. We may continue to incur significant expenses and operating losses for the foreseeable future.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never generated revenue from product sales and may never be profitable for a full fiscal year.</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Our ability to generate revenue from product sales and achieve profitability depends on our ability, alone or with our collaboration partners, to successfully complete the development of, and obtain the regulatory approvals necessary to commercialize, our drug candidates. We do not anticipate generating revenue from product sales for the next several years, if ever. Our ability to generate revenue from product sales depends heavily on our and our current and potential future collaborators’ success in:</w:t>
      </w:r>
    </w:p>
    <w:p>
      <w:pPr>
        <w:spacing w:after="0" w:line="72"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clinical and nonclinical development of drug candidates and programs and identifying and developing new drug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and obtaining marketing approvals for any drug candidates that we develop;</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and commercializing drug candidates for which we obtain marketing approval by establishing a sales force, marketing, medical affairs and distribution infrastructure or, alternatively, collaborating with a commercialization partner;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adequate coverage and reimbursement by third-party payors for drug candidates that we develop;</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supply and manufacturing relationships with third parties that can provide adequate, in both amount and quality, products and services to support clinical development and the market demand for drug candidates that we develop, if approved;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33" w:name="page34"/>
    <w:bookmarkEnd w:id="33"/>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market acceptance of drug candidates that we develop as viable treatment options;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navigating technological and market developments;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favorable terms in any collaboration, licensing or other arrangements into which we may enter and performing our obligations in such collaborations;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protecting, enforcing and expanding our portfolio of intellectual property rights, including patents, trade secrets and know-how;</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defending against third-party interference, infringement or other intellectual property-related claims, if any;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hiring and retaining qualified personnel.</w:t>
      </w:r>
    </w:p>
    <w:p>
      <w:pPr>
        <w:spacing w:after="0" w:line="11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Even if one or more of the drug candidates that we develop is approved for commercial sale, we anticipate incurring significant costs associated with commercializing any approved drug candidate. Our expenses could increase beyond expectations if we are required by the U.S. Food and Drug Administration (the FDA), the European Medicines Agency (the EMA), or other regulatory agencies to perform clinical trials or studies in addition to those that we currently anticipate. Even if we are able to generate revenue from the sale of any approved products, we may not become profitable for a full fiscal year and may need to obtain additional funding to continue operations.</w:t>
      </w:r>
    </w:p>
    <w:p>
      <w:pPr>
        <w:spacing w:after="0" w:line="17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financing to achieve our goals, which may not be available on acceptable terms, or at all. A failure to obtain this necessary capital when needed could force us to delay, limit, reduce or terminate our product development or commercialization efforts.</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operations have consumed substantial amounts of cash since our inception. Since our inception, we have invested a significant portion of our efforts and financial resources in research and development activities for our initial nonclinical and clinical drug candidates. Nonclinical studies and clinical trials and additional research and development activities will require substantial funds to complete. In October 2023 and February 2025, we closed private investments of our securities that generated $92.1 million and $105.0 million in gross proceeds, respectively, before deducting placement agent fees and other offering expenses. As of September 30, 2026, we had cash and cash equivalents of $31.1 million. We expect to continue to spend substantial amounts to continue the nonclinical and clinical development of our current and future programs. If we are able to gain marketing approval for drug candidates that we develop, we will require significant additional amounts of cash in order to launch and commercialize such drug candidates. In addition, other unanticipated costs may arise. Because the design and outcome of our planned and anticipated clinical trials is highly uncertain, we cannot reasonably estimate the actual amounts necessary to successfully complete the development and commercialization of any drug candidate we develop.</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capital requirements depend on many factors, including:</w:t>
      </w:r>
    </w:p>
    <w:p>
      <w:pPr>
        <w:spacing w:after="0" w:line="117" w:lineRule="exact"/>
        <w:rPr>
          <w:sz w:val="20"/>
          <w:szCs w:val="20"/>
          <w:color w:val="auto"/>
        </w:rPr>
      </w:pPr>
    </w:p>
    <w:p>
      <w:pPr>
        <w:ind w:left="1020" w:right="8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our drug candidates and programs, and of conducting nonclinical studies and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obtaining marketing approvals for drug candidates we develop if clinical trials are successful;</w:t>
      </w:r>
    </w:p>
    <w:p>
      <w:pPr>
        <w:spacing w:after="0" w:line="117" w:lineRule="exact"/>
        <w:rPr>
          <w:rFonts w:ascii="Times New Roman" w:cs="Times New Roman" w:eastAsia="Times New Roman" w:hAnsi="Times New Roman"/>
          <w:sz w:val="18"/>
          <w:szCs w:val="18"/>
          <w:color w:val="auto"/>
        </w:rPr>
      </w:pPr>
    </w:p>
    <w:p>
      <w:pPr>
        <w:jc w:val="both"/>
        <w:ind w:left="1020" w:right="400" w:hanging="503"/>
        <w:spacing w:after="0" w:line="26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commercialization activities for our current drug candidates, and any future drug candidates we develop, whether alone or in collaboration, including marketing, sales and distribution costs if our current drug candidates or any future drug candidate we develop is approved for sale;</w:t>
      </w:r>
    </w:p>
    <w:p>
      <w:pPr>
        <w:spacing w:after="0" w:line="67" w:lineRule="exact"/>
        <w:rPr>
          <w:rFonts w:ascii="Times New Roman" w:cs="Times New Roman" w:eastAsia="Times New Roman" w:hAnsi="Times New Roman"/>
          <w:sz w:val="18"/>
          <w:szCs w:val="18"/>
          <w:color w:val="auto"/>
        </w:rPr>
      </w:pPr>
    </w:p>
    <w:p>
      <w:pPr>
        <w:ind w:left="1020" w:right="128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current and future drug candidates for clinical trials in preparation for marketing approval and commercialization;</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licenses or other arrangements and the financial terms of such agreements including milestone payments to our licensors;</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expanding, defending and enforcing patent claims, including litigation costs and the outcome of such litigation;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lawsuits related to our drug candidates or commenced against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sales of, or profit share or royalties on, our future products, if 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therapies for hepatological indications and viral diseases and other adverse market developments;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acquisitions or in-licensing of other programs or technologies.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4" w:name="page35"/>
    <w:bookmarkEnd w:id="34"/>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To date, we have primarily financed our operations through the sale of common stock, preferred stock, convertible notes and warrants, and to a lesser extent from upfront payments under our license/collaboration agreements. For example, in November 2024, we filed a Registration Statement on Form S-3 covering the offering of up to $400.0 million of common stock, preferred stock, debt securities, warrants, units and rights, which was declared effective by the SEC in November 2024 (November 2024 Shelf Registration Statement). In each of October 2023 and February 2025, we completed a private placement of common stock, warrants and pre-funded warrants.</w:t>
      </w:r>
    </w:p>
    <w:p>
      <w:pPr>
        <w:spacing w:after="0" w:line="75"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plan to finance our cash needs through a combination of public or private equity offerings, debt financings, collaborations, strategic alliances, licensing arrangements and other marketing or distribution arrangements. In addition, we may seek additional capital to take advantage of favorable market conditions or strategic opportunities even if we believe we have sufficient funds for our current or future operating plans. Based on our research and development plans, we expect that our existing cash and cash equivalents will enable us to fund our operations into the first quarter of 2027, which is less than 12 months following the date of this report. Accordingly, our ability to continue as a going concern will require us to obtain additional funding for our operations or significantly curtail our operations to conserve our capital resources. Moreover, it is particularly difficult to estimate with certainty our future expenses given the dynamic nature of our business, and the macro-economic environment generally.</w:t>
      </w:r>
    </w:p>
    <w:p>
      <w:pPr>
        <w:spacing w:after="0" w:line="8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Our ability to raise additional funds depends on financial, economic and other factors, many of which are beyond our control. For example, if there is a disruption of global financial markets, we could be unable to access additional capital, which could negatively affect our ability to consummate certain corporate development transactions or other important, beneficial or opportunistic investments. If additional funds are not available to us when we need them, on terms that are acceptable to us, or at all, we may be required to:</w:t>
      </w:r>
    </w:p>
    <w:p>
      <w:pPr>
        <w:spacing w:after="0" w:line="72" w:lineRule="exact"/>
        <w:rPr>
          <w:sz w:val="20"/>
          <w:szCs w:val="20"/>
          <w:color w:val="auto"/>
        </w:rPr>
      </w:pPr>
    </w:p>
    <w:p>
      <w:pPr>
        <w:ind w:left="1020" w:right="24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limit, reduce or terminate nonclinical studies, clinical trials or other research and development activities or eliminate one or more of our development programs altogether; or</w:t>
      </w:r>
    </w:p>
    <w:p>
      <w:pPr>
        <w:spacing w:after="0" w:line="53" w:lineRule="exact"/>
        <w:rPr>
          <w:rFonts w:ascii="Times New Roman" w:cs="Times New Roman" w:eastAsia="Times New Roman" w:hAnsi="Times New Roman"/>
          <w:sz w:val="18"/>
          <w:szCs w:val="18"/>
          <w:color w:val="auto"/>
        </w:rPr>
      </w:pPr>
    </w:p>
    <w:p>
      <w:pPr>
        <w:jc w:val="both"/>
        <w:ind w:left="1020" w:right="320" w:hanging="503"/>
        <w:spacing w:after="0" w:line="26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limit, reduce or terminate our efforts to establish manufacturing and sales and marketing capabilities or other activities that may be necessary to commercialize any future approved products, or reduce our flexibility in developing or maintaining our sales and marketing strategy.</w:t>
      </w:r>
    </w:p>
    <w:p>
      <w:pPr>
        <w:spacing w:after="0" w:line="6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currently have a shelf registration statement effective, however, our ability to raise capital under this registration statement may be limited by, among other things, SEC rules and regulations impacting the eligibility of smaller companies to use Form S-3 for primary offerings of securities. Although alternative public and private transaction structures may be available, these may require additional time and cost, may impose operational restrictions on us, and may not be available on attractive terms.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recurring losses from operations and negative cash flows have raised substantial doubt regarding our ability to continue as a going concern.</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recurring losses from operations and negative cash flows raise substantial doubt about our ability to continue as a going concern. We have devoted our resources to our research and development activities and have experienced significant operating losses since our inception. Furthermore, we expect to continue devoting substantial capital to the research and development of our drug candidates. We plan to raise additional capital to fund continued operations beyond the first quarter of 2027. We are taking steps to identify access to future capital and expect to be able to access capital in the future. However, there can be no assurance that any additional funding will be available to us on acceptable terms, if at all. If events or circumstances occur such that we do not obtain additional funding, it may be necessary to significantly reduce the scope of operations to reduce the current rate of spending, which could include reductions in staff and the need to delay, limit, reduce or terminate current or future product development, which could have a material adverse effect on our business, results of operations and financial condition. Further, the perception of our ability to continue as a going concern may make it more difficult for us to obtain funding for the continuation of our operations, or necessitate that we obtain funding on less favorable terms, and could result in the loss of confidence by investors, our partners and employees.</w:t>
      </w:r>
    </w:p>
    <w:p>
      <w:pPr>
        <w:spacing w:after="0" w:line="190"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will make our future results difficult to predict and could cause our results to fall below expectations.</w:t>
      </w:r>
    </w:p>
    <w:p>
      <w:pPr>
        <w:spacing w:after="0" w:line="51"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which will make it difficult for us to predict our future results. These fluctuations may occur due to a variety of factors, many of which are outside of our control and may be difficult to predict, including:</w:t>
      </w:r>
    </w:p>
    <w:p>
      <w:pPr>
        <w:spacing w:after="0" w:line="54" w:lineRule="exact"/>
        <w:rPr>
          <w:sz w:val="20"/>
          <w:szCs w:val="20"/>
          <w:color w:val="auto"/>
        </w:rPr>
      </w:pPr>
    </w:p>
    <w:p>
      <w:pPr>
        <w:ind w:left="1020" w:right="2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development and commercialization activities, which may change from time to time;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status of enrollment for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regulatory approvals, if any, in the United States and internationally;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5" w:name="page36"/>
    <w:bookmarkEnd w:id="35"/>
    <w:p>
      <w:pPr>
        <w:ind w:left="1020" w:right="56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expanding our operational, financial and management systems and personnel, including personnel to support our clinical development, quality control, manufacturing and commercialization efforts and our operations as a public company;</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as well as building out our supply chain, which may vary depending on the quantity produced, and the terms of any agreements we enter into with third-party suppliers;</w:t>
      </w:r>
    </w:p>
    <w:p>
      <w:pPr>
        <w:spacing w:after="0" w:line="53"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any milestone, royalty or other payments due under any current or future collaboration or license agreement, including our existing license agreements with Emory University (Emory), KU Leuven and Amoytop;</w:t>
      </w:r>
    </w:p>
    <w:p>
      <w:pPr>
        <w:spacing w:after="0" w:line="53" w:lineRule="exact"/>
        <w:rPr>
          <w:rFonts w:ascii="Times New Roman" w:cs="Times New Roman" w:eastAsia="Times New Roman" w:hAnsi="Times New Roman"/>
          <w:sz w:val="18"/>
          <w:szCs w:val="18"/>
          <w:color w:val="auto"/>
        </w:rPr>
      </w:pPr>
    </w:p>
    <w:p>
      <w:pPr>
        <w:ind w:left="1020" w:right="70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policies with respect to any future approved products, and potential future drugs that compete with our products;</w:t>
      </w:r>
    </w:p>
    <w:p>
      <w:pPr>
        <w:spacing w:after="0" w:line="5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to establish a sales, marketing, and distribution infrastructure to commercialize any products for which we may obtain marketing approval and intend to commercialize on our own or jointly with current or future collaborators;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may incur to acquire, develop or commercialize additional products and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may incur in any lawsuits related to our drug candidates or commenced against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any future approved products, which may vary significantly over time;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accounting principles or our accounting policies; and</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or failure of nonclinical studies and clinical trials for our drug candidates or competing drug candidates, or any other change in the competitive landscape of our industry, including consolidation among our competitors or collaboration partners.</w:t>
      </w:r>
    </w:p>
    <w:p>
      <w:pPr>
        <w:spacing w:after="0" w:line="54"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6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if we have met any previously publicly stated revenue or earnings guidance we may provide.</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materially adversely affected by the effects of health pandemics or epidemics, particularly in regions where we or third parties on which we rely have significant manufacturing facilities, concentrations of clinical trial sites or other business operations, including the San Francisco Bay Area where our headquarters are located.</w:t>
      </w:r>
    </w:p>
    <w:p>
      <w:pPr>
        <w:spacing w:after="0" w:line="67"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Our business could be materially adversely affected by the effects of health pandemics or epidemics. For instance, the outbreak of COVID-19, which the World Health Organization had declared a global pandemic, prompted severe lifestyle and commercial restrictions aimed at reducing the spread of the disease. In March 2020, the San Francisco Bay Area counties issued a joint shelter-in-place order, which was subsequently followed by a California state-wide shelter order, and other state and local governments implemented similar orders which, among other things, directed individuals to shelter at their places of residence, directed businesses and governmental agencies to cease non-essential operations at physical locations, prohibited certain non-essential gatherings, and ordered cessation of non-essential travel. As a result of these developments, we had implemented work-from-home policies for most of our employees until March 2022 when we allowed our employees to return to work at our U.S. facility. Government-imposed quarantines and any future work-from-home policies may negatively impact productivity, disrupt our business and delay our clinical programs and timelines, the magnitude of which will depend, in part, on the length and severity of the restrictions, the potential impact of changing government orders in response to health pandemics or epidemics and other limitations on our ability to conduct our business in the ordinary course. These and similar, and perhaps more severe, disruptions in our operations could negatively impact our business, operating results and financial condition in the future.</w:t>
      </w:r>
    </w:p>
    <w:p>
      <w:pPr>
        <w:spacing w:after="0" w:line="84"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Quarantines, shutdowns and shelter-in-place and similar government orders related to infectious diseases, or the perception that such events, orders or other restrictions on the conduct of business operations could occur, could impact personnel at third-party manufacturing facilities in the United States and other countries, or the availability or cost of materials, which would disrupt our supply chain. Restrictions resulting from health pandemics or epidemics may at any time disrupt our supply chain and delay or limit our ability to obtain sufficient materials for our drug candidates.</w:t>
      </w:r>
    </w:p>
    <w:p>
      <w:pPr>
        <w:spacing w:after="0" w:line="72"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In addition, our current and planned clinical trials may be affected by any future public health pandemics or epidemics. Site initiation and patient enrollment may be delayed due to prioritization of hospital resources toward the disease, and potential patients may not be able or willing to comply with clinical trial protocols, whether due to quarantines impeding patient movement or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6" w:name="page37"/>
    <w:bookmarkEnd w:id="36"/>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interrupting healthcare services, or due to potential patient concerns regarding interactions with medical facilities or staff. Similarly, our ability to recruit and retain principal investigators and site staff who, as healthcare providers, may have heightened exposure to the disease, may be delayed or disrupted, which may adversely impact our clinical trial operations.</w:t>
      </w:r>
    </w:p>
    <w:p>
      <w:pPr>
        <w:spacing w:after="0" w:line="68"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In addition, any future significant outbreak of contagious diseases in the human population could similarly adversely affect the economies and financial markets of many countries, including the United States, resulting in an economic downturn that could suppress demand for our future products. Any of these events could have a material adverse effect on our business, financial condition, results of operations or cash flows.</w:t>
      </w:r>
    </w:p>
    <w:p>
      <w:pPr>
        <w:spacing w:after="0" w:line="68"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In addition, a continuing widespread pandemic could result in significant disruption of global financial markets, reducing our ability to access capital, which could negatively affect our liquidity and ability to progress our operations. In addition, a recession, down-turn, market correction or supply chain disruption resulting from health pandemics or epidemics could materially adversely affect the value of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product development and regulatory process</w:t>
      </w:r>
    </w:p>
    <w:p>
      <w:pPr>
        <w:spacing w:after="0" w:line="117"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in early or mid-stages of our development efforts, and our business is dependent on the successful development of our current and future drug candidates. If we are unable to advance our current or future drug candidates through clinical trials, obtain marketing approval and ultimately commercialize any drug candidates we develop, or experience significant delays in doing so, our business will be materially harmed.</w:t>
      </w:r>
    </w:p>
    <w:p>
      <w:pPr>
        <w:spacing w:after="0" w:line="6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clinical development efforts across our drug candidates are in early or mid-stages. We have ongoing clinical trials for our most advanced drug candidates in many countries (e.g., United States, Canada, and throughout Asia and Europe). Our other programs are in the discovery or nonclinical development stage. We have invested substantially all of our efforts and financial resources in the identification of targets and nonclinical and clinical development of therapeutics to address hepatological indications and viral diseases. However, the biology of these indications and diseases is complex and not completely understood, and our current and future drug candidates may never achieve expected or functional levels of efficacy or achieve an acceptable safety profile.</w:t>
      </w:r>
    </w:p>
    <w:p>
      <w:pPr>
        <w:spacing w:after="0" w:line="79"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Our use of clinically validated targets to pursue treatments of these indications and diseases does not guarantee efficacy or safety or necessarily reduce the risk that our current or future drug candidates will not achieve expected or functional levels of efficacy or achieve an acceptable safety profile.</w:t>
      </w:r>
    </w:p>
    <w:p>
      <w:pPr>
        <w:spacing w:after="0" w:line="54"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success of our business, including our ability to finance our company and generate revenue from products in the future, which we do not expect will occur for several years, if ever, will depend heavily on the successful development and eventual commercialization of the drug candidates we develop, which may never occur. Our current drug candidates, and any future drug candidates we develop, will require additional nonclinical and clinical development, management of clinical, nonclinical and manufacturing activities, marketing approval in the United States and other markets, demonstrating effectiveness to pricing and reimbursement authorities, obtaining sufficient manufacturing supply for both clinical development and commercial production, building of a commercial organization, and substantial investment and significant marketing efforts before we generate any revenues from product sales.</w:t>
      </w:r>
    </w:p>
    <w:p>
      <w:pPr>
        <w:spacing w:after="0" w:line="8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As a company, we have limited experience in preparing, submitting and prosecuting regulatory filings. Specifically, we have not previously submitted a new drug application (NDA) to the FDA or similar approval filings to a comparable foreign regulatory authority for any drug candidate. An NDA or other relevant regulatory filing must include extensive nonclinical and clinical data and supporting information to establish that the drug candidate is safe and effective for each desired indication. The NDA or other comparable regulatory filing must also include significant information regarding the chemistry, manufacturing and controls for the product. We have had limited interactions with the FDA and cannot be certain how many clinical trials of any of our drug candidates will be required or whether the FDA will agree with the design or implementation of our clinical trials. In addition, we cannot be certain that our current or future drug candidates will be successful in clinical trials such that the information contained in an NDA or comparable regulatory filing would support approval, and thus we cannot guarantee that any of our drug candidates will receive regulatory approval. Further, even if our current or future drug candidates are successful in clinical trials, such candidates may not receive regulatory approval. If we do not receive regulatory approvals for current or future drug candidates, we may not be able to continue our operations. Even if we successfully obtain regulatory approval to market a drug candidate, our revenue will depend, in part, upon the size of the markets in the territories for which we gain regulatory approval and have commercial rights, as well as the availability of competitive products, third-party reimbursement and adoption by physicians.</w:t>
      </w:r>
    </w:p>
    <w:p>
      <w:pPr>
        <w:spacing w:after="0" w:line="8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plan to seek regulatory approval to commercialize our drug candidates both in the United States and in select foreign countries. While the scope of regulatory approval in other countries is generally similar to that in the United States, in order to obtain separate regulatory approval in other countries we must comply with numerous and varying regulatory requirements of such countries regarding safety and efficacy. Other countries also have their own regulations governing, among other things, clinical trials and commercial sales, as well as pricing and distribution of drugs, and we may be required to expend significant resources to obtain regulatory approval and to comply with ongoing regulations in these jurisdictions.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37" w:name="page38"/>
    <w:bookmarkEnd w:id="37"/>
    <w:p>
      <w:pPr>
        <w:ind w:left="520"/>
        <w:spacing w:after="0"/>
        <w:rPr>
          <w:sz w:val="20"/>
          <w:szCs w:val="20"/>
          <w:color w:val="auto"/>
        </w:rPr>
      </w:pPr>
      <w:r>
        <w:rPr>
          <w:rFonts w:ascii="Times New Roman" w:cs="Times New Roman" w:eastAsia="Times New Roman" w:hAnsi="Times New Roman"/>
          <w:sz w:val="18"/>
          <w:szCs w:val="18"/>
          <w:color w:val="auto"/>
        </w:rPr>
        <w:t>The success of our current and future drug candidates depends on many factors, which may include the following:</w:t>
      </w:r>
    </w:p>
    <w:p>
      <w:pPr>
        <w:spacing w:after="0" w:line="117" w:lineRule="exact"/>
        <w:rPr>
          <w:sz w:val="20"/>
          <w:szCs w:val="20"/>
          <w:color w:val="auto"/>
        </w:rPr>
      </w:pPr>
    </w:p>
    <w:p>
      <w:pPr>
        <w:ind w:left="1020" w:right="24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our financial and other resources to complete the necessary nonclinical studies and clinical trials, and our ability to raise any additional required capital on acceptable terms, or at all;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successfully utilize our drug discovery platforms;</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and successful completion of our nonclinical studies and clinical trials, which may be significantly slower or cost more than we currently anticipate and will depend substantially upon the performance of third-party contractors;</w:t>
      </w:r>
    </w:p>
    <w:p>
      <w:pPr>
        <w:spacing w:after="0" w:line="53" w:lineRule="exact"/>
        <w:rPr>
          <w:rFonts w:ascii="Times New Roman" w:cs="Times New Roman" w:eastAsia="Times New Roman" w:hAnsi="Times New Roman"/>
          <w:sz w:val="18"/>
          <w:szCs w:val="18"/>
          <w:color w:val="auto"/>
        </w:rPr>
      </w:pPr>
    </w:p>
    <w:p>
      <w:pPr>
        <w:ind w:left="1020" w:right="9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investigational new drug applications (INDs), clinical trial applications (CTAs) and/or similar applications in other jurisdictions for our planned and future clinical trials;</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required by the FDA or a comparable foreign regulatory agency to conduct additional clinical trials or other studies beyond those planned to support approval of our drug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and completion of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data from our clinical program that supports an acceptable risk-benefit profile of our drug candidates in the intended populations;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and maintenance of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agreements with third-party manufacturers for clinical supply for our clinical trials and commercial manufacturing, if our drug candidates are approved;</w:t>
      </w:r>
    </w:p>
    <w:p>
      <w:pPr>
        <w:spacing w:after="0" w:line="53" w:lineRule="exact"/>
        <w:rPr>
          <w:rFonts w:ascii="Times New Roman" w:cs="Times New Roman" w:eastAsia="Times New Roman" w:hAnsi="Times New Roman"/>
          <w:sz w:val="18"/>
          <w:szCs w:val="18"/>
          <w:color w:val="auto"/>
        </w:rPr>
      </w:pPr>
    </w:p>
    <w:p>
      <w:pPr>
        <w:ind w:left="1020" w:right="120" w:hanging="503"/>
        <w:spacing w:after="0" w:line="312" w:lineRule="auto"/>
        <w:tabs>
          <w:tab w:leader="none" w:pos="10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and the ability of any third parties with whom we contract, to remain in good standing with regulatory agencies and develop, validate and maintain commercially viable manufacturing processes that are compliant with current good manufacturing practices (cGMPs);</w:t>
      </w:r>
    </w:p>
    <w:p>
      <w:pPr>
        <w:spacing w:after="0" w:line="3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into collaborations to further the development of our drug candidates in select indications or geographies;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and expanding our portfolio of intellectual property rights, including patents, trade secrets and know-how;</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and defending our intellectual property rights and having and successfully executing an intellectual property life cycle management strategy that supports long-term product development and commercialization goals;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regulatory exclusivity for our drug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launching commercial sales of our drug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drug candidate’s benefits and uses, if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duration and severity of potential side effects or other safety issues experienced with our drug candidates following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healthcare coverage and adequate reimbursement from third-party payors.</w:t>
      </w:r>
    </w:p>
    <w:p>
      <w:pPr>
        <w:spacing w:after="0" w:line="117"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If we are not successful with respect to one or more of these factors in a timely manner or at all, we could experience significant delays or an inability to successfully obtain approval of or commercialize the drug candidates we develop, which would materially harm our business. If we do not receive marketing approvals for our current or future drug candidates, we may not be able to continue our operations. Even if regulatory approvals are obtained, we may never be able to successfully commercialize any products. Accordingly, we cannot provide assurances that we will be able to generate sufficient revenue through the sale of products to continue our business.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Nonclinical development is uncertain. Our nonclinical programs may experience delays or may never advance to clinical trials, which would adversely affect our ability to obtain regulatory approvals or commercialize our drug candidates on a timely basis or at all, which would have an adverse effect on our business.</w:t>
      </w:r>
    </w:p>
    <w:p>
      <w:pPr>
        <w:spacing w:after="0" w:line="6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order to obtain approval from the FDA and other major regulatory agencies in non-U.S. countries to market a new drug candidate, we must demonstrate proof of safety and efficacy in humans. To meet these requirements, we will have to conduct adequate and well-controlled clinical trials. Before we can commence clinical trials for a drug candidate, we must complete extensive nonclinical studies that support our planned INDs or CTAs in the United States and other countries. At this time, we are evaluating drug candidates in clinical trials in many countries (e.g., United States, Canada, and throughout Asia and Europe). The rest of our</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8" w:name="page39"/>
    <w:bookmarkEnd w:id="38"/>
    <w:p>
      <w:pPr>
        <w:spacing w:after="0" w:line="255" w:lineRule="auto"/>
        <w:rPr>
          <w:sz w:val="20"/>
          <w:szCs w:val="20"/>
          <w:color w:val="auto"/>
        </w:rPr>
      </w:pPr>
      <w:r>
        <w:rPr>
          <w:rFonts w:ascii="Times New Roman" w:cs="Times New Roman" w:eastAsia="Times New Roman" w:hAnsi="Times New Roman"/>
          <w:sz w:val="18"/>
          <w:szCs w:val="18"/>
          <w:color w:val="auto"/>
        </w:rPr>
        <w:t>programs are in nonclinical research or earlier stages of development. We cannot be certain of the timely completion or outcome of our nonclinical studies and cannot predict if the FDA or other regulatory authorities will accept our proposed clinical programs or if the outcome of our nonclinical studies will ultimately support further development of our programs. In addition, the FDA may decline to accept the data we obtain from foreign clinical studies in support of an IND or NDA in the United States, which may require us to repeat or conduct additional nonclinical studies or clinical trials that we did not anticipate in the United States. As a result, we cannot be sure that we will be able to submit INDs in the United States, or CTAs or similar applications in other jurisdictions, on the timelines we expect, if at all, and we cannot be sure that submission of INDs, CTAs or similar applications will result in the FDA or other regulatory authorities allowing additional clinical trials to begin.</w:t>
      </w:r>
    </w:p>
    <w:p>
      <w:pPr>
        <w:spacing w:after="0" w:line="81" w:lineRule="exact"/>
        <w:rPr>
          <w:sz w:val="20"/>
          <w:szCs w:val="20"/>
          <w:color w:val="auto"/>
        </w:rPr>
      </w:pPr>
    </w:p>
    <w:p>
      <w:pPr>
        <w:jc w:val="both"/>
        <w:ind w:right="120" w:firstLine="509"/>
        <w:spacing w:after="0" w:line="258" w:lineRule="auto"/>
        <w:rPr>
          <w:sz w:val="20"/>
          <w:szCs w:val="20"/>
          <w:color w:val="auto"/>
        </w:rPr>
      </w:pPr>
      <w:r>
        <w:rPr>
          <w:rFonts w:ascii="Times New Roman" w:cs="Times New Roman" w:eastAsia="Times New Roman" w:hAnsi="Times New Roman"/>
          <w:sz w:val="18"/>
          <w:szCs w:val="18"/>
          <w:color w:val="auto"/>
        </w:rPr>
        <w:t>Conducting nonclinical testing is a complex, lengthy, time-consuming and expensive process. The length of time may vary substantially according to the type, complexity and novelty of the program, and often can take several years or more per program. Delays associated with programs for which we are directly conducting nonclinical studies may cause us to incur additional operating expenses. Moreover, we may be affected by delays associated with the studies of certain programs that are the responsibility of potential future partners, if any, over which we have no control. The commencement and rate of completion of nonclinical studies and clinical trials for a drug candidate may be delayed by many factors, including:</w:t>
      </w:r>
    </w:p>
    <w:p>
      <w:pPr>
        <w:spacing w:after="0" w:line="75" w:lineRule="exact"/>
        <w:rPr>
          <w:sz w:val="20"/>
          <w:szCs w:val="20"/>
          <w:color w:val="auto"/>
        </w:rPr>
      </w:pPr>
    </w:p>
    <w:p>
      <w:pPr>
        <w:ind w:left="1020" w:right="4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or failure by us or third parties to comply with regulatory requirements, including the requirements of good laboratory practice (GLP);</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generate sufficient nonclinical or other in vivo or in vitro data to support the initiation of clinical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 consensus with regulatory agencies on study design and obtaining regulatory authorization to commence clinical trials;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sufficient quantities of our drug candidates for use in nonclinical studies and clinical trials from third-party suppliers on a timely basis; and</w:t>
      </w:r>
    </w:p>
    <w:p>
      <w:pPr>
        <w:spacing w:after="0" w:line="53"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due to global-scale potentially catastrophic events, including public health pandemics or epidemics, terrorism, war, and climate changes.</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Moreover, even if candidates from our drug programs advance into clinical trials, our development efforts may not be successful, and clinical trials that we conduct or that third parties conduct on our behalf may not demonstrate sufficient safety or efficacy to obtain the requisite regulatory approvals for any drug candidates we develop. Even if we obtain positive results from nonclinical studies or initial clinical trials, we may not achieve the same success in future trials.</w:t>
      </w:r>
    </w:p>
    <w:p>
      <w:pPr>
        <w:spacing w:after="0" w:line="176"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the EMA and comparable foreign authorities are lengthy, time-consuming, complex and inherently unpredictable, and if we are ultimately unable to obtain regulatory approval for our drug candidates, our business will be substantially harmed.</w:t>
      </w:r>
    </w:p>
    <w:p>
      <w:pPr>
        <w:spacing w:after="0" w:line="5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time required to obtain approval by the FDA, the EMA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drug candidate’s clinical development and may vary across jurisdictions. We have not obtained regulatory approval for any drug candidate and it is possible that none of our current or future drug candidates will ever obtain regulatory approval.</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current and future drug candidates could fail to receive regulatory approval for many reasons, including the following:</w:t>
      </w:r>
    </w:p>
    <w:p>
      <w:pPr>
        <w:spacing w:after="0" w:line="117"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comparable foreign regulatory authorities may disagree with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the EMA or comparable foreign regulatory authorities that a drug candidate is safe or effective for its proposed indication;</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the EMA or comparable foreign regulatory authorities for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drug candidate’s clinical and other benefits outweigh its safety risks;</w:t>
      </w:r>
    </w:p>
    <w:p>
      <w:pPr>
        <w:spacing w:after="0" w:line="117" w:lineRule="exact"/>
        <w:rPr>
          <w:rFonts w:ascii="Times New Roman" w:cs="Times New Roman" w:eastAsia="Times New Roman" w:hAnsi="Times New Roman"/>
          <w:sz w:val="18"/>
          <w:szCs w:val="18"/>
          <w:color w:val="auto"/>
        </w:rPr>
      </w:pPr>
    </w:p>
    <w:p>
      <w:pPr>
        <w:ind w:left="1020" w:right="80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comparable foreign regulatory authorities may disagree with our interpretation of data from clinical trials or nonclinical studies;</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drug candidates may not be sufficient to support the submission of an NDA to the FDA or other submission or to obtain regulatory approval in the United States, the European Union (EU) or elsewhere;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39" w:name="page40"/>
    <w:bookmarkEnd w:id="39"/>
    <w:p>
      <w:pPr>
        <w:ind w:left="10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comparable foreign regulatory authorities may find deficiencies with or fail to approve the manufacturing processes or facilities of third-party manufacturers with which we contract for clinical and commercial supplies; and</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the EMA or comparable foreign regulatory authorities may significantly change in a manner rendering our clinical data insufficient for approval.</w:t>
      </w:r>
    </w:p>
    <w:p>
      <w:pPr>
        <w:spacing w:after="0" w:line="5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This lengthy approval process as well as the unpredictability of clinical trial results may result in our failing to obtain regulatory approval to market any drug candidate we develop, which would significantly harm our business, results of operations and prospects. The FDA, the EMA and other comparable foreign authorities have substantial discretion in the approval process, and in determining when or whether regulatory approval will be obtained for any drug candidate that we develop. Even if we believe the data collected from future clinical trials of our drug candidates are promising, such data may not be sufficient to support approval by the FDA, the EMA or any other regulatory authority.</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even if we were to obtain approval, regulatory authorities may approve any of our drug candidates for fewer or more limited indications than we request, may not approve the price we intend to charge for our products, may grant approval contingent on the performance of costly post-marketing clinical trials, or may approve a drug candidate with a label that does not include the labeling claims that we believe are necessary or desirable for the successful commercialization of that drug candidate. Any of the foregoing scenarios could materially harm the commercial prospects for our drug candidates.</w:t>
      </w:r>
    </w:p>
    <w:p>
      <w:pPr>
        <w:spacing w:after="0" w:line="75"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cannot be certain that any of our programs will be successful in clinical trials or receive regulatory approval. Further, drug candidates we develop may not receive regulatory approval even if they are successful in clinical trials. If we do not receive regulatory approvals for our drug candidates, we may not be able to continue our operations.</w:t>
      </w:r>
    </w:p>
    <w:p>
      <w:pPr>
        <w:spacing w:after="0" w:line="172" w:lineRule="exact"/>
        <w:rPr>
          <w:sz w:val="20"/>
          <w:szCs w:val="20"/>
          <w:color w:val="auto"/>
        </w:rPr>
      </w:pPr>
    </w:p>
    <w:p>
      <w:pPr>
        <w:ind w:right="18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Clinical product development involves a lengthy and expensive process, with uncertain outcomes. We may experience delays in completing, or ultimately be unable to complete, the development and commercialization of our current and future drug candidates, which could result in increased costs to us, delay or limit our ability to generate revenue and adversely affect our business, financial condition, results of operations and prospects.</w:t>
      </w:r>
    </w:p>
    <w:p>
      <w:pPr>
        <w:spacing w:after="0" w:line="49" w:lineRule="exact"/>
        <w:rPr>
          <w:sz w:val="20"/>
          <w:szCs w:val="20"/>
          <w:color w:val="auto"/>
        </w:rPr>
      </w:pPr>
    </w:p>
    <w:p>
      <w:pPr>
        <w:ind w:right="20" w:firstLine="509"/>
        <w:spacing w:after="0" w:line="219" w:lineRule="exact"/>
        <w:rPr>
          <w:sz w:val="20"/>
          <w:szCs w:val="20"/>
          <w:color w:val="auto"/>
        </w:rPr>
      </w:pPr>
      <w:r>
        <w:rPr>
          <w:rFonts w:ascii="Times New Roman" w:cs="Times New Roman" w:eastAsia="Times New Roman" w:hAnsi="Times New Roman"/>
          <w:sz w:val="18"/>
          <w:szCs w:val="18"/>
          <w:color w:val="auto"/>
        </w:rPr>
        <w:t>To obtain the requisite regulatory approvals to commercialize any of our drug candidates, we must demonstrate through extensive nonclinical studies and clinical trials that our products are safe and effective in humans. Clinical trials are expensive and can take many years to complete, and their outcomes are inherently uncertain. Failure can occur at any time during the clinical trial process and our future clinical trial results may not be successful. For example, in January 2022, we halted further development of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010133. This decision was based on emerging data from the Phase 1 Study ALG-010133-101, that indicated that at the projected efficacious dose (400 mg, estimated to achieve liver exposures &gt;3 x EC90 for HBsAg inhibition) there was no meaningful HBsAg reduction. Furthermore, higher dose levels (maximum feasible dose is 600 mg) that were planned to be evaluated in a subsequent cohort were very unlikely to reach the 1 log</w:t>
      </w:r>
      <w:r>
        <w:rPr>
          <w:rFonts w:ascii="Times New Roman" w:cs="Times New Roman" w:eastAsia="Times New Roman" w:hAnsi="Times New Roman"/>
          <w:sz w:val="24"/>
          <w:szCs w:val="24"/>
          <w:color w:val="auto"/>
          <w:vertAlign w:val="subscript"/>
        </w:rPr>
        <w:t>10</w:t>
      </w:r>
      <w:r>
        <w:rPr>
          <w:rFonts w:ascii="Times New Roman" w:cs="Times New Roman" w:eastAsia="Times New Roman" w:hAnsi="Times New Roman"/>
          <w:sz w:val="18"/>
          <w:szCs w:val="18"/>
          <w:color w:val="auto"/>
        </w:rPr>
        <w:t xml:space="preserve"> IU/mL HBsAg reduction level that we had previously defined as necessary to advance the program. As another example, in March 2022, we discontinued further development of our ASO drug candidate for chronic HBV infection,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020572, due to an unanticipated serious adverse event involving significant increase in ALT in one chronic HBV infection subject and several other subjects experiencing ALT flares in the same study. Finally, for our siRNA drug candidate targeting HBsAg production,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125755, we conducted a Phase 1 study evaluating single doses ranging from 20-200 mg and 50-320 mg in HVs and virologically suppressed HBeAg negative subjects with chronic HBV infection, respectively. In this study, we found that these single doses were well tolerated with a favorable PK profile. With respect to antiviral activity, while available data indicate evidence of HBsAg lowering at all 3 dose levels evaluated, the comparative efficacy of ALG-125755 vs. competitor siRNAs is inconclusive.</w:t>
      </w:r>
    </w:p>
    <w:p>
      <w:pPr>
        <w:spacing w:after="0" w:line="93"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may experience delays in completing our clinical trials and initiating or completing additional clinical trials. We may also experience numerous unforeseen events prior to, during, or as a result of our nonclinical studies or clinical trials that could delay or prevent our ability to receive marketing approval or commercialize the drug candidates we develop, including:</w:t>
      </w:r>
    </w:p>
    <w:p>
      <w:pPr>
        <w:spacing w:after="0" w:line="68" w:lineRule="exact"/>
        <w:rPr>
          <w:sz w:val="20"/>
          <w:szCs w:val="20"/>
          <w:color w:val="auto"/>
        </w:rPr>
      </w:pPr>
    </w:p>
    <w:p>
      <w:pPr>
        <w:ind w:left="1020" w:right="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Institutional Review Boards (IRBs) or ethics committees may not authorize us or our investigators to commence a clinical trial or conduct a clinical trial at a prospective trial site;</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terms with prospective trial sites and prospective contract research organizations (CROs);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may be larger than we anticipate;</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be difficult to enroll a sufficient number of suitable patients, or enrollment in these clinical trials may be slower than we anticipate or participants may drop out of these clinical trials or fail to return for post-treatment follow-up at a higher rate than we anticipate;</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0" w:right="399" w:bottom="1440" w:gutter="0" w:footer="0" w:header="0"/>
        </w:sectPr>
      </w:pPr>
    </w:p>
    <w:bookmarkStart w:id="40" w:name="page41"/>
    <w:bookmarkEnd w:id="40"/>
    <w:p>
      <w:pPr>
        <w:ind w:left="1020" w:right="100" w:hanging="503"/>
        <w:spacing w:after="0" w:line="266"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meet their contractual obligations to us in a timely manner, or at all, or may deviate from the clinical trial protocol or drop out of the trial, which may require us to add new clinical trial sites or investigators;</w:t>
      </w:r>
    </w:p>
    <w:p>
      <w:pPr>
        <w:spacing w:after="0" w:line="6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materials for drug candidates we develop or other materials necessary to conduct clinical trials may be insufficient or inadequate;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disruptions by man-made or natural disasters or public health pandemics or epidemics or other business interruptions.</w:t>
      </w:r>
    </w:p>
    <w:p>
      <w:pPr>
        <w:spacing w:after="0" w:line="11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could encounter delays if a clinical trial is suspended or terminated by us, by the IRBs or ethics committees of the institutions in which such trials are being conducted, by a Data Safety Monitoring Board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changes in governmental regulations or administrative actions or lack of adequate funding to continue the clinical trial. Many of the factors that cause, or lead to, a delay in the commencement or completion of clinical trials may also ultimately lead to the denial of marketing approval of our drug candidates.</w:t>
      </w:r>
    </w:p>
    <w:p>
      <w:pPr>
        <w:spacing w:after="0" w:line="8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Further, we are currently conducting clinical trials in many countries (e.g., United States, Canada, and throughout Asia and Europe). We may also in the future conduct clinical trials for these and other drug candidates in other countries and territories which presents additional risks that may delay completion of our clinical trials. These risks include the possibility that we could be required to conduct additional nonclinical studies before initiating any clinical trials, may be unable to enroll and retain patients as a result of differences in healthcare services, research guidelines or cultural customs, or may face additional administrative burdens associated with comparable foreign regulatory schemes, as well as political and economic risks relevant to such foreign countries.</w:t>
      </w:r>
    </w:p>
    <w:p>
      <w:pPr>
        <w:spacing w:after="0" w:line="7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If we experience termination or delays in the completion of any clinical trial of our drug candidates, the commercial prospects of our drug candidates will be harmed, and our ability to generate product revenues from any of these drug candidates will be delayed. In addition, any delays in completing our clinical trials will increase our costs, slow down our drug candidate development and approval process and jeopardize our ability to commence product sales and generate revenues. Significant clinical trial delays could also allow our competitors to bring products to market before we do, shorten any periods during which we may have the exclusive right to commercialize our drug candidates, impair our ability to commercialize our drug candidates and harm our business and results of operations.</w:t>
      </w:r>
    </w:p>
    <w:p>
      <w:pPr>
        <w:spacing w:after="0" w:line="7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Specifically, should we experience another pandemic or epidemic outbreak on a similar if not greater scale as the COVID-19 outbreak, the clinical trial sites for our current drug trials, and future planned trials may be affected due to prioritization of hospital resources toward the outbreak efforts, travel or quarantine restrictions imposed by national, federal, state or local governments, and the inability to access sites for initiation and patient monitoring and enrollment. As a result, patient screening, new patient enrollment, monitoring and data collection may be affected or delayed. Some of our third-party manufacturers we use for the supply of materials for drug candidates or other materials necessary to manufacture product to conduct clinical trials may be located in countries affected by the outbreak, and, should they experience disruptions such as temporary closures or suspension of services, we would likely experience delays in advancing these trials.</w:t>
      </w:r>
    </w:p>
    <w:p>
      <w:pPr>
        <w:spacing w:after="0" w:line="8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The U.S. BIOSECURE Act, which was enacted in December 2025, prohibits federal agencies from procuring or using any biotechnology equipment or services from “biotechnology companies of concern”, or entering into, extending, or renewing any contracts with entities that use such biotechnology equipment or services from “biotechnology companies of concern”. Congress has interpreted a “biotechnology company of concern” as an entity that is under the control of a foreign adversary and that poses a risk to national security based on its research or multiomic data collection (e.g., collection of genomic information). While the U.S. BIOSECURE Act has not yet been implemented because the required implementing regulations have not been passed, and once in effect the Act has a grandfathering period of five years for existing contracts, and has carveouts for manufacture of drugs for supply under Medicaid and Medicare Part B, subject to the Secretary of Veterans Affairs’ discretion, the impact of the U.S. BIOSECURE Act on the biotechnology industry is uncertain. For example, WuXi AppTec was added to the list of “biotechnology companies of concern,” but subsequently became the subject of an injunction barring enforcement of WuXi AppTec's designation, at least while certain litigation proceeds. We have existing contracts with WuXi AppTec affiliates. If the foreign CROs and CMOs we rely on become subject to trade restrictions, sanctions, increased tariffs or other regulatory requirements by the U.S. government (including designation as a “biotechnology company of concern” under the U.S. BIOSECURE Act), or if the U.S. or Chinese government take retaliatory actions due to recent or increased tensions between the U.S. and China, it may have the potential to severely restrict the ability of U.S. biopharmaceutical companies like us to purchase services or products from, or otherwise collaborate with, certain “biotechnology companies of concern” without losing the ability to contract with, or otherwise receive funding from, the U.S. government.</w:t>
      </w:r>
    </w:p>
    <w:p>
      <w:pPr>
        <w:spacing w:after="0" w:line="89"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Imports from other countries, including China, have been made subject to new tariffs affecting our industry in multiple ways, including taxing the import of raw materials and supplies, as well as recent tariffs on pharmaceutical products. Uncertainty in scope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1" w:name="page42"/>
    <w:bookmarkEnd w:id="41"/>
    <w:p>
      <w:pPr>
        <w:ind w:right="340"/>
        <w:spacing w:after="0" w:line="282" w:lineRule="auto"/>
        <w:rPr>
          <w:sz w:val="20"/>
          <w:szCs w:val="20"/>
          <w:color w:val="auto"/>
        </w:rPr>
      </w:pPr>
      <w:r>
        <w:rPr>
          <w:rFonts w:ascii="Times New Roman" w:cs="Times New Roman" w:eastAsia="Times New Roman" w:hAnsi="Times New Roman"/>
          <w:sz w:val="18"/>
          <w:szCs w:val="18"/>
          <w:color w:val="auto"/>
        </w:rPr>
        <w:t>and applicability of new tariffs, as well as the cost of the tariffs themselves, could lead to delays in drug development and commercialization, and other financial harm.</w:t>
      </w:r>
    </w:p>
    <w:p>
      <w:pPr>
        <w:spacing w:after="0" w:line="5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Separately, principal investigators for our clinical trials serve as scientific advisors or consultants to us from time to time and may receive cash or equity compensation in connection with such services. If these relationships and any related compensation result in perceived or actual conflicts of interest, or a regulatory authority concludes that the financial relationship may have affected the interpretation of the clinical trial, the integrity of the data generated at the applicable clinical trial site may be questioned and the utility of the clinical trial itself may be jeopardized, which could result in the delay or rejection of any applications we submit. Any such delay or rejection could prevent or delay us from commercializing our current or future drug candidates.</w:t>
      </w:r>
    </w:p>
    <w:p>
      <w:pPr>
        <w:spacing w:after="0" w:line="75"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There is also uncertainty as to how measures being implemented by the current administration will impact the operations of various agencies. For example, budget cuts, layoffs, and government shut downs have and may continue to impact the work of the FDA, which may lead to delays in regulatory approvals. Any of these occurrences may harm our business, financial condition and prospects significantly. In addition, many of the factors that cause, or could lead to, a delay in the commencement or completion of clinical trials may also ultimately lead to the denial of regulatory approval of our drug candidates or result in the development of our drug candidates being terminated.</w:t>
      </w:r>
    </w:p>
    <w:p>
      <w:pPr>
        <w:spacing w:after="0" w:line="17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pursuit of potential treatments for chronic HBV infection is ongoing, but we may be unable to produce a therapy that successfully treats chronic HBV infection. Even if successful, we may be unable to obtain regulatory approval for and successfully commercialize our drug candidates.</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have invested a significant portion of our time and financial resources in the pursuit of a treatment for chronic HBV infection, including pevifoscorvir sodium, a CAM-E that is currently in a Phase 2 trial. If we cannot successfully develop, obtain regulatory approval for and commercialize our drug candidates for the treatment of chronic HBV infection, our business may be harmed. The mechanism of action of our chronic HBV infection drug candidates is complex, and we do not know the degree to which it will translate into a therapeutic benefit, if any, in chronic HBV infection or any other indication, and we do not know the degree to which the complex mechanism of action may contribute to long-term safety issues or adverse events when our drug candidates are taken for prolonged periods, as is inherent in the treatment of chronic HBV infection.</w:t>
      </w:r>
    </w:p>
    <w:p>
      <w:pPr>
        <w:spacing w:after="0" w:line="7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addition, the standards implemented by clinical or regulatory agencies may change at any time and we cannot be certain what efficacy endpoints the FDA or foreign clinical or regulatory agencies may require at the time we plan to conduct clinical trials with respect to chronic HBV infection or any other applicable indication. Also, if we are able to obtain accelerated approval of our drug candidates, we may be required to conduct one or more post-approval clinical outcome trials to confirm the clinical benefit of the drug candidate; if any such post-approval trial is not successful, we would not be able to continue marketing the product.</w:t>
      </w:r>
    </w:p>
    <w:p>
      <w:pPr>
        <w:spacing w:after="0" w:line="75"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If we are successful and any of our drug candidates are approved for the treatment of chronic HBV infection, our drug candidates will likely compete with products that have already been approved or may in the future be approved for the treatment of chronic HBV infection prior to our drug candidates and/or that have greater efficacy than our drug candidates, either alone or in combination.</w:t>
      </w:r>
    </w:p>
    <w:p>
      <w:pPr>
        <w:spacing w:after="0" w:line="17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pursuit of potential treatments for MASH and obesity is ongoing, but we may be unable to produce a therapy that successfully treats MASH and/or obesity. Even if successful, we may be unable to obtain regulatory approval for and successfully commercialize our drug candidates.</w:t>
      </w:r>
    </w:p>
    <w:p>
      <w:pPr>
        <w:spacing w:after="0" w:line="51" w:lineRule="exact"/>
        <w:rPr>
          <w:sz w:val="20"/>
          <w:szCs w:val="20"/>
          <w:color w:val="auto"/>
        </w:rPr>
      </w:pPr>
    </w:p>
    <w:p>
      <w:pPr>
        <w:ind w:right="40" w:firstLine="509"/>
        <w:spacing w:after="0" w:line="219" w:lineRule="exact"/>
        <w:rPr>
          <w:sz w:val="20"/>
          <w:szCs w:val="20"/>
          <w:color w:val="auto"/>
        </w:rPr>
      </w:pPr>
      <w:r>
        <w:rPr>
          <w:rFonts w:ascii="Times New Roman" w:cs="Times New Roman" w:eastAsia="Times New Roman" w:hAnsi="Times New Roman"/>
          <w:sz w:val="18"/>
          <w:szCs w:val="18"/>
          <w:color w:val="auto"/>
        </w:rPr>
        <w:t>We have invested a significant portion of our time and financial resources in the pursuit of a treatment for MASH, including ALG-055009, our THR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β agonist which has completed a Phase 2a trial. In addition, we have conducted nonclinical research in obesity using our THR-β agonist. If we cannot successfully develop, obtain regulatory approval for and commercialize our drug candidates for the treatment of MASH and/or obesity, our business may be harmed. The mechanism of action of our THR-β agonist candidates is complex, and we do not know the degree to which it will translate into a therapeutic benefit, if any, in MASH, obesity or any other indication, and we do not know the degree to which the complex mechanism of action may contribute to long-term safety issues or adverse events when our drug candidates are taken for prolonged periods.</w:t>
      </w:r>
    </w:p>
    <w:p>
      <w:pPr>
        <w:spacing w:after="0" w:line="95"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addition, the standards implemented by clinical or regulatory agencies may change at any time and we cannot be certain what efficacy endpoints the FDA or foreign clinical or regulatory agencies may require at the time we plan to conduct clinical trials with respect to MASH, obesity or any other applicable indication. Also, if we are able to obtain accelerated approval of our drug candidates, we may be required to conduct one or more post-approval clinical outcome trials to confirm the clinical benefit of the drug candidate; if any such post-approval trial is not successful, we would not be able to continue marketing the product.</w:t>
      </w:r>
    </w:p>
    <w:p>
      <w:pPr>
        <w:spacing w:after="0" w:line="7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If we are successful and any of our drug candidates are approved for the treatment of MASH and/or obesity, our drug candidates will likely compete with products that have already been approved or may in the future be approved for the treatment of MASH and/or obesity, prior to our drug candidates and/or that have greater efficacy than our drug candidates, either alone or in combination. Behavioral modifications, such as diet and exercise, can also decrease or eliminate the demand for our THR-β agonist candidates.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The results of nonclinical studies and early-stage clinical trials may not be predictive of future results.</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results of nonclinical studies may not be predictive of the results of clinical trials, and the results of any early-stage clinical trials we commence may not be predictive of the results of the later-stage clinical trials. Drug candidates in later stages of clinical trials may fail to show the desired safety and efficacy despite having progressed through nonclinical studies and initial clinical trials. There is a high failure rate for drugs proceeding through clinical trials, and a number of companies in the pharmaceutical and biotechnology industries have suffered significant setbacks in clinical development even after achieving promising results in earlier studies. There can be no assurance that any of our current or future clinical trials will ultimately be successful or support further clinical development of any of our drug candidates. Even if our clinical trials are completed, the results may not be sufficient to obtain regulatory approval of any products. Any such setbacks in our clinical development could have a material adverse effect on our business and operating results.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may differ materially from the final data.</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From time to time, we may disclose interim data from our clinical trials. Interim data from clinical trials are subject to the risk that one or more of the clinical outcomes may materially change as patient enrollment continues and more data on existing patients become available. Adverse differences between interim data and final data could significantly harm our business, financial condition, results of operations and prospects. From time to time, we may also publicly disclose preliminary or “topline” data from our clinical trials, which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clinical trials, or different conclusions or considerations may qualify such topline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8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drug candidate or product and the value of our company in general.</w:t>
      </w:r>
    </w:p>
    <w:p>
      <w:pPr>
        <w:spacing w:after="0" w:line="68"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 addition, the information we choose to publicly disclose regarding a particular study or clinical trial is typically a summary of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drug candidate or our business. If the topline data that we report differ from actual results, or if others, including regulatory authorities, disagree with the conclusions reached, our ability to obtain approval for, and commercialize, our drug candidates may be harmed, which could harm our business, financial condition, operating results and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encounter difficulties enrolling patients in our clinical trials, our clinical development activities could be delayed or otherwise adversely affected.</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timely completion of clinical trials in accordance with their protocols depends, among other things, on our ability to enroll a sufficient number of patients who remain in the trial until its conclusion. We may experience difficulties in patient enrollment in our clinical trials for a variety of reasons. The enrollment of patients depends on many factors, including:</w:t>
      </w:r>
    </w:p>
    <w:p>
      <w:pPr>
        <w:spacing w:after="0" w:line="68"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criteria defined in the protocol;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patient population required for analysis of the trial’s primary endpoints;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study sites;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of the drug candidate being studied in relation to other available therapies, including any new products that may be approved for the indications we are investigating;</w:t>
      </w:r>
    </w:p>
    <w:p>
      <w:pPr>
        <w:spacing w:after="0" w:line="53"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 for participation in our clinical trials and, where appropriate, tissue samples for future exploratory research efforts;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not remain in the trial through the completion of evaluation; and</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by man-made or natural disasters, reduction of government funding for health care, or public health pandemics or epidemics or other business interruptions.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43" w:name="page44"/>
    <w:bookmarkEnd w:id="43"/>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In addition, our clinical trials will compete with other clinical trials for drug candidates that are in the same therapeutic areas as our current and potential future drug candidates. This competition will reduce the number and types of patients available to us, because some patients who might have enrolled in our trials may instead opt to enroll in a trial conducted by one of our competitors. Since the number of qualified clinical investigators is limited, we may conduct some of our clinical trials at the same clinical trial sites that some of our competitors use, which would reduce the number of patients who are available for our clinical trials at such sites. Moreover, because our current and potential future drug candidates may represent a departure from more commonly used methods for treatment, potential patients and their doctors may be inclined to use conventional therapies rather than enroll patients in our clinical trials.</w:t>
      </w:r>
    </w:p>
    <w:p>
      <w:pPr>
        <w:spacing w:after="0" w:line="8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Delays in patient enrollment may result in increased costs or may affect the timing or outcome of clinical trials, which could prevent completion of these trials and adversely affect our ability to advance the development of our drug candidates.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drug candidate manufacturing or formulation may result in additional costs or delay.</w:t>
      </w:r>
    </w:p>
    <w:p>
      <w:pPr>
        <w:spacing w:after="0" w:line="121" w:lineRule="exact"/>
        <w:rPr>
          <w:sz w:val="20"/>
          <w:szCs w:val="20"/>
          <w:color w:val="auto"/>
        </w:rPr>
      </w:pPr>
    </w:p>
    <w:p>
      <w:pPr>
        <w:ind w:right="60" w:firstLine="509"/>
        <w:spacing w:after="0" w:line="277" w:lineRule="auto"/>
        <w:rPr>
          <w:sz w:val="20"/>
          <w:szCs w:val="20"/>
          <w:color w:val="auto"/>
        </w:rPr>
      </w:pPr>
      <w:r>
        <w:rPr>
          <w:rFonts w:ascii="Times New Roman" w:cs="Times New Roman" w:eastAsia="Times New Roman" w:hAnsi="Times New Roman"/>
          <w:sz w:val="17"/>
          <w:szCs w:val="17"/>
          <w:color w:val="auto"/>
        </w:rPr>
        <w:t>As drug candidates proceed from nonclinical studies to late-stage clinical trials towards potential approval and commercialization, it is common that various aspects of the development program, such as manufacturing methods and formulation, are altered to optimize results. However, any change could entail additional cost and risk potential delay if the reformulated or otherwise altered drug candidate performs differently than expected or intended, which could require modification to the nonclinical or clinical program. Such changes may also require additional testing, including bridging or comparability testing to demonstrate the validity of clinical data obtained in clinical trials following manufacturing changes, FDA notification or FDA approval.</w:t>
      </w:r>
    </w:p>
    <w:p>
      <w:pPr>
        <w:spacing w:after="0" w:line="60"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Moreover, we have not yet manufactured or processed on a commercial scale any of our drug candidates. We may make changes as we work to optimize our manufacturing processes, but we cannot be sure that even minor changes in our processes will result in therapies that are safe and effective or that will be approved for commercial sale.</w:t>
      </w:r>
    </w:p>
    <w:p>
      <w:pPr>
        <w:spacing w:after="0" w:line="172" w:lineRule="exact"/>
        <w:rPr>
          <w:sz w:val="20"/>
          <w:szCs w:val="20"/>
          <w:color w:val="auto"/>
        </w:rPr>
      </w:pPr>
    </w:p>
    <w:p>
      <w:pPr>
        <w:ind w:righ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current or future drug candidates may cause undesirable side effects or have other properties when used alone or in combination with other approved products or investigational new drugs that could delay or halt their clinical development, prevent their marketing approval, limit their commercial potential or result in significant negative consequences.</w:t>
      </w:r>
    </w:p>
    <w:p>
      <w:pPr>
        <w:spacing w:after="0" w:line="6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Undesirable or clinically unmanageable side effects from one or more of our drug candidates or potential future products could occur and cause us or regulatory authorities to interrupt, delay or terminate clinical trials, could result in a more restrictive label or could cause the delay or denial of marketing approval by the FDA or comparable foreign regulatory authorities. Further, results of our ongoing and planned clinical trials could reveal unacceptably severe and prevalent side effects or unexpected characteristics.</w:t>
      </w:r>
    </w:p>
    <w:p>
      <w:pPr>
        <w:spacing w:after="0" w:line="7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unacceptable toxicities or other undesirable side effects arise in the development of any of our current or future drug candidates, we could suspend or terminate our trials, or the FDA or comparable foreign regulatory authorities could order us to cease clinical trials or deny approval of the drug candidate for any or all targeted indications. Treatment-related side effects could also affect patient recruitment or the ability of enrolled subjects to complete the trial, or result in potential product liability claims. In addition, these side effects may not be appropriately recognized or managed by the treating medical staff.</w:t>
      </w:r>
    </w:p>
    <w:p>
      <w:pPr>
        <w:spacing w:after="0" w:line="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Inadequately recognizing or managing the potential side effects of our drug candidates could result in patient injury or death. Any of these occurrences may prevent us from achieving or maintaining market acceptance of the affected drug candidate and may harm our business, financial condition and prospects significantly.</w:t>
      </w:r>
    </w:p>
    <w:p>
      <w:pPr>
        <w:spacing w:after="0" w:line="78"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Although our current and future drug candidates will undergo safety testing to the extent possible and, where applicable, under such conditions discussed with regulatory authorities, not all adverse effects of drugs can be predicted or anticipated. Unforeseen side effects could arise either during clinical development or, if such side effects are more rare, after our products have been approved by regulatory authorities and the approved product has been marketed, resulting in the exposure of additional patients. To date, we have not demonstrated that any of our drug candidates are safe in humans, and we cannot predict if ongoing or future clinical trials will do so.</w:t>
      </w:r>
    </w:p>
    <w:p>
      <w:pPr>
        <w:spacing w:after="0" w:line="75"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Furthermore, we plan to evaluate our drug candidates in combination with approved and/or experimental therapies. These combinations may have additional or more severe side effects than caused by our drug candidates as monotherapies or may cause side effects at lower doses. The uncertainty resulting from the use of our drug candidates in combination with other therapies may make it difficult to accurately predict side effects in potential future clinical trials.</w:t>
      </w:r>
    </w:p>
    <w:p>
      <w:pPr>
        <w:spacing w:after="0" w:line="72"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If our clinical trials result in undesirable side effects, or if any of our drug candidates receives marketing approval and we or others later identify undesirable side effects caused by such products, a number of potentially significant negative consequences could occur, including, as applicable:</w:t>
      </w:r>
    </w:p>
    <w:p>
      <w:pPr>
        <w:spacing w:after="0" w:line="54"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withhold approval or may withdraw their approval of the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recall a product or change the way such product is administered to patients;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4" w:name="page45"/>
    <w:bookmarkEnd w:id="44"/>
    <w:p>
      <w:pPr>
        <w:ind w:left="1020" w:right="48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of the particular product or the manufacturing processes for the product or any component thereof;</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“black box” warning or a contraindication;</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implement a Risk Evaluation and Mitigation Strategy (REMS) or create a Medication Guide outlining the risks of such side effects for distribution to patients;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17"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Any of the foregoing events could prevent us from achieving or maintaining market acceptance of the particular drug candidate, if approved, and result in the loss of significant revenue to us, which would adversely affect our business, financial condition, results of operations and prospects. In addition, if one or more of our drug candidates prove to be unsafe, our entire technology platform and pipeline could be affected, which would have a material adverse effect on our business, financial condition, results of operations and prospects.</w:t>
      </w:r>
    </w:p>
    <w:p>
      <w:pPr>
        <w:spacing w:after="0" w:line="176"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nonclinical studies and clinical trials, the marketing approval process is expensive, time-consuming and uncertain and may prevent us or any of our current or future collaboration partners from obtaining approvals for the commercialization of our current drug candidates and any other drug candidate we develop.</w:t>
      </w:r>
    </w:p>
    <w:p>
      <w:pPr>
        <w:spacing w:after="0" w:line="67"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Any current or future drug candidates we may develop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authorities in the United States and by comparable authorities in other countries. Failure to obtain marketing approval for a drug candidate will prevent us from commercializing the drug candidate in a given jurisdiction. We have not received approval to market any drug candidates from regulatory authorities in any jurisdiction and it is possible that none of our current or future drug candidates will ever obtain regulatory approval. As an organization, we have no experience in filing and supporting the applications necessary to gain marketing approvals. Securing regulatory approval requires the submission of extensive nonclinical and clinical data and supporting information to the various regulatory authorities for each therapeutic indication to establish the drug candidate’s safety and efficacy. Securing regulatory approval also requires the submission of information about the product manufacturing process to, and inspection of manufacturing facilities by, the relevant regulatory authority. Any drug candidates we develop may not be effective, may be only moderately effective, or may prove to have undesirable or unintended side effects, toxicities or other characteristics that may preclude our obtaining marketing approval or prevent or limit commercial use.</w:t>
      </w:r>
    </w:p>
    <w:p>
      <w:pPr>
        <w:spacing w:after="0" w:line="84"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drug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There is also uncertainty as to how measures being implemented by the current administration will impact the operations of various agencies including the FDA. For example, the potential loss of personnel at various agencies, reduction in funding for agencies, or government shut downs could lead to disruptions and delays in review of our drug candidates.</w:t>
      </w:r>
    </w:p>
    <w:p>
      <w:pPr>
        <w:spacing w:after="0" w:line="81" w:lineRule="exact"/>
        <w:rPr>
          <w:sz w:val="20"/>
          <w:szCs w:val="20"/>
          <w:color w:val="auto"/>
        </w:rPr>
      </w:pPr>
    </w:p>
    <w:p>
      <w:pPr>
        <w:ind w:right="100" w:firstLine="509"/>
        <w:spacing w:after="0" w:line="281" w:lineRule="auto"/>
        <w:rPr>
          <w:sz w:val="20"/>
          <w:szCs w:val="20"/>
          <w:color w:val="auto"/>
        </w:rPr>
      </w:pPr>
      <w:r>
        <w:rPr>
          <w:rFonts w:ascii="Times New Roman" w:cs="Times New Roman" w:eastAsia="Times New Roman" w:hAnsi="Times New Roman"/>
          <w:sz w:val="17"/>
          <w:szCs w:val="17"/>
          <w:color w:val="auto"/>
        </w:rPr>
        <w:t>The FDA and comparable authorities in other countries have substantial discretion in the approval process and may refuse to accept any application or may decide that our data are insufficient for approval and require additional nonclinical, clinical or other studies. In addition, varying interpretations of the data obtained from nonclinical and clinical testing could delay, limit, or prevent marketing approval of a drug candidate. Any marketing approval we ultimately obtain may be limited or subject to restrictions or post-approval commitments that render the approved product not commercially viable.</w:t>
      </w:r>
    </w:p>
    <w:p>
      <w:pPr>
        <w:spacing w:after="0" w:line="56"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If we experience delays in obtaining marketing approval or if we fail to obtain marketing approval of any current or future drug candidates we may develop, the commercial prospects for those drug candidates may be harmed, and our ability to generate revenues will be materially impaired.</w:t>
      </w:r>
    </w:p>
    <w:p>
      <w:pPr>
        <w:spacing w:after="0" w:line="15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 current or future drug candidate receives marketing approval, it may fail to achieve the degree of market acceptance by physicians, patients, third-party payors and others in the medical community necessary for commercial success.</w:t>
      </w:r>
    </w:p>
    <w:p>
      <w:pPr>
        <w:spacing w:after="0" w:line="5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If any current or future drug candidate we develop receives marketing approval, whether as a single agent or in combination with other therapies, it may nonetheless fail to gain sufficient market acceptance by physicians, patients, third-party payors, and others in the medical community, or such participants may prefer existing treatment options such as, in the case of pevifoscorvir sodium,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5" w:name="page46"/>
    <w:bookmarkEnd w:id="45"/>
    <w:p>
      <w:pPr>
        <w:ind w:right="360"/>
        <w:spacing w:after="0" w:line="261" w:lineRule="auto"/>
        <w:rPr>
          <w:sz w:val="20"/>
          <w:szCs w:val="20"/>
          <w:color w:val="auto"/>
        </w:rPr>
      </w:pPr>
      <w:r>
        <w:rPr>
          <w:rFonts w:ascii="Times New Roman" w:cs="Times New Roman" w:eastAsia="Times New Roman" w:hAnsi="Times New Roman"/>
          <w:sz w:val="18"/>
          <w:szCs w:val="18"/>
          <w:color w:val="auto"/>
        </w:rPr>
        <w:t>nucleos(t)ide analogs including tenofovir alafenamide, tenofovir disoproxil fumarate, and entecavir for treatment of chronic HBV infection. If the drug candidates we develop do not achieve an adequate level of acceptance, we may not generate significant product revenues and we may not become profitable for a full fiscal year. The degree of market acceptance of any drug candidate, if approved for commercial sale, will depend on a number of factors, including:</w:t>
      </w:r>
    </w:p>
    <w:p>
      <w:pPr>
        <w:spacing w:after="0" w:line="72"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efficacy and potential advantages compared to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offer our products, if approved, for sale at competitive prices;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ease of administration compared to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sufficient third-party coverage and adequate reimbursement, including with respect to the use of the approved product as a combination therapy;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a companion diagnostic and/or complementary diagnostic (if any);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22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events in our therapeutic areas of focus, including hepatological indications and viral diseases, could damage public perception of our current or future drug candidates and negatively affect our business.</w:t>
      </w:r>
    </w:p>
    <w:p>
      <w:pPr>
        <w:spacing w:after="0" w:line="5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commercial success of our products will depend in part on public acceptance of our therapeutic areas of focus. Adverse events in clinical trials of our drug candidates, or post-marketing activities, or in clinical trials of others developing similar products or targeting similar indications and the resulting publicity, as well as any other adverse events in our therapeutic areas of focus, including hepatological indications and viral diseases, could result in decreased demand for any product that we may develop. If public perception is influenced by claims that the use of therapies in our therapeutic areas of focus are unsafe, whether related to our therapies or those of our competitors, our products may not be accepted by the general public or the medical community.</w:t>
      </w:r>
    </w:p>
    <w:p>
      <w:pPr>
        <w:spacing w:after="0" w:line="7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Future adverse events in our therapeutic areas of focus or the biopharmaceutical industry could also result in greater governmental regulation, stricter labeling requirements and potential regulatory delays in the testing or approvals of our products. Any increased scrutiny could delay or increase the costs of obtaining marketing approval for the drug candidates we have developed, are developing and may in the future develop.</w:t>
      </w:r>
    </w:p>
    <w:p>
      <w:pPr>
        <w:spacing w:after="0" w:line="172"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Negative developments and negative public opinion of technologies on which we rely may damage public perception of our drug candidates or adversely affect our ability to conduct our business or obtain regulatory approvals for our drug candidates.</w:t>
      </w:r>
    </w:p>
    <w:p>
      <w:pPr>
        <w:spacing w:after="0" w:line="5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clinical and commercial success of our drug candidates will depend in part on public acceptance of the use of technologies for the prevention or treatment of human diseases. Adverse public attitudes may adversely impact our ability to enroll clinical trials. Moreover, our success will depend upon physicians specializing in our targeted diseases prescribing, and their patients being willing to receive, our drug candidates as treatments in lieu of, or in addition to, existing, more familiar, treatments for which greater clinical data may be available. Any increase in negative perceptions of the technologies that we rely on may result in fewer physicians prescribing our products (if approved) or may reduce the willingness of patients to utilize our products or participate in clinical trials for our drug candidates.</w:t>
      </w:r>
    </w:p>
    <w:p>
      <w:pPr>
        <w:spacing w:after="0" w:line="79"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Increased negative public opinion or more restrictive government regulations in response thereto, would have a negative effect on our business, financial condition, results of operations or prospects and may delay or impair the development and commercialization of our drug candidates or demand for such drug candidates. Adverse events in our nonclinical studies or clinical trials or those of our competitors or of academic researchers utilizing similar technologies, even if not ultimately attributable to drug candidates we may discover and develop, and the resulting publicity could result in increased governmental regulation, unfavorable public perception, potential regulatory delays in the testing or approval of potential drug candidates we may identify and develop, stricter labeling requirements for those drug candidates that are approved, a decrease in demand for any such drug candidates and a suspension or withdrawal of approval by regulatory authorities of our drug candidates.</w:t>
      </w:r>
    </w:p>
    <w:p>
      <w:pPr>
        <w:spacing w:after="0" w:line="18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of a drug candidate, we will be subject to ongoing regulatory obligations and continued regulatory review, which may result in significant additional expense, and we may be subject to penalties if we fail to comply with regulatory requirements or experience unanticipated problems with our products, if approved.</w:t>
      </w:r>
    </w:p>
    <w:p>
      <w:pPr>
        <w:spacing w:after="0" w:line="67"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Any marketing approvals that we receive for any current or future drug candidate may be subject to limitations on the approved indicated uses for which the product may be marketed or contain requirements for potentially costly post-market testing and surveillance to monitor the safety and efficacy of the drug candidate. The FDA may also require a REMS as a condition of approval of</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6" w:name="page47"/>
    <w:bookmarkEnd w:id="46"/>
    <w:p>
      <w:pPr>
        <w:ind w:right="220"/>
        <w:spacing w:after="0" w:line="254" w:lineRule="auto"/>
        <w:rPr>
          <w:sz w:val="20"/>
          <w:szCs w:val="20"/>
          <w:color w:val="auto"/>
        </w:rPr>
      </w:pPr>
      <w:r>
        <w:rPr>
          <w:rFonts w:ascii="Times New Roman" w:cs="Times New Roman" w:eastAsia="Times New Roman" w:hAnsi="Times New Roman"/>
          <w:sz w:val="18"/>
          <w:szCs w:val="18"/>
          <w:color w:val="auto"/>
        </w:rPr>
        <w:t>any drug candidate, which could include requirements for a Medication Guide, physician communication plans or additional elements to ensure safe use, such as restricted distribution methods, patient registries and other risk-minimization tools. In addition, if the FDA or a comparable foreign regulatory authority approves a drug candidate, the manufacturing processes, labeling, packaging, distribution, adverse event reporting, storage, advertising, promotion, import and export and record keeping for the product will be subject to extensive and ongoing regulatory requirements. These requirements include submissions of safety and other post-marketing information and reports, establishment registration, as well as continued compliance with cGMP, and GCP, for any clinical trials that we conduct post-approval. Later discovery of previously unknown problems with any approved candidate, including adverse events of unanticipated severity or frequency, or with our third-party manufacturers or manufacturing processes, or failure to comply with regulatory requirements, may result in, among other things:</w:t>
      </w:r>
    </w:p>
    <w:p>
      <w:pPr>
        <w:spacing w:after="0" w:line="84"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withdrawal of the product from the market, or product recalls;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untitled and warning letters, or holds on clinical trials;</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or other regulatory authorities to approve pending applications or supplements to approved applications we filed or suspension or revocation of license approvals;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exclusion of eligibility from government contracts or refusals of government contracts;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the product;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1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marketing approval of a product.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profitability for a full fiscal year.</w:t>
      </w:r>
    </w:p>
    <w:p>
      <w:pPr>
        <w:spacing w:after="0" w:line="17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and maintain approval for our drug candidates from the FDA, we may never obtain approval outside the United States, which would limit our market opportunities; clinical data obtained in one jurisdiction may not be accepted by authorities in other jurisdictions.</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Approval of a drug candidate in the United States by the FDA does not ensure approval of such drug candidate by regulatory authorities in other countries or jurisdictions, and approval by one foreign regulatory authority does not ensure approval by regulatory authorities in other foreign countries. Sales of our drug candidates outside the United States will be subject to foreign regulatory requirements governing clinical trials and marketing approval. Even if the FDA grants marketing approval for a drug candidate, comparable foreign regulatory authorities also must approve the manufacturing and marketing of the drug candidate in those countries. Approval procedures vary among jurisdictions and can involve requirements and administrative review periods different from, and more onerous than, those in the United States, including additional nonclinical studies or clinical trials. In many countries outside the United States, a drug candidate must be approved for reimbursement before it can be approved for sale in that country. In some cases, the price that we intend to charge for any drug candidates, if approved, is also subject to approval. Obtaining approval for our drug candidates in the European Union from the European Commission following the opinion of the EMA, if we choose to submit a marketing authorization application there, would be a lengthy and expensive process. Even if a drug candidate is approved, the EMA may limit the indications for which the product may be marketed, require extensive warnings on the product labeling or require expensive and time-consuming additional clinical trials or reporting as conditions of approval. Approval of certain drug candidates outside of the United States, particularly those that target diseases that are more prevalent outside of the United States, will be particularly important to the commercial success of such drug candidates. Obtaining foreign regulatory approvals and compliance with foreign regulatory requirements could result in significant delays, difficulties and costs for us and could delay or prevent the introduction of our drug candidates in certain countries.</w:t>
      </w:r>
    </w:p>
    <w:p>
      <w:pPr>
        <w:spacing w:after="0" w:line="88"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Further, clinical trials conducted in one country may not be accepted by regulatory authorities in other countries. For example, we are currently conducting clinical trials for pevifoscorvir sodium in many countries (e.g., United States, Canada, and throughout Asia and Europe), and plan to expand into additional countries and territories. Our licensee Amoytop also plans to conduct clinical trials for pevifoscorvir sodium in Greater China. The conduct of these trials outside of the United States must satisfy specific requirements in order for the FDA to accept the data in support of an IND or NDA in the United States. Further, any regulatory approval for our drug candidates may be withdrawn. If we fail to comply with the applicable regulatory requirements, our target market will be reduced and our ability to realize the full market potential of our drug candidates will be harmed and our business, financial condition, results of operations and prospects could be harmed.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7" w:name="page48"/>
    <w:bookmarkEnd w:id="47"/>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Risks associated with international trade policies (including with respect to tariffs) or our international operations, including seeking and obtaining approval to commercialize our drug candidates in foreign jurisdictions, could harm our business.</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engage in international operations with offices in the United States, Belgium and China as well as third-party suppliers spanning multiple countries outside the United States, and we intend to seek approval to market our drug candidates within and outside of the United States. We may also do so for future drug candidates. Due to the complex relationship among the United States and the countries in which we conduct our business, there is an inherent risk that political, diplomatic, and national security factors may lead to global trade restrictions and changes to trade policies or export and import regulations which could harm our business. The United States government has implemented tariffs affecting a wide range of products and jurisdictions and has indicated an intention to continue developing new trade policies, which may include tariffs on imported pharmaceutical products. In response, certain foreign governments have announced or implemented reciprocal or retaliatory tariffs and other protectionist measures. Additionally, some major pharmaceutical companies have entered into drug pricing agreements with the Trump administration in exchange for tariff exemptions. Despite recent court rulings against the legality of certain of the Trump administration’s tariffs, the uncertainty in tariff policy and legality can cause financial turmoil and harm. The United States government’s tariff policy has undergone rapid shifts, creating uncertainty that may harm our business by, among other things, leading to higher import prices and negatively impacting market conditions. Most recently, in April 2026, the Trump administration issued a proclamation imposing tariffs under Section 232 of the Trade Expansion Act on imports of brand pharmaceuticals, biologics and associated pharmaceutical ingredients, beginning July 31, 2026. Exempted from these tariffs, among others, are companies that have executed or are negotiating agreements with the federal government regarding most favored nation pricing and onshoring of production and research and development.</w:t>
      </w:r>
    </w:p>
    <w:p>
      <w:pPr>
        <w:spacing w:after="0" w:line="89"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We have outlicensed the right to develop pevifoscorvir sodium and ALG-170675 in China, Taiwan, Hong Kong and Macau (Greater China) to Amoytop, and therefore rely on their operations abroad for success in their territory.</w:t>
      </w:r>
    </w:p>
    <w:p>
      <w:pPr>
        <w:spacing w:after="0" w:line="54"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We currently rely, and expect to continue to rely, on third parties located outside of the United States for the manufacture of certain drug candidates for clinical testing, as well as for manufacture of products that we may commercialize, if approved.</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that we are or will be subject to additional risks related to these international business markets and relationships, including:</w:t>
      </w:r>
    </w:p>
    <w:p>
      <w:pPr>
        <w:spacing w:after="0" w:line="117" w:lineRule="exact"/>
        <w:rPr>
          <w:sz w:val="20"/>
          <w:szCs w:val="20"/>
          <w:color w:val="auto"/>
        </w:rPr>
      </w:pPr>
    </w:p>
    <w:p>
      <w:pPr>
        <w:ind w:left="1020" w:right="64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approval of drug candidates in foreign countries, including challenging processes for marketing biopharmaceutical products;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and enforcement of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or different data privacy and information security laws, regulations and policies;</w:t>
      </w:r>
    </w:p>
    <w:p>
      <w:pPr>
        <w:spacing w:after="0" w:line="117"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proposed tariffs, implementation of new tariffs, reciprocal or retaliatory trade measures, sanctions, trade barriers and regulatory requirements;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global trade policies as a result of trade disputes or more restrictive trade policies;</w:t>
      </w:r>
    </w:p>
    <w:p>
      <w:pPr>
        <w:spacing w:after="0" w:line="117" w:lineRule="exact"/>
        <w:rPr>
          <w:rFonts w:ascii="Times New Roman" w:cs="Times New Roman" w:eastAsia="Times New Roman" w:hAnsi="Times New Roman"/>
          <w:sz w:val="18"/>
          <w:szCs w:val="18"/>
          <w:color w:val="auto"/>
        </w:rPr>
      </w:pPr>
    </w:p>
    <w:p>
      <w:pPr>
        <w:ind w:left="1020" w:right="9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 compliance with tax, employment, immigration and labor laws for employees living or traveling abroad;</w:t>
      </w:r>
    </w:p>
    <w:p>
      <w:pPr>
        <w:spacing w:after="0" w:line="53"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incident to doing business in another country;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reimbursement, pricing and insurance regimes;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or natural disasters including earthquakes, typhoons, floods and fires;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resulting from the impact of public health pandemics or epidemics (including, for example, the COVID-19 pandemic).</w:t>
      </w:r>
    </w:p>
    <w:p>
      <w:pPr>
        <w:spacing w:after="0" w:line="11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Increases in tariffs will likely result in increased research and development expenses, including with respect to increased costs associated with drug product shipments, laboratory supplies, equipment, research materials and components and information technology supplies and materials. Increases in tariffs will likely increase our supply chain complexity and could also potentially disrupt our existing supply chain. The ultimate impact of current or future tariffs and trade restrictions remains uncertain.</w:t>
      </w:r>
    </w:p>
    <w:p>
      <w:pPr>
        <w:spacing w:after="0" w:line="72"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In addition, there are complex regulatory, tax, labor and other legal requirements imposed by many of the individual countries in which we may operate, with which we will need to comply.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48" w:name="page49"/>
    <w:bookmarkEnd w:id="48"/>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funding shortages, layoffs, government shutdowns, or global health concerns could hinder their ability to hire, retain or deploy key leadership and other personnel, or could otherwise prevent new or modified products from being developed, approved or commercialized in a timely manner or at all, which could negatively impact our business.</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government shutdowns, statutory, regulatory, and policy changes, layoffs at the FDA and other government agencies, the FDA’s hiring and retention of key personnel and receipt of user fees, changes in senior leadership at FDA and HHS, and other events that may otherwise affect the FDA’s performance of routine functions. Average review times at the agency have fluctuated in recent years as a result. Disruptions at the FDA and other agencies may also slow the time necessary for new products to be reviewed and/or approved by necessary government agencies, which would adversely affect our business. For example, on October 1, 2025, the U.S. government initiated a shutdown that lasted 43 days, and certain regulatory agencies, such as the FDA, had to furlough employees and stop certain activities. Such shutdowns have also occurred several times in the past, with the longest prior shutdown beginning December 22, 2018 and lasting 35 days. There is no assurance that a similar shutdown will not occur in the future, causing delays at the FDA and other key agencies.</w:t>
      </w:r>
    </w:p>
    <w:p>
      <w:pPr>
        <w:spacing w:after="0" w:line="80"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Relatedly, in response to the COVID-19 pandemic, the FDA postponed most inspections of domestic and foreign manufacturing facilities at various points. Even though the FDA has since resumed standard inspection operations, any resurgence of the virus or emergence of new variants may lead to further inspectional or administrative delays.</w:t>
      </w:r>
    </w:p>
    <w:p>
      <w:pPr>
        <w:spacing w:after="0" w:line="68" w:lineRule="exact"/>
        <w:rPr>
          <w:sz w:val="20"/>
          <w:szCs w:val="20"/>
          <w:color w:val="auto"/>
        </w:rPr>
      </w:pPr>
    </w:p>
    <w:p>
      <w:pPr>
        <w:jc w:val="both"/>
        <w:ind w:right="420" w:firstLine="509"/>
        <w:spacing w:after="0" w:line="266" w:lineRule="auto"/>
        <w:rPr>
          <w:sz w:val="20"/>
          <w:szCs w:val="20"/>
          <w:color w:val="auto"/>
        </w:rPr>
      </w:pPr>
      <w:r>
        <w:rPr>
          <w:rFonts w:ascii="Times New Roman" w:cs="Times New Roman" w:eastAsia="Times New Roman" w:hAnsi="Times New Roman"/>
          <w:sz w:val="18"/>
          <w:szCs w:val="18"/>
          <w:color w:val="auto"/>
        </w:rPr>
        <w:t>If a prolonged government shutdown occurs, or if global health concerns prevent the FDA or other regulatory authorities from conducting their regular inspections, reviews, or other regulatory activities, it could significantly impair the ability of the FDA or other regulatory authorities to timely review and process our regulatory submissions, which could have a material adverse effect on our business.</w:t>
      </w:r>
    </w:p>
    <w:p>
      <w:pPr>
        <w:spacing w:after="0" w:line="172" w:lineRule="exact"/>
        <w:rPr>
          <w:sz w:val="20"/>
          <w:szCs w:val="20"/>
          <w:color w:val="auto"/>
        </w:rPr>
      </w:pPr>
    </w:p>
    <w:p>
      <w:pPr>
        <w:jc w:val="both"/>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our drug candidates are smaller than we believe or any approval we obtain is based on a narrower definition of the patient population, our business may suffer.</w:t>
      </w:r>
    </w:p>
    <w:p>
      <w:pPr>
        <w:spacing w:after="0" w:line="5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We currently focus our product development on novel therapeutics to address unmet needs in hepatological indications and viral diseases. Our eligible patient population, pricing estimates and available coverage and reimbursement may differ significantly from the actual market addressable by our drug candidates. Our estimates of both the number of people who have these diseases, as well as the subset of people with these diseases who have the potential to benefit from treatment with our drug candidates, are based on our beliefs and analyses based on a variety of sources, including scientific literature, patient foundations or market research, and may prove to be incorrect. Further, new studies may change the estimated incidence or prevalence of the diseases we are targeting. The number of patients may turn out to be lower than expected, and the potentially addressable patient population for each of our drug candidates may be limited or may not be receptive to treatment with our drug candidates, and new patients may become increasingly difficult to identify or access. Certain potential patients may have or develop a resistance to our potential therapies or otherwise be unable to be treated with our potential therapies for chronic HBV infection or other viral diseases as a result of their genetic makeup. In addition, the route of administration for our potential therapies could be inconvenient and/or not commercially viable, which could also limit the potential market for our therapies.</w:t>
      </w:r>
    </w:p>
    <w:p>
      <w:pPr>
        <w:spacing w:after="0" w:line="19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our drug candidates are smaller than we estimate, it could have an adverse effect on our business, financial condition, results of operations and prospects.</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For example, we believe chronic HBV infection to be one of the most prevalent chronic liver diseases worldwide, however, our projections of the number of people who have chronic HBV infection, as well as the subset of people with the disease who have the potential to benefit from treatment with our drug candidates, are based on our beliefs and estimates. The effort to identify patients with chronic HBV infection is in early stages, and we cannot accurately predict the number of patients for whom treatment might be possible. Chronic HBV infection is often undiagnosed and may be left undiagnosed for a long time, partly due to the disease being largely asymptomatic. Further, if government authorities and third-party payors choose to limit coverage and reimbursement of our chronic HBV infection drug candidates, such as limiting the number of patients’ treatment that would be covered and reimbursable, this could result in a smaller market opportunity for our chronic HBV infection drug candidates than we anticipate.</w:t>
      </w:r>
    </w:p>
    <w:p>
      <w:pPr>
        <w:spacing w:after="0" w:line="8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addition, the number of people who have chronic HBV infection, as well as the subset of people with the disease who have the potential to benefit from treatment with our drug candidates, may be reduced due to factors including the genotype or variant of HBV, availability of alternative therapies, political roadblocks to approval and/or treatment in certain countries and the virus’s development of resistance to our potential treatments after long-term and persistent exposure to antiviral therapy.</w:t>
      </w:r>
    </w:p>
    <w:p>
      <w:pPr>
        <w:spacing w:after="0" w:line="176"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intend to develop our current drug candidates, and expect to develop other future drug candidates, in combination with other therapies, which exposes us to additional risks.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intend to develop our current drug candidates, and expect to develop other future drug candidates, in combination with 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49" w:name="page50"/>
    <w:bookmarkEnd w:id="49"/>
    <w:p>
      <w:pPr>
        <w:spacing w:after="0" w:line="253" w:lineRule="auto"/>
        <w:rPr>
          <w:sz w:val="20"/>
          <w:szCs w:val="20"/>
          <w:color w:val="auto"/>
        </w:rPr>
      </w:pPr>
      <w:r>
        <w:rPr>
          <w:rFonts w:ascii="Times New Roman" w:cs="Times New Roman" w:eastAsia="Times New Roman" w:hAnsi="Times New Roman"/>
          <w:sz w:val="18"/>
          <w:szCs w:val="18"/>
          <w:color w:val="auto"/>
        </w:rPr>
        <w:t>or more therapies, including therapies that we develop and those developed externally. Even if a drug candidate we develop were to receive marketing approval or be commercialized for use in combination with other therapies, we would face the risk that the FDA or similar regulatory authority outside of the United States could revoke approval of the therapy used in combination with our drug candidate or that safety, efficacy, manufacturing or supply issues could arise with these other therapies. Combination therapies are commonly used for the treatment of viral diseases, and we would be subject to similar risks if we develop any of our drug candidates for use in combination with other drugs. Our potential development of ALG-055009, our THR-β agonist for obesity may also rely on combination therapy, for example combinations with incretin receptor agonists controlled by third parties. Issues with other products could result in our own products, if approved, being removed from the market or suffering commercially. In addition, we may evaluate our current drug candidates and other future drug candidates in combination with one or more other therapies that may have not yet been approved for marketing by the FDA or similar regulatory authorities outside of the United States. We will not be able to market and sell any drug candidate we develop in combination with any such unapproved therapies that do not ultimately obtain marketing approval.</w:t>
      </w:r>
    </w:p>
    <w:p>
      <w:pPr>
        <w:spacing w:after="0" w:line="86"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If the FDA or similar regulatory authorities outside of the United States do not approve these other drugs or revoke their approval of, or if safety, efficacy, manufacturing, or supply issues arise with, the drugs we choose to evaluate in combination with or any of our drug candidates, we may be unable to obtain approval of or market any of our combination treatments.</w:t>
      </w:r>
    </w:p>
    <w:p>
      <w:pPr>
        <w:spacing w:after="0" w:line="172"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and if our competitors develop and market products that are more effective, safer or less expensive than the drug candidates we develop, our commercial opportunities will be negatively impacted.</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life sciences industry is highly competitive. We are currently developing therapies that will compete, if approved, with other products and therapies that currently exist or are being developed. Products we may develop in the future are also likely to face competition from other products and therapies, some of which we may not currently be aware of. We have competitors both in the United States and internationally, including major multinational pharmaceutical companies, established biotechnology companies, specialty pharmaceutical companies, universities and other research institutions. Many of our competitors have significantly greater financial, manufacturing, marketing, product development, technical and human resources than we do. Large pharmaceutical companies, in particular, have extensive experience in clinical testing, obtaining marketing approvals, recruiting patients and manufacturing pharmaceutical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companies may also invest heavily to accelerate discovery and development of novel compounds or to in-license novel compounds that could make the drug candidates that we develop obsolete. Further, mergers and acquisitions in the pharmaceutical and biotechnology industries may result in even more resources being concentrated among a smaller number of our competitors. As a result of all of these factors, our competitors may succeed in obtaining patent protection and/or marketing approval or discovering, developing and commercializing products in our field before we do.</w:t>
      </w:r>
    </w:p>
    <w:p>
      <w:pPr>
        <w:spacing w:after="0" w:line="7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Current FDA-approved treatments for chronic HBV infection include peg-IFNα, marketed by Roche Holding AG (Roche), and oral antiviral agents such as nucleos(t)ide analogs, marketed by Gilead Sciences, Inc. (Gilead) and Bristol-Myers Squibb Company. These treatments have not been proven to lead to either a functional or a complete cure in the vast majority of patients, and in the case of nucleos(t)ide analogs, may require life-long treatment. Several large and small pharmaceutical companies are developing programs with various mechanisms of action, to be used alone or in combination, with the goal of achieving higher rates of viral suppression or functional cure in patients with chronic HBV infection. Companies with oligonucleotide agents in clinical development include Arbutus Biopharma Corporation, Ionis Pharmaceuticals, Inc. (together with GlaxoSmithKline plc (GSK)), Arrowhead Pharmaceuticals, Inc. (together with Janssen Pharmaceuticals, Inc. (Janssen)), and Precision BioSciences, Inc. Several companies, including Janssen, are developing therapeutic vaccines for HBV, and several others have approved HBV vaccines, including Dynavax Technologies, Inc., GSK, Johnson &amp; Johnson, and Merck. Replicor, Inc. is developing nucleic acid polymers (NAPs) for use in patients with chronic HBV infection.</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Current FDA approved treatments for obesity include injectable and oral GLP-1 receptor agonists, such as Novo Nordisk’s semaglutide, as well as injectable dual agonists such as Eli Lilly and Company’s tirzepatide. Many companies are developing next-generation incretin receptor agonists, including in oral form, such as Eli Lilly and Company’s orfoglipron. Various other mechanisms are currently under development, including Pfizer’s amylin analog and Novo Nordisk’s CB1 receptor monlunabant.</w:t>
      </w:r>
    </w:p>
    <w:p>
      <w:pPr>
        <w:spacing w:after="0" w:line="99" w:lineRule="exact"/>
        <w:rPr>
          <w:sz w:val="20"/>
          <w:szCs w:val="20"/>
          <w:color w:val="auto"/>
        </w:rPr>
      </w:pPr>
    </w:p>
    <w:p>
      <w:pPr>
        <w:ind w:right="120" w:firstLine="509"/>
        <w:spacing w:after="0" w:line="220" w:lineRule="exact"/>
        <w:rPr>
          <w:sz w:val="20"/>
          <w:szCs w:val="20"/>
          <w:color w:val="auto"/>
        </w:rPr>
      </w:pPr>
      <w:r>
        <w:rPr>
          <w:rFonts w:ascii="Times New Roman" w:cs="Times New Roman" w:eastAsia="Times New Roman" w:hAnsi="Times New Roman"/>
          <w:sz w:val="18"/>
          <w:szCs w:val="18"/>
          <w:color w:val="auto"/>
        </w:rPr>
        <w:t>There are currently two FDA-approved treatments for MASH: Madrigal Pharmaceuticals, Inc., THR-β agonist and Novo Nordisk's GLP-1 receptor agonist semaglutide. A number of pharmaceutical companies, including AbbVie, Inc., AstraZeneca PLC/MedImmune LLC, Bristol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Myers Squibb Company, Eli Lilly and Company, Merck, Pfizer, Inc., Novo Nordisk, Roche, as well as large and small biotechnology companies such as Gilead and Inventiva Pharma SA, are pursuing the development or marketing of pharmaceuticals that target MASH.</w:t>
      </w:r>
    </w:p>
    <w:p>
      <w:pPr>
        <w:spacing w:after="0" w:line="133"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effects, are more convenient, have a broader label, are marketed more effectively,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0" w:name="page51"/>
    <w:bookmarkEnd w:id="50"/>
    <w:p>
      <w:pPr>
        <w:ind w:right="60"/>
        <w:spacing w:after="0" w:line="258" w:lineRule="auto"/>
        <w:rPr>
          <w:sz w:val="20"/>
          <w:szCs w:val="20"/>
          <w:color w:val="auto"/>
        </w:rPr>
      </w:pPr>
      <w:r>
        <w:rPr>
          <w:rFonts w:ascii="Times New Roman" w:cs="Times New Roman" w:eastAsia="Times New Roman" w:hAnsi="Times New Roman"/>
          <w:sz w:val="18"/>
          <w:szCs w:val="18"/>
          <w:color w:val="auto"/>
        </w:rPr>
        <w:t>including gaining exclusivity for their competing products on formularies thereby excluding our products from such formularies, are reimbursed or are less expensive than any products that we may develop. Our competitors also may obtain FDA, EMA or other marketing approval for their products more rapidly than we may obtain approval for ours (if at all), which could result in our competitors establishing a strong market position before we are able to enter the market (if ever). Even if the drug candidates we develop achieve marketing approval, they may be priced at a significant premium over competitive products, resulting in reduced competitiveness of our products.</w:t>
      </w:r>
    </w:p>
    <w:p>
      <w:pPr>
        <w:spacing w:after="0" w:line="75"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Smaller and other early-stage companies may also prove to be significant competitors. In addition, academic research departments and public and private research institutions may be conducting research on compounds that could prove to be competitive.</w:t>
      </w:r>
    </w:p>
    <w:p>
      <w:pPr>
        <w:spacing w:after="0" w:line="54"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These third parties compete with us not only in drug candidate development, but also in recruiting and retaining qualified scientific and management personnel, establishing clinical trial sites and patient registration for clinical trials, as well as in acquiring and/or licensing technologies complementary to, or necessary for, our programs.</w:t>
      </w:r>
    </w:p>
    <w:p>
      <w:pPr>
        <w:spacing w:after="0" w:line="68" w:lineRule="exact"/>
        <w:rPr>
          <w:sz w:val="20"/>
          <w:szCs w:val="20"/>
          <w:color w:val="auto"/>
        </w:rPr>
      </w:pPr>
    </w:p>
    <w:p>
      <w:pPr>
        <w:jc w:val="both"/>
        <w:ind w:right="320" w:firstLine="509"/>
        <w:spacing w:after="0" w:line="266" w:lineRule="auto"/>
        <w:rPr>
          <w:sz w:val="20"/>
          <w:szCs w:val="20"/>
          <w:color w:val="auto"/>
        </w:rPr>
      </w:pPr>
      <w:r>
        <w:rPr>
          <w:rFonts w:ascii="Times New Roman" w:cs="Times New Roman" w:eastAsia="Times New Roman" w:hAnsi="Times New Roman"/>
          <w:sz w:val="18"/>
          <w:szCs w:val="18"/>
          <w:color w:val="auto"/>
        </w:rPr>
        <w:t>In addition, the biopharmaceutical industry is characterized by rapid technological change. If we fail to keep pace with technological change, we may be unable to compete effectively. Technological advances or products developed by our competitors may render our drug candidates obsolete, less competitive or not economical, thereby adversely affecting our business, financial condition and results of operations.</w:t>
      </w:r>
    </w:p>
    <w:p>
      <w:pPr>
        <w:spacing w:after="0" w:line="17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of our current or future drug candidates obtain regulatory approval, additional competitors could enter the market with generic versions of such products, which may result in a material decline in sales of our competing products.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Under the Drug Price Competition and Patent Term Restoration Act of 1984, or the Hatch-Waxman Amendments to the FDCA, a pharmaceutical manufacturer may file an abbreviated new drug application (an ANDA) seeking approval of a generic version of an approved innovator product. Under the Hatch-Waxman Amendments, a manufacturer may also submit an NDA under section 505(b)(2) of the FDCA that references the FDA’s prior approval of the innovator product. A 505(b)(2) NDA product may be for a new or improved version of the original innovator product. The Hatch-Waxman Amendments also provide for certain periods of regulatory exclusivity, which preclude FDA approval (or in some circumstances, FDA filing and review) of an ANDA or 505(b)(2) NDA. In addition to the benefits of regulatory exclusivity, an innovator NDA holder may have patents claiming the active ingredient, product formulation or an approved use of the drug, which would be listed with the product in the FDA publication “Approved Drug Products with Therapeutic Equivalence Evaluations,” known as the Orange Book. If there are patents listed in the Orange Book for a product, a generic or 505(b)(2) applicant that seeks to market its product before expiration of the patents must include in their applications what is known as a “Paragraph IV” certification, challenging the validity or enforceability, or claiming non-infringement, of the listed patent or patents. Notice of the certification must be given to the patent owner and NDA holder and if, within 45 days of receiving notice, either the patent owner or NDA holder sues for patent infringement, approval of the ANDA or 505(b)(2) NDA is stayed for up to 30 months.</w:t>
      </w:r>
    </w:p>
    <w:p>
      <w:pPr>
        <w:spacing w:after="0" w:line="82"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Accordingly, if any of our future drug candidates are approved, competitors could file ANDAs for generic versions of these products or 505(b)(2) NDAs that reference our products. If there are patents listed for such drug products in the Orange Book, those ANDAs and 505(b)(2) NDAs would be required to include a certification as to each listed patent indicating whether the ANDA applicant does or does not intend to challenge the patent. We cannot predict which, if any, patents in our current portfolio or patents we may obtain in the future will be eligible for listing in the Orange Book, how any generic competitor would address such patents, whether we would sue on any such patents or the outcome of any such suit.</w:t>
      </w:r>
    </w:p>
    <w:p>
      <w:pPr>
        <w:spacing w:after="0" w:line="75"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may not be successful in securing or maintaining proprietary patent protection for products and technologies we develop or license, despite expending a significant amount of resources that could have been focused on other areas of our business. Moreover, if any of our owned or in-licensed patents that are listed in the Orange Book are successfully challenged by way of a Paragraph IV certification and subsequent litigation, the affected product could immediately face generic competition and its sales would likely decline rapidly and materially.</w:t>
      </w:r>
    </w:p>
    <w:p>
      <w:pPr>
        <w:spacing w:after="0" w:line="176"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drug candidates, such products may become subject to unfavorable pricing regulations or third-party coverage and reimbursement policies, which would harm our business.</w:t>
      </w:r>
    </w:p>
    <w:p>
      <w:pPr>
        <w:spacing w:after="0" w:line="5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regulations that govern marketing approvals, pricing and reimbursement for new products vary widely from country to country. Some countries require approval of the sale price of a product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drug candidate, possibly for lengthy time periods, and negatively impact the revenues we are able to generate from the sale of the drug candidate in that country, potentially to the point of unviability. Adverse pricing limitations may hinder our ability to recoup our investment in one or more drug candidates, even if our drug candidates obtain marketing approval.</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1" w:name="page52"/>
    <w:bookmarkEnd w:id="51"/>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Our ability to successfully commercialize any drug candidates, whether as a single agent or in combination, will also depend in part on the extent to which coverage and reimbursement for these drug candidates and related treatments is available from government authorities, private health insurers and other organizations. Government authorities and third-party payors, such as private health insurers and health maintenance organizations, decide which medications they will pay for and establish reimbursement levels. It is difficult to predict at this time what government authorities and third-party payors may decide with respect to coverage and reimbursement for our programs (if approved).</w:t>
      </w:r>
    </w:p>
    <w:p>
      <w:pPr>
        <w:spacing w:after="0" w:line="7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 primary trend in the U.S. healthcare industry and elsewhere is cost containment. Government authorities, particularly in the European Union, and third-party payors have attempted to control costs by limiting coverage and the amount of reimbursement for particular products and requiring substitutions of generic products and/or biosimilars. Increasingly, third-party payors are scrutinizing the prices charged for drugs. We cannot be sure that coverage will be available for any drug candidate that we commercialize and, if coverage is available, the level of reimbursement. These government authorities and third-party payors are also examining the cost-effectiveness of drugs, in addition to their safety and efficacy. For example, in some countries, we, or any future collaborators, may be required to conduct a clinical trial that compares the cost-effectiveness of our drug to other therapies to obtain reimbursement or pricing approval. Reimbursement may impact the demand for, or the price of, any drug candidate for which we obtain marketing approval. If reimbursement is not available or is available only to limited levels, we may not be able to successfully commercialize any drug candidate for which we obtain marketing approval.</w:t>
      </w:r>
    </w:p>
    <w:p>
      <w:pPr>
        <w:spacing w:after="0" w:line="80"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Further, there may be significant delays in obtaining coverage and reimbursement for newly approved drugs, as the process is time-consuming and costly, and coverage may be more limited than the purposes for which the drug is approved by the FDA or comparable foreign regulatory authorities. Additionally, no uniform policy requirement for coverage and reimbursement for drug products exists among third-party payors in the United States, which may result in coverage and reimbursement for drug products that differ significantly from payor to payor. Moreover, eligibility for reimbursement does not imply that any drug will be paid for in all cases or at a rate that covers our costs, including research, development, manufacture, sale and distribution. Interim reimbursement levels for new drugs, if applicable, may not be sufficient to cover our costs and may not be permanent. Reimbursement rates may vary according to the use of the drug and the clinical setting in which it is used, may be based on reimbursement levels already set for lower-cost drugs and may be incorporated into existing payments for other services. Net prices for drugs may be reduced by mandatory discounts or rebates required by government healthcare programs or private payors and by any future relaxation or overturning of laws that presently restrict or apply tariffs to imports of drugs from countries where they may be sold at lower prices than in the United States. Additionally, the Trump administration has published a final regulation, and a further proposed regulation, that would require manufacturers to pay rebates on Medicare utilization tied to prices for the same drugs in certain reference countries. Such “most favored nation” pricing rules could limit the profitability of our drugs by affecting pricing and/or making it infeasible to commercialize our drugs in certain markets, and could have a significant impact on our commercial and financial success. For more information, see the risk factor titled “— Current and future healthcare reform legislation or regulation may increase the difficulty and cost for us to commercialize drug candidates for which we receive approval, may affect the prices we may obtain, and may have a material adverse effect on our business and results of operations.”</w:t>
      </w:r>
    </w:p>
    <w:p>
      <w:pPr>
        <w:spacing w:after="0" w:line="87" w:lineRule="exact"/>
        <w:rPr>
          <w:sz w:val="20"/>
          <w:szCs w:val="20"/>
          <w:color w:val="auto"/>
        </w:rPr>
      </w:pPr>
    </w:p>
    <w:p>
      <w:pPr>
        <w:jc w:val="both"/>
        <w:ind w:right="300" w:firstLine="509"/>
        <w:spacing w:after="0" w:line="266" w:lineRule="auto"/>
        <w:rPr>
          <w:sz w:val="20"/>
          <w:szCs w:val="20"/>
          <w:color w:val="auto"/>
        </w:rPr>
      </w:pPr>
      <w:r>
        <w:rPr>
          <w:rFonts w:ascii="Times New Roman" w:cs="Times New Roman" w:eastAsia="Times New Roman" w:hAnsi="Times New Roman"/>
          <w:sz w:val="18"/>
          <w:szCs w:val="18"/>
          <w:color w:val="auto"/>
        </w:rPr>
        <w:t>Our inability to promptly obtain coverage and profitable payment rates from both government-funded and private payors for any approved drugs that we develop could have a material adverse effect on our operating results, our ability to raise capital needed to commercialize drugs and our overall financial condition.</w:t>
      </w:r>
    </w:p>
    <w:p>
      <w:pPr>
        <w:spacing w:after="0" w:line="172"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or discover other drug candidates and may fail to capitalize on programs or drug candidates that may present a greater commercial opportunity or for which there is a greater likelihood of success.</w:t>
      </w:r>
    </w:p>
    <w:p>
      <w:pPr>
        <w:spacing w:after="0" w:line="5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success of our business depends upon our ability to identify, develop and commercialize drug candidates. If we do not successfully develop and eventually commercialize products, we will face difficulty in obtaining product revenue in future periods, resulting in significant harm to our financial position and adversely affecting our share price. Research programs to identify new drug candidates require substantial technical, financial and human resources, and we may fail to identify potential drug candidates for numerous reasons.</w:t>
      </w:r>
    </w:p>
    <w:p>
      <w:pPr>
        <w:spacing w:after="0" w:line="72"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Additionally, because we have limited resources, we may forego or delay pursuit of opportunities with certain programs or drug candidates or for indications that later prove to have greater commercial potential. For example, we are currently focused on the development of our current drug candidates for hepatological indications, viral indications and, most recently, obesity. However, the advancement of these drug candidates may ultimately prove to be unsuccessful or less successful than another program in our pipeline that we might have chosen to pursue on a less aggressive basis. However, due to the significant resources required for the development of our drug candidates, we must focus on specific diseases and disease pathways and decide which drug candidates to pursue and the amount of resources to allocate to each. Our near-term objective is to demonstrate favorable profiles through clinical trials of our drug candidates pevifoscorvir sodium and ALG-170675. Our estimates regarding the potential market for our drug candidates could be inaccurate and our decisions concerning the allocation of research, development, collaboration, management and financial resources toward particular drug candidates or therapeutic areas may not lead to the development of any viable commercial product and may divert resources away from better opportunities. Similarly, any potential decision to delay or terminate development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2" w:name="page53"/>
    <w:bookmarkEnd w:id="52"/>
    <w:p>
      <w:pPr>
        <w:ind w:right="20"/>
        <w:spacing w:after="0" w:line="258" w:lineRule="auto"/>
        <w:rPr>
          <w:sz w:val="20"/>
          <w:szCs w:val="20"/>
          <w:color w:val="auto"/>
        </w:rPr>
      </w:pPr>
      <w:r>
        <w:rPr>
          <w:rFonts w:ascii="Times New Roman" w:cs="Times New Roman" w:eastAsia="Times New Roman" w:hAnsi="Times New Roman"/>
          <w:sz w:val="18"/>
          <w:szCs w:val="18"/>
          <w:color w:val="auto"/>
        </w:rPr>
        <w:t>of a drug candidate or program may subsequently also prove to be suboptimal and could cause us to miss valuable opportunities. Further, if we do not accurately evaluate the commercial potential for a particular drug candidate, we may relinquish valuable rights to that drug candidate through collaboration, licensing or other arrangements in cases in which it would have been more advantageous for us to retain sole development and commercialization rights to such drug candidate. Alternatively, we may allocate internal resources to a drug candidate in a therapeutic area in which it would have been more advantageous to enter into a partnering arrangement.</w:t>
      </w:r>
    </w:p>
    <w:p>
      <w:pPr>
        <w:spacing w:after="0" w:line="75"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If any of these events occur, we may be forced to abandon or delay our development efforts with respect to a particular drug candidate or we may fail to develop a potentially successful drug candidate or capitalize on profitable market opportunities, all of which could have a material adverse effect on our business, financial condition, results of operations and prospects.</w:t>
      </w:r>
    </w:p>
    <w:p>
      <w:pPr>
        <w:spacing w:after="0" w:line="172"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may seek and fail to obtain fast track or breakthrough therapy designations from the FDA, and similar designations from foreign agencies, for our current or future drug candidates or priority review designation for any marketing approval we may submit to the applicable agency. Even if we are successful, these programs may not lead to a faster development or regulatory review process, and they do not guarantee we will receive approval for any drug candidate. We may also seek to obtain accelerated approval for one or more of our drug candidates but the FDA or applicable foreign agency may disagree that we have met the requirements for such approval.</w:t>
      </w:r>
    </w:p>
    <w:p>
      <w:pPr>
        <w:spacing w:after="0" w:line="7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If a product is intended for the treatment of a serious or life-threatening condition and nonclinical or clinical data demonstrate the potential to address an unmet medical need for this condition, the product sponsor may apply for fast track designation. The FDA has broad discretion whether or not to grant this designation, so even if we believe a particular drug candidate is eligible for this designation, we cannot assure you that the FDA would decide to grant it. In April 2026, the FDA granted fast track designation for pevifoscorvir sodium for the treatment of chronic HBV infection. Despite receiving such fast track designation, we may not experience a faster development process, review or approval compared to conventional FDA procedures. The FDA may rescind the fast track designation if it believes that the designation is no longer supported by data from our clinical development program.</w:t>
      </w:r>
    </w:p>
    <w:p>
      <w:pPr>
        <w:spacing w:after="0" w:line="7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may also seek breakthrough therapy designation for any drug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Like fast track designation, breakthrough therapy designation is within the discretion of the FDA. Accordingly, even if we believe a drug candidate we develop meets the criteria for designation as a breakthrough therapy, the FDA may disagree and instead determine not to make such designation. In any event, the receipt of breakthrough therapy designation for a drug candidate may not result in a faster development process, review or approval compared to drugs considered for approval under conventional FDA procedures and does not assure ultimate approval by the FDA. In addition, even if a drug candidate we develop qualifies as a breakthrough therapy, the FDA may later decide that the drug no longer meets the conditions for qualification and rescind the designation.</w:t>
      </w:r>
    </w:p>
    <w:p>
      <w:pPr>
        <w:spacing w:after="0" w:line="80"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Drugs designated as fast track products or breakthrough therapies by the FDA are also eligible for priority review of any NDA submitted for such drug candidates, which could result in FDA action on the NDA in a shorter timeframe than under standard review. In order to grant priority review designation, the FDA must find that the product, if approved, would provide a significant improvement in the safety or effectiveness of the treatment, diagnosis or prevention of a serious disease or condition. However, priority review does not guarantee approval of the NDA and may not result in a shorter overall review timeline if the FDA has significant questions or additional requests as part of the NDA review.</w:t>
      </w:r>
    </w:p>
    <w:p>
      <w:pPr>
        <w:spacing w:after="0" w:line="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the FDA may grant accelerated approval to a product if the FDA determines that it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For example, this is currently the case with drugs for the treatment of MASH. As a condition of accelerated approval, the FDA will generally require the sponsor to perform adequate and well-controlled post-marketing clinical studies to verify and describe the anticipated effect on irreversible morbidity or mortality or other clinical benefit. If such confirmatory studies fail to confirm the drug’s clinical benefit or are not completed in a timely manner, the FDA may withdraw its approval of the drug on an expedited basis. In addition, in December 2022, President Biden signed an omnibus appropriations bill to fund the U.S. government through fiscal year 2023. Included in the omnibus bill is the Food and Drug Omnibus Reform Act of 2022, which among other things, provided the FDA with new statutory authority to mitigate potential risks to patients from continued marketing of ineffective drugs previously granted accelerated approval and additional oversight over confirmatory trials. Under these provisions, the FDA may, among other things, require a sponsor of a product seeking accelerated approval to have a confirmatory trial underway prior to such approval being granted.</w:t>
      </w:r>
    </w:p>
    <w:p>
      <w:pPr>
        <w:spacing w:after="0" w:line="8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addition, the FDA requires pre-approval of promotional materials for accelerated approval products, once approved. We cannot guarantee that the FDA will conclude that any of our drug candidates has met the criteria to receive accelerated approval, which would require us to conduct additional clinical testing prior to seeking FDA approval. Even if any of our drug candidates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3" w:name="page54"/>
    <w:bookmarkEnd w:id="53"/>
    <w:p>
      <w:pPr>
        <w:ind w:right="340"/>
        <w:spacing w:after="0" w:line="282" w:lineRule="auto"/>
        <w:rPr>
          <w:sz w:val="20"/>
          <w:szCs w:val="20"/>
          <w:color w:val="auto"/>
        </w:rPr>
      </w:pPr>
      <w:r>
        <w:rPr>
          <w:rFonts w:ascii="Times New Roman" w:cs="Times New Roman" w:eastAsia="Times New Roman" w:hAnsi="Times New Roman"/>
          <w:sz w:val="18"/>
          <w:szCs w:val="18"/>
          <w:color w:val="auto"/>
        </w:rPr>
        <w:t>received approval through this pathway, the product may fail required post-approval confirmatory clinical trials, and we may be required to remove the product from the market or amend the product label in a way that adversely impacts its marketing.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required to make significant payments under our license agreements, including those with Emory University and KU Leuven.</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entered into a License Agreement with Emory in June 2018 and an amendment signed in June 2020, and a Research, Licensing and Commercialization Agreement with KU Leuven in June 2020 and an amendment in July 2023. Under the Emory License Agreement and KU Leuven Agreement, we are subject to significant obligations, including milestone payments, royalty payments, and certain other agreed-to costs. For example, in August 2025, we made a $9.0 million payment to Emory University following the first subject dosed in our Phase 2 study of pevifoscorvir sodium. For more information regarding our license agreements, please see the section titled “Business—License agreements and collaborations” of our Annual Report on Form 10-K for the year ended December 31, 2025, previously filed with the SEC. As these payments become due, we may not have sufficient funds available to meet our obligations and our development efforts may be materially harmed. Furthermore, if we are forced to raise additional funds, we may be required to delay, limit, reduce or terminate our product development or future commercialization efforts, or grant rights to develop and market drug candidates that we would otherwise develop and market ourselves.</w:t>
      </w:r>
    </w:p>
    <w:p>
      <w:pPr>
        <w:spacing w:after="0" w:line="18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any approved products.</w:t>
      </w:r>
    </w:p>
    <w:p>
      <w:pPr>
        <w:spacing w:after="0" w:line="5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testing of drug candidates and will face an even greater risk if we commercialize any products. For example, we may be sued if any drug candidate we develop causes or is perceived to cause illness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any approved products. Even successful defense would require significant financial and management resources. Regardless of the merits or eventual outcome, liability claims may result in:</w:t>
      </w:r>
    </w:p>
    <w:p>
      <w:pPr>
        <w:spacing w:after="0" w:line="81"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approved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payments to trial participants or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exhaustion of any available insurance and our capital resources;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to our results of operations and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drug candidate;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share price.</w:t>
      </w:r>
    </w:p>
    <w:p>
      <w:pPr>
        <w:spacing w:after="0" w:line="221"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inability to obtain sufficient product liability insurance at an acceptable cost or at all to protect against potential product liability claims could prevent or inhibit the commercialization of products we develop, alone or with collaboration partners.</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Insurance coverage is increasingly expensive. We may not be able to maintain insurance, including product liability insurance at a reasonable cost or in an amount adequate to satisfy any liability that may arise, if at all. Our product liability insurance policy contains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current or future collaborators entitle us to indemnification against losses, such indemnification may not be available or adequate should any claim arise.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4" w:name="page55"/>
    <w:bookmarkEnd w:id="54"/>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healthcare reform legislation or regulation may increase the difficulty and cost for us to commercialize drug candidates for which we receive approval, may affect the prices we may obtain, and may have a material adverse effect on our business and results of operations.</w:t>
      </w:r>
    </w:p>
    <w:p>
      <w:pPr>
        <w:spacing w:after="0" w:line="5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In the United States, there have been and continue to be a number of legislative and regulatory initiatives and proposed initiatives to contain healthcare costs that could, among other things, affect our ability to profitably sell our products. Among policy makers and payors in the United States and elsewhere, there is significant interest in promoting changes in healthcare systems with the stated goals of containing healthcare costs, improving quality and/or expanding access. In the United States and elsewhere, the pharmaceutical industry has been a particular focus of these efforts and has been significantly affected by major legislative and regulatory initiatives. We expect that current laws, as well as other healthcare reform measures that may be adopted in the future, may result in more rigorous coverage criteria and in additional downward pressure on the price that we may receive for any drug candidates approved for sale. New and changing laws and regulations may also create uncertainty about how such laws and regulations will be interpreted and applied. If we are found to have violated laws and regulations, it could materially adversely affect our business, results of operations, and financial condition.</w:t>
      </w:r>
    </w:p>
    <w:p>
      <w:pPr>
        <w:spacing w:after="0" w:line="8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For example, the Affordable Care Act (the ACA) was enacted in 2010, which substantially changed the way healthcare is financed by both governmental and private insurers, and significantly impacted the U.S. pharmaceutical industry. Among the provisions of the ACA of importance to our business, are provisions related to our ability to commercialize and the prices we may obtain for any drug candidates that are approved for sale, an increase of the minimum Medicaid rebates owed by manufacturers under the Medicaid Drug Rebate Program, an extension of manufacturer rebate liability from fee-for-service Medicaid utilization to include the utilization of Medicaid managed care organizations, and the establishment of an annual, nondeductible fee on any entity that manufactures or imports specified branded prescription drugs.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Since its enactment, there have been judicial, executive and Congressional challenges to certain aspects of the ACA. On June 17, 2021,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Supreme Court dismissed a judicial challenge to the ACA brought by several states without specifically ruling on the constitutionality of the ACA.</w:t>
      </w:r>
    </w:p>
    <w:p>
      <w:pPr>
        <w:spacing w:after="0" w:line="9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Other legislative changes have been proposed and adopted in the United States since the ACA was enacted. The Budget Control Act of 2011, among other things, included aggregate reductions of Medicare payments to providers. These reductions went into effect on April 1, 2013 and, due to subsequent legislative amendments to the statute, will remain in effect through 2032, unless additional Congressional action is taken. The American Taxpayer Relief Act of 2012, enacted in 2013, among other things, further reduced Medicare payments to several types of providers. The American Rescue Plan Act of 2021 eliminated the statutory Medicaid drug rebate cap, beginning January 1, 2024. The rebate was previously capped at 100% of a drug’s average manufacturer price.</w:t>
      </w:r>
    </w:p>
    <w:p>
      <w:pPr>
        <w:spacing w:after="0" w:line="79"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The Inflation Reduction Act (the IRA), which was enacted in 2022, marks the most significant action by Congress with respect to the pharmaceutical industry since adoption of the ACA in 2010. Among other things, the IRA requires manufacturers of certain drugs to engage in price negotiations with Medicare, with prices that can be negotiated subject to a cap; imposes rebates under Medicare Part B and Medicare Part D to penalize price increases that outpace inflation (first due in 2023); redesigns the Medicare Part D benefit (beginning in 2024); and replaces the Part D coverage gap discount program with a new discounting program (which began in 2025). CMS has published the negotiated prices for the initial ten drugs, which went into effect in 2026, and the subsequent 15 drugs, which will first be effective in 2027. CMS has also published the next set of 15 drugs that will be subject to negotiation. The IRA permits the Secretary of the Department of Health and Human Services (HHS) to implement many of these provisions through guidance, as opposed to regulation, for the initial years. HHS has and will continue to issue and update guidance as these programs are implemented, although the drug price negotiation program is currently subject to legal challenges. The impact of the IRA on us and the pharmaceutical industry cannot yet be fully determined, but is likely to be significant.</w:t>
      </w:r>
    </w:p>
    <w:p>
      <w:pPr>
        <w:spacing w:after="0" w:line="86"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One Big Beautiful Bill Act (the OBBBA), which was enacted in July 2025, imposes significant reductions in the funding of the Medicaid program. Such reductions are expected to decrease the number of persons enrolled in Medicaid and reduce the services covered by Medicaid, which could adversely affect the sales of any drug candidate that we commercialize and negatively impact the pharmaceutical industry in general.</w:t>
      </w:r>
    </w:p>
    <w:p>
      <w:pPr>
        <w:spacing w:after="0" w:line="68"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Trump administration is pursuing a two-fold strategy to reduce drug costs in the United States. These Trump policies are likely to have a negative impact on the pharmaceutical industry and on our ability to receive adequate revenues for any drug candidate that we commercialize, and even regulatory proposals or executive actions that are ultimately deemed unlawful could negatively impact the U.S. pharmaceutical sector and our business. On the one hand, President Trump threatened to impose significant tariffs on pharmaceutical manufacturers that do not adopt pricing policies such as most favored nation pricing, which would tie the price for drugs in the United States to the lowest price in a group of other countries. In response, multiple major manufacturers entered into confidential pricing agreements with the federal government. Subsequently, in April 2026, the Trump administration issued a proclamation imposing tariffs under Section 232 of the Trade Expansion Act on imports of brand pharmaceuticals, biologics and associated pharmaceutical ingredients, beginning July 31, 2026. Exempted from these tariffs, among others, are companies that have executed or are negotiating agreements with the federal government regarding most favored nation pricing and onshoring of production and research and development. On the other hand, the Trump administration is pursuing traditional regulatory pathways to</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55" w:name="page56"/>
    <w:bookmarkEnd w:id="55"/>
    <w:p>
      <w:pPr>
        <w:ind w:right="160"/>
        <w:spacing w:after="0" w:line="256" w:lineRule="auto"/>
        <w:rPr>
          <w:sz w:val="20"/>
          <w:szCs w:val="20"/>
          <w:color w:val="auto"/>
        </w:rPr>
      </w:pPr>
      <w:r>
        <w:rPr>
          <w:rFonts w:ascii="Times New Roman" w:cs="Times New Roman" w:eastAsia="Times New Roman" w:hAnsi="Times New Roman"/>
          <w:sz w:val="18"/>
          <w:szCs w:val="18"/>
          <w:color w:val="auto"/>
        </w:rPr>
        <w:t>impose drug pricing policies and published two proposed regulations in December 2025, referred to as Globe and Guard. The final Globe regulation was published in September 2026 and implements a mandatory payment model under which manufacturers of eligible drugs will be required to pay rebates to the federal government on a portion of the units of their drugs that are reimbursed by Medicare, with the rebate amount based on most favored nation pricing. Imposing a rebate in the U.S. that is based on drug prices outside the U.S. would mark a drastic and unprecedented shift in the U.S. pharmaceutical market, and while the impact of the final Globe and proposed Guard regulations, if finalized, cannot yet be determined, it is likely to be significant.</w:t>
      </w:r>
    </w:p>
    <w:p>
      <w:pPr>
        <w:spacing w:after="0" w:line="79"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There has been and continues to be increasing legislative and enforcement interest in the United States with respect to specialty drug pricing practices. Specifically, there have been several recent U.S. Congressional inquiries and proposed and enacted federal and state legislation and regulation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7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Some U.S. states have enacted legislation creating so-called prescription drug affordability boards, and to date one state has used its prescription drug affordability board to impose an upper payment limit, although that upper payment limit is the subject of litigation. Some states are also seeking to implement general, across the board price caps for pharmaceuticals, or are seeking to regulate drug distribution. Some measures are designed to encourage importation from other countries. These types of initiatives may result in additional reductions in Medicare, Medicaid, and other healthcare funding, and may otherwise affect the prices we may obtain or the frequency with which any drug candidate that we commercialize is prescribed or used.</w:t>
      </w:r>
    </w:p>
    <w:p>
      <w:pPr>
        <w:spacing w:after="0" w:line="75"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We expect that additional state and federal healthcare reform measures will be adopted in the future, any of which could limit prices we are able to charge for any drug candidate we develop, or could reduce the amounts that federal and state governments will pay for healthcare products and services, which could result in additional pricing pressure or reduced demand for any drug candidate we develop.</w:t>
      </w:r>
    </w:p>
    <w:p>
      <w:pPr>
        <w:spacing w:after="0" w:line="172"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actual or perceived failure to comply with current or future federal, state and foreign laws and regulations and industry standards relating to data privacy and protection laws could lead to government investigations and enforcement actions, which could result in civil or criminal penalties, private litigation, and/or adverse publicity and could negatively affect our operating results, financial condition and business.</w:t>
      </w:r>
    </w:p>
    <w:p>
      <w:pPr>
        <w:spacing w:after="0" w:line="67" w:lineRule="exact"/>
        <w:rPr>
          <w:sz w:val="20"/>
          <w:szCs w:val="20"/>
          <w:color w:val="auto"/>
        </w:rPr>
      </w:pPr>
    </w:p>
    <w:p>
      <w:pPr>
        <w:ind w:firstLine="509"/>
        <w:spacing w:after="0" w:line="269" w:lineRule="auto"/>
        <w:rPr>
          <w:sz w:val="20"/>
          <w:szCs w:val="20"/>
          <w:color w:val="auto"/>
        </w:rPr>
      </w:pPr>
      <w:r>
        <w:rPr>
          <w:rFonts w:ascii="Times New Roman" w:cs="Times New Roman" w:eastAsia="Times New Roman" w:hAnsi="Times New Roman"/>
          <w:sz w:val="17"/>
          <w:szCs w:val="17"/>
          <w:color w:val="auto"/>
        </w:rPr>
        <w:t>The global data protection landscape is rapidly evolving, and we and our partners may be subject to federal, state and foreign data privacy and security laws and regulations governing the collection, use, disclosure, retention, and security of personal information, such as information that we may collect in connection with clinical trials in the United States, Europe and elsewhere. Any actual or alleged failure by us or our third-party vendors, collaborators, contractors and consultants to comply with any of these laws and regulations could result in, among other things, notification obligations, government investigations or enforcement actions against us, which could result in fines and penalties, claims for damages by affected individuals and third parties, damage to our reputation and loss of goodwill, any of which could have a material adverse effect on our business, financial condition, results of operations or prospects. These laws, rules and regulations evolve frequently and their scope may continually change, through new legislation, amendments to existing legislation and changes in enforcement practices, and may be inconsistent from one jurisdiction to another. The interpretation and application of health information-related and data protection laws in the United States, the EU and elsewhere, are often uncertain, contradictory and in flux. As a result, implementation standards and enforcement practices are likely to remain uncertain for the foreseeable future. As our operations and business grow, we may become subject to or affected by new or additional data protection laws and regulations and face increased scrutiny or attention from regulatory authorities.</w:t>
      </w:r>
    </w:p>
    <w:p>
      <w:pPr>
        <w:spacing w:after="0" w:line="74"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which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the Health Insurance Portability and Accountability Act of 1996 as amended by the Health Information Technology for Economic and Clinical Health Act of 2009, and regulations implemented (collectively, HIPAA). Depending on the facts and circumstances, we could be subject to criminal penalties if we knowingly obtain, use, or disclose individually identifiable health information provided to us by a HIPAA covered entity in a manner that is not authorized or permitted by HIPAA.</w:t>
      </w:r>
    </w:p>
    <w:p>
      <w:pPr>
        <w:spacing w:after="0" w:line="8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Many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Further, we may also be subject to other state laws governing the privacy, processing and protection of personal information. For example, the California Consumer Privacy Act as amended by the California Privacy Rights Act (collectively, CCPA) requires certain businesses that process personal information of California residents to, among other things: provide certain disclosures to California residents regarding the business’s collection, use, and disclosure of their personal information; receive and respond to requests from California residents to access, delete, and correct their personal information, or to opt-out of certain disclosures of their personal information; and enter into specific</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56" w:name="page57"/>
    <w:bookmarkEnd w:id="56"/>
    <w:p>
      <w:pPr>
        <w:ind w:right="100"/>
        <w:spacing w:after="0" w:line="256" w:lineRule="auto"/>
        <w:rPr>
          <w:sz w:val="20"/>
          <w:szCs w:val="20"/>
          <w:color w:val="auto"/>
        </w:rPr>
      </w:pPr>
      <w:r>
        <w:rPr>
          <w:rFonts w:ascii="Times New Roman" w:cs="Times New Roman" w:eastAsia="Times New Roman" w:hAnsi="Times New Roman"/>
          <w:sz w:val="18"/>
          <w:szCs w:val="18"/>
          <w:color w:val="auto"/>
        </w:rPr>
        <w:t>contractual provisions with service providers that process California resident personal information on the business’s behalf. It has also created a California data protection agency authorized to issue substantive regulations and additional compliance investment and potential business process changes may be required. Similar laws have passed in other states, and are continuing to be proposed at the state and federal level, reflecting a trend toward more stringent privacy legislation in the United States. These laws could have potentially conflicting requirements that would make compliance challenging. In the event that we are subject to or affected by HIPAA, the CCPA, or other domestic privacy and data protection laws, any liability from failure to comply with the requirements of these laws could adversely affect our financial condition.</w:t>
      </w:r>
    </w:p>
    <w:p>
      <w:pPr>
        <w:spacing w:after="0" w:line="7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currently operate in countries outside of the United States, including Belgium and other parts of Europe, Australia and parts of Asia, where laws may in some cases be more stringent than the requirements in the United States. For example, in Europe, we are subject to the European Union General Data Protection Regulation (EU GDPR) and to the United Kingdom General Data Protection Regulation and Data Protection Act 2018 (collectively, the UK GDPR) (the EU GDPR and UK GDPR together referred to as the GDPR). The GDPR imposes strict requirements for the processing of the personal data of individuals within the European Economic Area (EEA) or United Kingdom (UK) in the context of our activities within the EEA or UK. The GDPR applies enhanced protections to health or sensitive personal data and other special categories of personal data, including some of the personal data we process in respect of clinical trial participants which may be subject to additional compliance obligations and to local law derogations. The GDPR also imposes additional obligations when we contract with third-party processors in connection with the processing of any personal data. Failure to comply with the requirements of the GDPR could result in fines of up to €20 million / £17.5 million or 4% of the total worldwide annual turnover of our preceding fiscal year, whichever is higher. In addition to fines, a breach of the GDPR may result in regulatory investigations, reputational damage, orders to cease/ change our data processing activities, enforcement notices, assessment notices (for a compulsory audit), civil claims (including class actions) and/or other administrative penalties.</w:t>
      </w:r>
    </w:p>
    <w:p>
      <w:pPr>
        <w:spacing w:after="0" w:line="8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Among other requirements, the GDPR regulates the transfer of personal data to third countries outside of the EEA or UK, such as the United States, which are not considered by the European Commission or UK government to provide an adequate level of personal data protection, and the efficacy and longevity of current transfer mechanisms between the EEA, and the United States remains uncertain. We currently rely on approved data transfer mechanisms that may include the EU standard contractual clauses (SCCs), the UK Addendum to the SCCs, the UK International Data Transfer Agreement and the new EU-U.S. Data Privacy Framework (DPF) to transfer personal data outside the EEA and the UK, including to the United States, with respect to both intragroup and third party transfers. We expect the existing legal complexity and uncertainty regarding international personal data transfers to continue and international transfers to the United States and to other jurisdictions more generally to continue to be subject to enhanced scrutiny by regulators. As supervisory authorities issue further guidance on personal data export mechanisms, including circumstances where the SCCs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operate our business, the geographical location or segregation of our relevant systems and operations, and could adversely affect our financial results.</w:t>
      </w:r>
    </w:p>
    <w:p>
      <w:pPr>
        <w:spacing w:after="0" w:line="84"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 addition, we use artificial intelligence, including machine learning, and automated decision-making, technologies (collectively, AI Technologies) in our business. The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AI Technologies. As a result, implementation standards and enforcement practices are likely to remain uncertain for the foreseeable future, and we cannot yet determine the impact future laws, regulations, standards, or market perception of their requirements may have on our business and may not always be able to anticipate how to respond to these laws or regulations.</w:t>
      </w:r>
    </w:p>
    <w:p>
      <w:pPr>
        <w:spacing w:after="0" w:line="7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It is possible that new laws and regulations will be adopted in the United States and in other non-U.S. jurisdictions, or that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our products, services, and business and the way in which we use AI Technologies. We may need to expend resources to adjust our products or services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adversely affect our business, financial condition and results of operations.</w:t>
      </w:r>
    </w:p>
    <w:p>
      <w:pPr>
        <w:spacing w:after="0" w:line="84"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Further, in 2024, the National Security Division of the U.S. Department of Justice (DOJ) issued a rule—referred to as the “Data Security Program” (DSP)—to implement Executive Order 14117 aimed at preventing access to “bulk U.S. sensitive personal data” and “government-related data” by “countries of concern” (including China, Russia, Iran, North Korea, Cuba, and Venezuela) and “covered persons” (as all such terms are defined in the DSP). Effective as of April 8, 2025, and fully enforceable as of July 9, 2025, the DSP imposes stringent obligations on companies within its scope and prohibits or restricts “covered data transactions” that grant countries of concern or covered persons access to bulk U.S. sensitive personal data or any amount of government-related data. Compliance with the DSP may require us to invest heavily in data security and compliance measures, such as implementing and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7" w:name="page58"/>
    <w:bookmarkEnd w:id="57"/>
    <w:p>
      <w:pPr>
        <w:spacing w:after="0" w:line="258" w:lineRule="auto"/>
        <w:rPr>
          <w:sz w:val="20"/>
          <w:szCs w:val="20"/>
          <w:color w:val="auto"/>
        </w:rPr>
      </w:pPr>
      <w:r>
        <w:rPr>
          <w:rFonts w:ascii="Times New Roman" w:cs="Times New Roman" w:eastAsia="Times New Roman" w:hAnsi="Times New Roman"/>
          <w:sz w:val="18"/>
          <w:szCs w:val="18"/>
          <w:color w:val="auto"/>
        </w:rPr>
        <w:t>complying with the Cybersecurity and Infrastructure Security Agency’s guidelines and other burdensome recordkeeping, reporting, and auditing requirements. It may also require us to implement new processes, stop or restrict certain data transfers, alter the geographic scope of our operations, cease doing business with certain third parties or using certain tools or vendors, or change how data flows throughout our business, any of which could materially impact our business operations or hinder our ability to grow our business. Finally, non-compliance with the DSP could result in significant civil or criminal penalties, which could materially adversely affect our business, results of operations, and financial condition.</w:t>
      </w:r>
    </w:p>
    <w:p>
      <w:pPr>
        <w:spacing w:after="0" w:line="75"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Compliance with U.S. and foreign privacy and security laws, rules and regulations could require us to take on more onerous obligations in our contracts, require us to engage in costly compliance exercises, restrict our ability to collect, use and disclose data, or in some cases, impact our or our partners’ ability to operate in certain jurisdictions. Each of these evolving laws can be subject to varying interpretations. Any actual or alleged failure by us or our employees, representatives, contractors, consultants, collaborators, or other third parties to comply with U.S. and foreign data protection laws and regulations could result in government investigations and enforcement actions (which could include civil or criminal penalties), fines and penalties, private litigation, and/or adverse publicity and could negatively affect our financial condition, operating results and business.</w:t>
      </w:r>
    </w:p>
    <w:p>
      <w:pPr>
        <w:spacing w:after="0" w:line="183"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may suffer in the event that our information technology systems, or those used by our CROs or other contractors or consultants, fail or suffer security breaches.</w:t>
      </w:r>
    </w:p>
    <w:p>
      <w:pPr>
        <w:spacing w:after="0" w:line="51" w:lineRule="exact"/>
        <w:rPr>
          <w:sz w:val="20"/>
          <w:szCs w:val="20"/>
          <w:color w:val="auto"/>
        </w:rPr>
      </w:pPr>
    </w:p>
    <w:p>
      <w:pPr>
        <w:ind w:right="220" w:firstLine="509"/>
        <w:spacing w:after="0" w:line="253" w:lineRule="auto"/>
        <w:rPr>
          <w:sz w:val="20"/>
          <w:szCs w:val="20"/>
          <w:color w:val="auto"/>
        </w:rPr>
      </w:pPr>
      <w:r>
        <w:rPr>
          <w:rFonts w:ascii="Times New Roman" w:cs="Times New Roman" w:eastAsia="Times New Roman" w:hAnsi="Times New Roman"/>
          <w:sz w:val="18"/>
          <w:szCs w:val="18"/>
          <w:color w:val="auto"/>
        </w:rPr>
        <w:t>We collect and maintain information in digital form that is necessary to conduct our business, and we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and the personal information of our employees, clinical trial subjects, and contractors. Despite the implementation of security measures, our information technology systems and those of our CROs and other contractors and consultants are vulnerable to attack, damage and interruption through diverse threat vectors, including natural disasters, terrorism, war, telecommunication and electrical failures, cyber-attacks, computer hacks, employee theft or misuse, fraud, viruses and malware (e.g., ransomware), malicious software, phishing and other social engineering schemes, human error, denial or degradation-of-service attacks, sophisticated nation-state and nation-state-supported actors, and other unauthorized access and security breaches that could jeopardize the availability, confidentiality, integrity, and/or performance of our software, information technology systems, and data, and could expose us to legal, financial and reputational harm. There can be no assurance that our cybersecurity risk management program and processes, including our policies, controls or procedures, will be fully implemented, complied with or effective in protecting our systems and information.</w:t>
      </w:r>
    </w:p>
    <w:p>
      <w:pPr>
        <w:spacing w:after="0" w:line="8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Attacks upon information technology systems are increasing in their frequency, levels of persistence, sophistication and intensity, and are being conducted by sophisticated and organized groups and individuals with a wide range of motives and expertise. The risk is increased by recent advancements in artificial intelligence, which can be used by bad actors for harmful purposes. As such, any integration of artificial intelligence in our or any third party’s operations, products or services is expected to pose new or unknown cybersecurity risks and challenges. We may also face increased cybersecurity risks due to our reliance on internet technology and the number of our employees who continue to work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 including artificial intelligence - that are designed to circumvent controls, to avoid detection, and to remove or obfuscate forensic evidence.</w:t>
      </w:r>
    </w:p>
    <w:p>
      <w:pPr>
        <w:spacing w:after="0" w:line="86"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and certain of our service providers are from time to time subject to cyberattacks and security incidents. While we have not to our knowledge experienced any significant system failure or security breach to date, if such an event were to occur and cause interruptions in our operations, it could result in a material disruption of our development programs and our business operations, whether due to a loss, corruption or unauthorized disclosure of our trade secrets, personal information or other proprietary or sensitive information or other similar disruptions. For example, the loss of clinical trial data from completed or future clinical trials could result in delays in our marketing approval efforts and significantly increase our costs to recover or reproduce the data. Likewise, we rely on third parties for the manufacture of our drug candidates and to conduct clinical trials, and similar events relating to their information technology systems could also have a material adverse effect on our business. To the extent that any disruption or security breach were to result in a loss of, or damage to, our data or applications, or inappropriate disclosure of confidential or proprietary information, we could be subject to enforcement actions and investigations by regulatory authorities, and potentially result in regulatory penalties, litigation (such as class actions), fines and significant liability and the development and commercialization of our future drug candidates could be delayed. Further, if we or our third-party vendors were to experience a significant cybersecurity breach of our or their information systems or data, the costs associated with the investigation, remediation and potential notification of the breach to counter-parties and data subjects could be material. In addition, our remediation efforts may not be successful. Further, our insurance coverage may not be sufficient to cover the financial, legal, business or reputational losses that may result from an interruption or breach of our systems.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Risks related to reliance on third parties</w:t>
      </w:r>
    </w:p>
    <w:p>
      <w:pPr>
        <w:spacing w:after="0" w:line="117"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collaborations with third parties for the development of certain of our potential drug candidates, and we may depend on additional collaborations in the future for the development and commercialization of these or other potential candidates. If our collaborations are not successful, we may not be able to capitalize on the market potential of these drug candidates.</w:t>
      </w:r>
    </w:p>
    <w:p>
      <w:pPr>
        <w:spacing w:after="0" w:line="67" w:lineRule="exact"/>
        <w:rPr>
          <w:sz w:val="20"/>
          <w:szCs w:val="20"/>
          <w:color w:val="auto"/>
        </w:rPr>
      </w:pPr>
    </w:p>
    <w:p>
      <w:pPr>
        <w:ind w:right="260" w:firstLine="509"/>
        <w:spacing w:after="0" w:line="281" w:lineRule="auto"/>
        <w:rPr>
          <w:sz w:val="20"/>
          <w:szCs w:val="20"/>
          <w:color w:val="auto"/>
        </w:rPr>
      </w:pPr>
      <w:r>
        <w:rPr>
          <w:rFonts w:ascii="Times New Roman" w:cs="Times New Roman" w:eastAsia="Times New Roman" w:hAnsi="Times New Roman"/>
          <w:sz w:val="17"/>
          <w:szCs w:val="17"/>
          <w:color w:val="auto"/>
        </w:rPr>
        <w:t>We are currently collaborating with third parties to develop certain of our potential drug candidates. In the future, we may form or seek strategic alliances, joint ventures, or collaborations, or enter into additional licensing arrangements with third parties that we believe will complement or augment our development and commercialization efforts with respect to drug candidates we develop. For example, in May 2026 we entered into a License Agreement with Amoytop granting them rights to manufacture, develop and commercialize pevifoscorvir sodium for certain uses in certain territories.</w:t>
      </w:r>
    </w:p>
    <w:p>
      <w:pPr>
        <w:spacing w:after="0" w:line="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Collaborations involving our current and future drug candidates may pose the following risks to us:</w:t>
      </w:r>
    </w:p>
    <w:p>
      <w:pPr>
        <w:spacing w:after="0" w:line="117" w:lineRule="exact"/>
        <w:rPr>
          <w:sz w:val="20"/>
          <w:szCs w:val="20"/>
          <w:color w:val="auto"/>
        </w:rPr>
      </w:pPr>
    </w:p>
    <w:p>
      <w:pPr>
        <w:ind w:left="1020" w:right="36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 and in some cases, may have the right to terminate the collaboration without cause;</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abandon a drug candidate, repeat or conduct new clinical trials or require a new formulation of a drug candidate for clinical testing;</w:t>
      </w:r>
    </w:p>
    <w:p>
      <w:pPr>
        <w:spacing w:after="0" w:line="5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products (if any) or drug candidates;</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manufacturing and distribution rights to one or more products may not commit sufficient resources to or may otherwise not perform satisfactorily in carrying out these activities;</w:t>
      </w:r>
    </w:p>
    <w:p>
      <w:pPr>
        <w:spacing w:after="0" w:line="53"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prosecute, maintain, enforce or defend our intellectual property rights or may use our proprietary information in a way that gives rise to actual or threatened litigation that could jeopardize or invalidate our intellectual property or proprietary information or expose us to potential litigation, or other intellectual property proceedings;</w:t>
      </w:r>
    </w:p>
    <w:p>
      <w:pPr>
        <w:spacing w:after="0" w:line="6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own or co-own intellectual property covering products that result from our collaboration with them, and in such cases, we may not have the exclusive right to develop, license or commercialize such intellectual property;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with respect to ownership of any intellectual property developed pursuant to our collaborations;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312" w:lineRule="auto"/>
        <w:tabs>
          <w:tab w:leader="none" w:pos="10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disputes may arise between a collaborator or strategic partner and us that cause the delay or termination of the research, development or commercialization of the drug candidate, or that result in costly litigation or arbitration that diverts management attention and resources; and</w:t>
      </w:r>
    </w:p>
    <w:p>
      <w:pPr>
        <w:spacing w:after="0" w:line="31" w:lineRule="exact"/>
        <w:rPr>
          <w:rFonts w:ascii="Times New Roman" w:cs="Times New Roman" w:eastAsia="Times New Roman" w:hAnsi="Times New Roman"/>
          <w:sz w:val="17"/>
          <w:szCs w:val="17"/>
          <w:color w:val="auto"/>
        </w:rPr>
      </w:pPr>
    </w:p>
    <w:p>
      <w:pPr>
        <w:ind w:left="1020" w:right="18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current or future collaborator of ours were to be involved in a business combination, the continued pursuit and emphasis on our product development or commercialization program under such collaboration could be delayed, diminished or terminated.</w:t>
      </w:r>
    </w:p>
    <w:p>
      <w:pPr>
        <w:spacing w:after="0" w:line="5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As a result, if we enter into additional collaboration agreements and strategic partnerships or license our intellectual property, products or businesses, we may not be able to realize the benefit of such transactions if we are unable to successfully integrate them with our existing operations, which could delay our timelines or otherwise adversely affect our business. We also cannot be certain that, following a strategic transaction or license, we will achieve the revenue or specific net income that justifies such transaction. Any delays in entering into new collaborations or strategic partnership agreements related to any drug candidate we develop could delay the development and commercialization of our drug candidates, which would harm our business prospects, financial condition, and results of operations.</w:t>
      </w:r>
    </w:p>
    <w:p>
      <w:pPr>
        <w:spacing w:after="0" w:line="183"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5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advancement of our drug candidates and development programs and the potential commercialization of our current and future drug candidates will require substantial additional cash to fund expenses. For some of our programs, we may decide to collaborate with other pharmaceutical and biotechnology companies with respect to development and potential commercialization. Any of these relationships may require us to incur non-recurring and other charges, increase our near- and long-term expenditures, issue securities that dilute our existing stockholders, divert our management’s attention and disrupt our business.</w:t>
      </w:r>
    </w:p>
    <w:p>
      <w:pPr>
        <w:spacing w:after="0" w:line="75"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We face significant competition in seeking appropriate strategic partners and the negotiation process is time-consuming and complex. Whether we reach a definitive agreement for any other collaborations will depend, among other things, upon our assessment of the collaborator’s resources and expertise, the terms and conditions of the proposed collaboration and the proposed collaborator’s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59" w:name="page60"/>
    <w:bookmarkEnd w:id="59"/>
    <w:p>
      <w:pPr>
        <w:ind w:right="20"/>
        <w:spacing w:after="0" w:line="254" w:lineRule="auto"/>
        <w:rPr>
          <w:sz w:val="20"/>
          <w:szCs w:val="20"/>
          <w:color w:val="auto"/>
        </w:rPr>
      </w:pPr>
      <w:r>
        <w:rPr>
          <w:rFonts w:ascii="Times New Roman" w:cs="Times New Roman" w:eastAsia="Times New Roman" w:hAnsi="Times New Roman"/>
          <w:sz w:val="18"/>
          <w:szCs w:val="18"/>
          <w:color w:val="auto"/>
        </w:rPr>
        <w:t>evaluation of a number of factors. Those factors may include the design or results of clinical trials, the progress of our clinical trials, the likelihood of approval by the FDA or similar regulatory authorities outside the United States, the potential market for the subject drug candidate, the costs and complexities of manufacturing and delivering such drug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drug candidates or technologies for similar indications that may be available to collaborate on and whether such a collaboration could be more attractive than the one with us for our drug candidate. Further, we may not be successful in our efforts to establish a strategic partnership or other alternative arrangements for our drug candidates because they may be deemed to be at too early of a stage of development for collaborative efforts and third parties may not view them as having the requisite potential to demonstrate safety and efficacy.</w:t>
      </w:r>
    </w:p>
    <w:p>
      <w:pPr>
        <w:spacing w:after="0" w:line="84" w:lineRule="exact"/>
        <w:rPr>
          <w:sz w:val="20"/>
          <w:szCs w:val="20"/>
          <w:color w:val="auto"/>
        </w:rPr>
      </w:pPr>
    </w:p>
    <w:p>
      <w:pPr>
        <w:ind w:right="840" w:firstLine="509"/>
        <w:spacing w:after="0" w:line="282" w:lineRule="auto"/>
        <w:rPr>
          <w:sz w:val="20"/>
          <w:szCs w:val="20"/>
          <w:color w:val="auto"/>
        </w:rPr>
      </w:pPr>
      <w:r>
        <w:rPr>
          <w:rFonts w:ascii="Times New Roman" w:cs="Times New Roman" w:eastAsia="Times New Roman" w:hAnsi="Times New Roman"/>
          <w:sz w:val="18"/>
          <w:szCs w:val="18"/>
          <w:color w:val="auto"/>
        </w:rPr>
        <w:t>We may also be restricted under future collaboration agreements from entering into additional agreements on certain terms with potential collaborators.</w:t>
      </w:r>
    </w:p>
    <w:p>
      <w:pPr>
        <w:spacing w:after="0" w:line="54"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In addition, there have been a significant number of recent business combinations among large pharmaceutical companies that have resulted in a reduced number of potential future collaborators.</w:t>
      </w:r>
    </w:p>
    <w:p>
      <w:pPr>
        <w:spacing w:after="0" w:line="54"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may not be able to negotiate collaborations on a timely basis, on acceptable terms, or at all. If we are unable to do so, we may have to curtail the development of the drug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product revenue.</w:t>
      </w:r>
    </w:p>
    <w:p>
      <w:pPr>
        <w:spacing w:after="0" w:line="183"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conflicts arise between us and our collaborators or strategic partners, these parties may act in a manner adverse to us and could limit our ability to implement our strategies.</w:t>
      </w:r>
    </w:p>
    <w:p>
      <w:pPr>
        <w:spacing w:after="0" w:line="51"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If conflicts arise between our collaborators or strategic partners and us, the other party may act in a manner adverse to us and could limit our ability to implement our strategies. Current or future collaborators or strategic partners may develop, either alone or with others, products in related fields that are competitive with the products or potential products that are the subject of these collaborations.</w:t>
      </w:r>
    </w:p>
    <w:p>
      <w:pPr>
        <w:spacing w:after="0" w:line="68"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Our current or future collaborators or strategic partners may preclude us from entering into collaborations with their competitors, fail to obtain timely regulatory approvals, terminate their agreements with us prematurely, or fail to devote sufficient resources to the development and commercialization of products. Such collaborators could breach their agreements with us, or claim that we are in breach of our obligations. Furthermore, competing products, either developed by our current or future collaborators or strategic partners or to which our collaborators or strategic partners may have rights, may result in the withdrawal of partner support for our drug candidates. Any of these developments could harm our product development efforts.</w:t>
      </w:r>
    </w:p>
    <w:p>
      <w:pPr>
        <w:spacing w:after="0" w:line="183"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ongoing and planned clinical trials and certain of our nonclinical studies for drug candidates we develop. If these third parties do not successfully carry out their contractual duties, comply with regulatory requirements or meet expected deadlines, we may not be able to obtain marketing approval for or commercialize the drug candidates we are developing and our business could be substantially harmed.</w:t>
      </w:r>
    </w:p>
    <w:p>
      <w:pPr>
        <w:spacing w:after="0" w:line="67"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We do not have the ability to independently conduct certain nonclinical studies and clinical trials. We rely on medical institutions, clinical investigators, contract laboratories, and other third parties, such as CROs, to conduct or otherwise support certain nonclinical studies and clinical trials for our drug candidates, including pevifoscorvir sodium, and we control only certain aspects of their activities. Nevertheless, we are responsible for ensuring that each of our nonclinical studies and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nonclinical studies or clinical trials, we could be subject to untitled and warning letters or enforcement action that may include civil penalties up to and including criminal prosecution.</w:t>
      </w:r>
    </w:p>
    <w:p>
      <w:pPr>
        <w:spacing w:after="0" w:line="8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and our CROs are required to comply with regulations and requirements, including GLP and GCP, for conducting, monitoring, recording and reporting the results of nonclinical studies and clinical trials, respectively,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EEA and comparable foreign regulatory authorities for any drugs in clinical development. The FDA enforces GLP and GCP requirements through periodic inspections of laboratories conducting studies, clinical trial sponsors, principal investigators and trial sites. If we or our CROs fail to comply with applicable GLP or GCP, the data generated in our nonclinical studies or clinical trials may be deemed unreliable and the FDA or comparable foreign regulatory authorities may require us to perform additional nonclinical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0" w:name="page61"/>
    <w:bookmarkEnd w:id="60"/>
    <w:p>
      <w:pPr>
        <w:ind w:right="120"/>
        <w:spacing w:after="0" w:line="255" w:lineRule="auto"/>
        <w:rPr>
          <w:sz w:val="20"/>
          <w:szCs w:val="20"/>
          <w:color w:val="auto"/>
        </w:rPr>
      </w:pPr>
      <w:r>
        <w:rPr>
          <w:rFonts w:ascii="Times New Roman" w:cs="Times New Roman" w:eastAsia="Times New Roman" w:hAnsi="Times New Roman"/>
          <w:sz w:val="18"/>
          <w:szCs w:val="18"/>
          <w:color w:val="auto"/>
        </w:rPr>
        <w:t>studies before allowing us to proceed with clinical trials or additional clinical trials before approving our marketing applications. We cannot assure you that, upon inspection, the FDA will determine that any of our future nonclinical studies or clinical trials will comply with GLP or GCP, as applicable. In addition, our nonclinical studies and clinical trials must be conducted with drug candidates produced under cGMP regulations. Our failure or the failure of our CROs to comply with these regulations may require us to delay or repeat nonclinical studies or clinical trials, which would delay the marketing approval process and could also subject us to enforcement action. We also are required to register certain ongoing clinical trials and provide certain information, including information relating to the trial’s protocol, on a government-sponsored database, ClinicalTrials.gov, within specific timeframes. Failure to do so can result in fines, adverse publicity and civil and criminal sanctions.</w:t>
      </w:r>
    </w:p>
    <w:p>
      <w:pPr>
        <w:spacing w:after="0" w:line="8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Although we intend to design the nonclinical studies and clinical trials for our drug candidates, CROs conduct all of the clinical trials and certain nonclinical studies. As a result, many important aspects of our nonclinical and clinical development, including their conduct and timing, will be outside of our direct control. Our reliance on third parties to conduct future nonclinical studies and clinical trials will also result in less direct control over the management of data developed through nonclinical studies or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79" w:lineRule="exact"/>
        <w:rPr>
          <w:sz w:val="20"/>
          <w:szCs w:val="20"/>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staffing difficulties;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contractual obligations;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regulatory compliance issues;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 changes in priorities;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 financially distressed;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relationships with other entities, some of which may be our competitors.</w:t>
      </w:r>
    </w:p>
    <w:p>
      <w:pPr>
        <w:spacing w:after="0" w:line="117"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These factors may materially adversely affect the willingness or ability of third parties to conduct our nonclinical studies or clinical trials and may subject us to unexpected cost increases and/or delays that are beyond our control. If the CROs do not perform nonclinical studies or clinical trials in a satisfactory manner, breach their obligations to us or fail to comply with regulatory requirements, the development, marketing approval and commercialization of our drug candidates may be delayed, we may not be able to obtain marketing approval and commercialize our drug candidates, or our development program may be materially and irreversibly harmed. If we are unable to rely on nonclinical or clinical data collected by our CROs, we could be required to repeat, extend the duration of, or increase the size of any nonclinical studies or clinical trials we conduct and this could significantly delay commercialization and require significantly greater expenditures.</w:t>
      </w:r>
    </w:p>
    <w:p>
      <w:pPr>
        <w:spacing w:after="0" w:line="8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If any of our relationships with these third-party CROs terminate, we may not be able to enter into arrangements with alternative CROs on commercially reasonable terms, or at all. If CROs do not successfully carry out their contractual duties or obligations or meet expected deadlines, if they need to be replaced, or if the quality or accuracy of the nonclinical or clinical data they obtain are compromised due to the failure to adhere to our protocols, regulatory requirements or for other reasons, any nonclinical studies or clinical trials such CROs are associated with may be extended, delayed or terminated, and we may not be able to obtain marketing approval for or successfully commercialize our drug candidates. As a result, we believe that our financial results and the commercial prospects for our drug candidates in the subject indication would be harmed, our costs would increase and our ability to generate revenue would be delayed.</w:t>
      </w:r>
    </w:p>
    <w:p>
      <w:pPr>
        <w:spacing w:after="0" w:line="18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manufacture nonclinical and clinical drug supplies, and we intend to rely on third parties to produce commercial supplies of any approved product which increases the risk that we will not have sufficient quantities of such drug candidates or products or such quantities at an acceptable cost, which could delay, prevent or impair our development or commercialization efforts.</w:t>
      </w:r>
    </w:p>
    <w:p>
      <w:pPr>
        <w:spacing w:after="0" w:line="67"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We do not own or operate manufacturing facilities for the production of nonclinical, clinical or commercial supplies of the drug candidates that we are developing or evaluating in our development programs. We lack the resources and the capabilities to manufacture any of our drug candidates on a nonclinical, clinical or commercial scale. We rely on third parties for supply of our nonclinical and clinical drug supplies (including key starting and intermediate materials), and our strategy is to outsource all manufacturing of our drug candidates and products to third parties. A disruption or termination in the supply of nonclinical or clinical drug supplies due to our reliance on third parties and/or a disruption in the supply chain generally could delay, prevent or impair our development or commercialization efforts.</w:t>
      </w:r>
    </w:p>
    <w:p>
      <w:pPr>
        <w:spacing w:after="0" w:line="7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In order to conduct clinical trials of drug candidates, we will need to have them manufactured in potentially large quantities. Our third-party manufacturers may be unable to successfully increase the manufacturing capacity for any of our clinical drug supplies (including key starting and intermediate materials) in a timely or cost-effective manner, or at all. In addition, quality issues may arise during scale-up activities and at any other time. For example, ongoing data on the stability of our drug candidates may shorten the expiry of our drug candidates and lead to clinical trial material supply shortages, and potentially clinical trial delays. If these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1" w:name="page62"/>
    <w:bookmarkEnd w:id="61"/>
    <w:p>
      <w:pPr>
        <w:ind w:right="120"/>
        <w:spacing w:after="0" w:line="266" w:lineRule="auto"/>
        <w:rPr>
          <w:sz w:val="20"/>
          <w:szCs w:val="20"/>
          <w:color w:val="auto"/>
        </w:rPr>
      </w:pPr>
      <w:r>
        <w:rPr>
          <w:rFonts w:ascii="Times New Roman" w:cs="Times New Roman" w:eastAsia="Times New Roman" w:hAnsi="Times New Roman"/>
          <w:sz w:val="18"/>
          <w:szCs w:val="18"/>
          <w:color w:val="auto"/>
        </w:rPr>
        <w:t>third-party manufacturers are unable to successfully scale up the manufacture of our drug candidates in sufficient quality and quantity, the development, testing and clinical trials of that drug candidate may be delayed or infeasible, and regulatory approval or commercial launch of that drug candidate may be delayed or not obtained, which could significantly harm our business.</w:t>
      </w:r>
    </w:p>
    <w:p>
      <w:pPr>
        <w:spacing w:after="0" w:line="68"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Our use of new third-party manufacturers increases the risk of delays in production or insufficient supplies of our drug candidates (and the key starting and intermediate materials for such drug candidates) as we transfer our manufacturing technology to these manufacturers and as they gain experience manufacturing our drug candidates (and the key starting and intermediate materials for such drug candidates).</w:t>
      </w:r>
    </w:p>
    <w:p>
      <w:pPr>
        <w:spacing w:after="0" w:line="68" w:lineRule="exact"/>
        <w:rPr>
          <w:sz w:val="20"/>
          <w:szCs w:val="20"/>
          <w:color w:val="auto"/>
        </w:rPr>
      </w:pPr>
    </w:p>
    <w:p>
      <w:pPr>
        <w:jc w:val="both"/>
        <w:ind w:right="160" w:firstLine="509"/>
        <w:spacing w:after="0" w:line="261" w:lineRule="auto"/>
        <w:rPr>
          <w:sz w:val="20"/>
          <w:szCs w:val="20"/>
          <w:color w:val="auto"/>
        </w:rPr>
      </w:pPr>
      <w:r>
        <w:rPr>
          <w:rFonts w:ascii="Times New Roman" w:cs="Times New Roman" w:eastAsia="Times New Roman" w:hAnsi="Times New Roman"/>
          <w:sz w:val="18"/>
          <w:szCs w:val="18"/>
          <w:color w:val="auto"/>
        </w:rPr>
        <w:t>Even after a third-party manufacturer has gained significant experience in manufacturing our drug candidates (or the key starting and intermediate materials for such drug candidates) or even if we believe we have succeeded in optimizing the manufacturing process, there can be no assurance that such manufacturer will produce sufficient quantities of our drug candidates (or the key starting and intermediate materials for such drug candidates) in a timely manner or continuously over time, or at all.</w:t>
      </w:r>
    </w:p>
    <w:p>
      <w:pPr>
        <w:spacing w:after="0" w:line="7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We may be delayed if we need to change the manufacturing process used by a third party. Further, if we change an approved manufacturing process, then we may be delayed if the FDA or a comparable foreign authority needs to review the new manufacturing process before it may be used.</w:t>
      </w:r>
    </w:p>
    <w:p>
      <w:pPr>
        <w:spacing w:after="0" w:line="54"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do not currently have any agreements with third-party manufacturers for long-term commercial supply. In the future, we may be unable to enter into agreements with third-party manufacturers for commercial supplies of any drug candidate that we develop, or may be unable to do so on acceptable terms. Even if we are able to establish and maintain arrangements with third-party manufacturers, reliance on third-party manufacturers entails risks, including:</w:t>
      </w:r>
    </w:p>
    <w:p>
      <w:pPr>
        <w:spacing w:after="0" w:line="72" w:lineRule="exact"/>
        <w:rPr>
          <w:sz w:val="20"/>
          <w:szCs w:val="20"/>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and quality assurance;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 party;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our ability to terminate such contracts quickly and without excessive expense, if no longer needed.</w:t>
      </w:r>
    </w:p>
    <w:p>
      <w:pPr>
        <w:spacing w:after="0" w:line="117"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Third-party manufacturers may not be able to comply with cGMP requirements or similar regulatory requirements outside the United States. Our failure, or the failure of our third-party manufacturers, to comply with applicable requirements could result in sanctions being imposed on us, including fines, injunctions, civil penalties, delays, suspension or withdrawal of approvals, license revocation, seizures or recalls of drug candidates or products, operating restrictions and/or criminal prosecutions, any of which could significantly and adversely affect supplies of our drug candidates.</w:t>
      </w:r>
    </w:p>
    <w:p>
      <w:pPr>
        <w:spacing w:after="0" w:line="7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Our future drug candidates and any products that we may develop may compete with other drug candidates and products for access to manufacturing facilities. There are a limited number of manufacturers that operate under cGMP requirements and that might be capable of manufacturing for us.</w:t>
      </w:r>
    </w:p>
    <w:p>
      <w:pPr>
        <w:spacing w:after="0" w:line="54"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The U.S. BIOSECURE Act, which was enacted in December 2025, prohibits federal agencies from procuring or using any biotechnology equipment or services from “biotechnology companies of concern”, or entering into, extending, or renewing any contracts with entities that use such biotechnology equipment or services from “biotechnology companies of concern”. Congress has interpreted a “biotechnology company of concern” as an entity that is under the control of a foreign adversary and that poses a risk to national security based on its research or multiomic data collection (e.g., collection of genomic information). While the U.S. BIOSECURE Act has not yet been implemented because the required implementing regulations have not been passed, and once in effect the Act has a grandfathering period of five years for existing contracts, and it has carveouts for manufacture of drugs for supply under Medicaid and Medicare Part B, subject to the Secretary of Veterans Affairs’ discretion, the impact of the U.S. BIOSECURE Act on the biotechnology industry is uncertain. For example, WuXi AppTec was added to the list of “biotechnology companies of concern" but subsequently became the subject of an injunction barring enforcement of WuXi AppTec's designation, at least while certain litigation proceeds. We have existing contracts with WuXi AppTec affiliates. If the foreign CROs and CMOs we rely on become subject to trade restrictions, sanctions, increased tariffs or other regulatory requirements by the U.S. government (including designation as a “biotechnology company of concern” under the U.S. BIOSECURE Act), or if the U.S. or Chinese government take retaliatory actions due to recent or increased tensions between the U.S. and China, it may have the potential to severely restrict the ability of U.S. biopharmaceutical companies like us to purchase services or products from, or otherwise collaborate with, certain “biotechnology companies of concern” without losing the ability to contract with, or otherwise receive funding from, the U.S. government.</w:t>
      </w:r>
    </w:p>
    <w:p>
      <w:pPr>
        <w:spacing w:after="0" w:line="89"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Imports from other countries, including China, have been made subject to new tariffs affecting our industry in multiple ways, including taxing the import of raw materials and supplies, as well as recent tariffs on pharmaceutical products. Uncertainty in scope and applicability of new tariffs, as well as the cost of the tariffs themselves, could lead to delays in drug development 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auto"/>
        </w:rPr>
        <w:t>commercialization, and other financial harm.</w:t>
      </w:r>
    </w:p>
    <w:p>
      <w:pPr>
        <w:spacing w:after="0" w:line="11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If the third parties that we engage to supply any materials or manufacture product for our nonclinical studies and clinical trials should cease to continue to do so for any reason, we likely would experience delays in advancing these studies and trials while we identify and qualify replacement suppliers or manufacturers and we may be unable to obtain replacement supplies on terms that are favorable to us or at all. In addition, if we are not able to obtain adequate supplies of our drug candidates or the substances used to manufacture them, it will be more difficult for us to develop our drug candidates and compete effectively.</w:t>
      </w:r>
    </w:p>
    <w:p>
      <w:pPr>
        <w:spacing w:after="0" w:line="75"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Some of our third-party manufacturers which we use for the supply of materials for drug candidates or other materials necessary to manufacture product to conduct clinical trials could experience unexpected disruptions from man-made or natural disasters or public health pandemics or epidemics or other business interruptions which, if they occurred, might result in delays in advancing our clinical development.</w:t>
      </w:r>
    </w:p>
    <w:p>
      <w:pPr>
        <w:spacing w:after="0" w:line="6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drug candidates (or the key starting and intermediate materials for such drug candidates) may adversely affect our future profit margins and our ability to develop drug candidates and commercialize any products that receive marketing approval on a timely and competitive basis.</w:t>
      </w:r>
    </w:p>
    <w:p>
      <w:pPr>
        <w:spacing w:after="0" w:line="172" w:lineRule="exact"/>
        <w:rPr>
          <w:sz w:val="20"/>
          <w:szCs w:val="20"/>
          <w:color w:val="auto"/>
        </w:rPr>
      </w:pPr>
    </w:p>
    <w:p>
      <w:pPr>
        <w:jc w:val="both"/>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and third-party payors in the United States and elsewhere may be subject, directly or indirectly, to applicable anti-kickback, fraud and abuse, false claims, transparency, and other healthcare laws and regulations, which could expose us to criminal sanctions, civil penalties, contractual damages, reputational harm, administrative burdens and diminished profits and future earnings.</w:t>
      </w:r>
    </w:p>
    <w:p>
      <w:pPr>
        <w:spacing w:after="0" w:line="67"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Healthcare providers, physicians and third-party payors in the United States and elsewhere will play a primary role in the recommendation and prescription of any drug candidates for which we obtain marketing approval. Our future arrangements with third-party payors and customers, and current arrangements and interactions with healthcare practitioners and institutions, may expose us to broadly applicable fraud and abuse and other healthcare laws and regulations, including, without limitation, the federal Anti-Kickback Statute and the federal False Claims Act (the FCA), which may constrain the business or financial arrangements and relationships through which we develop, sell, market and distribute any products for which we seek and/or obtain marketing approval. In addition, we may be subject to transparency laws by the U.S. federal and state governments and by governments in foreign jurisdictions in which we conduct our business. The applicable federal, state and foreign healthcare laws and regulations that may affect our ability to operate include:</w:t>
      </w:r>
    </w:p>
    <w:p>
      <w:pPr>
        <w:spacing w:after="0" w:line="84" w:lineRule="exact"/>
        <w:rPr>
          <w:sz w:val="20"/>
          <w:szCs w:val="20"/>
          <w:color w:val="auto"/>
        </w:rPr>
      </w:pPr>
    </w:p>
    <w:p>
      <w:pPr>
        <w:ind w:left="1020" w:right="100" w:hanging="503"/>
        <w:spacing w:after="0" w:line="254"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the Medicare and Medicaid programs or other federal healthcare programs. A person or entity can be found guilty of violating the statute without actual knowledge of the statute or specific intent to violate it. The Anti-Kickback Statute has been interpreted to apply to arrangements between pharmaceutical manufacturers on the one hand and prescribers, clinical investigators (particularly if elements of the applicable clinical protocol are federally reimbursed), purchasers, and formulary managers on the other;</w:t>
      </w:r>
    </w:p>
    <w:p>
      <w:pPr>
        <w:spacing w:after="0" w:line="83" w:lineRule="exact"/>
        <w:rPr>
          <w:rFonts w:ascii="Times New Roman" w:cs="Times New Roman" w:eastAsia="Times New Roman" w:hAnsi="Times New Roman"/>
          <w:sz w:val="18"/>
          <w:szCs w:val="18"/>
          <w:color w:val="auto"/>
        </w:rPr>
      </w:pPr>
    </w:p>
    <w:p>
      <w:pPr>
        <w:ind w:left="1020" w:right="80" w:hanging="503"/>
        <w:spacing w:after="0" w:line="256"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including the FCA, which prohibit any person or entity from, among other things, knowingly presenting, or causing to be presented, a false, fictitious or fraudulent claim for payment to, or approval by, the federal government or knowingly making, using or causing to be made or used a false record or statement material to a false or fraudulent claim to the federal government. In addition, the government may assert that a claim including items or services resulting from a violation of the federal Anti-Kickback Statute constitutes a false or fraudulent claim for purposes of the FCA, or may assert that alleged pre-approval or off-label promotion of a drug can lead to a false claim;</w:t>
      </w:r>
    </w:p>
    <w:p>
      <w:pPr>
        <w:spacing w:after="0" w:line="79" w:lineRule="exact"/>
        <w:rPr>
          <w:rFonts w:ascii="Times New Roman" w:cs="Times New Roman" w:eastAsia="Times New Roman" w:hAnsi="Times New Roman"/>
          <w:sz w:val="18"/>
          <w:szCs w:val="18"/>
          <w:color w:val="auto"/>
        </w:rPr>
      </w:pPr>
    </w:p>
    <w:p>
      <w:pPr>
        <w:ind w:left="1020" w:right="40" w:hanging="503"/>
        <w:spacing w:after="0" w:line="255"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created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statutes or specific intent to violate them;</w:t>
      </w:r>
    </w:p>
    <w:p>
      <w:pPr>
        <w:spacing w:after="0" w:line="80" w:lineRule="exact"/>
        <w:rPr>
          <w:rFonts w:ascii="Times New Roman" w:cs="Times New Roman" w:eastAsia="Times New Roman" w:hAnsi="Times New Roman"/>
          <w:sz w:val="18"/>
          <w:szCs w:val="18"/>
          <w:color w:val="auto"/>
        </w:rPr>
      </w:pPr>
    </w:p>
    <w:p>
      <w:pPr>
        <w:ind w:left="1020" w:right="160" w:hanging="503"/>
        <w:spacing w:after="0" w:line="261"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Physician Payments Sunshine Act, created under the ACA, and its implementing regulations, which requires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3" w:name="page64"/>
    <w:bookmarkEnd w:id="63"/>
    <w:p>
      <w:pPr>
        <w:ind w:left="1020" w:right="240"/>
        <w:spacing w:after="0" w:line="266" w:lineRule="auto"/>
        <w:rPr>
          <w:sz w:val="20"/>
          <w:szCs w:val="20"/>
          <w:color w:val="auto"/>
        </w:rPr>
      </w:pPr>
      <w:r>
        <w:rPr>
          <w:rFonts w:ascii="Times New Roman" w:cs="Times New Roman" w:eastAsia="Times New Roman" w:hAnsi="Times New Roman"/>
          <w:sz w:val="18"/>
          <w:szCs w:val="18"/>
          <w:color w:val="auto"/>
        </w:rPr>
        <w:t>chiropractors), certain other healthcare professionals (including physician assistants, nurse practitioners, clinical nurse specialists, certified nurse anesthetists, anesthesiology assistants and certified nurse-midwives) and teaching hospitals, as well as ownership and investment interests held by physicians and their immediate family members;</w:t>
      </w:r>
    </w:p>
    <w:p>
      <w:pPr>
        <w:spacing w:after="0" w:line="68" w:lineRule="exact"/>
        <w:rPr>
          <w:sz w:val="20"/>
          <w:szCs w:val="20"/>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PhRMA Code on interactions with healthcare practitioners, and state laws that require compliance with the PhRMA Code;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rules, regulations and guidance regarding pre-approval and off-label promotion of pharmaceutical products;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 and</w:t>
      </w:r>
    </w:p>
    <w:p>
      <w:pPr>
        <w:spacing w:after="0" w:line="53" w:lineRule="exact"/>
        <w:rPr>
          <w:rFonts w:ascii="Times New Roman" w:cs="Times New Roman" w:eastAsia="Times New Roman" w:hAnsi="Times New Roman"/>
          <w:sz w:val="18"/>
          <w:szCs w:val="18"/>
          <w:color w:val="auto"/>
        </w:rPr>
      </w:pPr>
    </w:p>
    <w:p>
      <w:pPr>
        <w:ind w:left="1020" w:right="20" w:hanging="503"/>
        <w:spacing w:after="0" w:line="255"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such as state anti-kickback and false claims laws, which may apply to sales or marketing arrangements and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state laws that require drug manufacturers to report information related to payments and other transfers of value to physicians and other healthcare providers or marketing expenditures; and healthcare laws in the EU and other jurisdictions, including reporting requirements detailing interactions with and payments to healthcare providers.</w:t>
      </w:r>
    </w:p>
    <w:p>
      <w:pPr>
        <w:spacing w:after="0" w:line="8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regulatory safe harbors available under such laws, it is possible that some of our business activities could be subject to challenge under one or more of such laws. 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that our business arrangements and interactions with third parties comply with applicable healthcare laws, as well as responding to investigations by government authorities, can be time- and resource-consuming and can divert management’s attention from the business.</w:t>
      </w:r>
    </w:p>
    <w:p>
      <w:pPr>
        <w:spacing w:after="0" w:line="8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laws described above or any other government regulations that apply to us, we may be subject to penalties, including civil, criminal and administrative penalties, damages, fines, disgorgement, individual imprisonment, possible exclusion from participation in federal- and state-funded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which could lead to delays in product approvals, any of which could harm our ability to operate our business and our financial results. Further, if the physicians or other providers or entities with whom we interact are found not to be in compliance with applicable laws, they may be subject to criminal, civil or administrative sanctions, including exclusions from government funded healthcare programs. In addition, the approval and commercialization of any drug candidate we develop outside the United States will also likely subject us to foreign equivalents of the healthcare laws mentioned above, among other foreign laws.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17"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and our collaborators are unable to obtain, maintain, protect and enforce sufficient patent and other intellectual property protection for our drug candidates and technology, our competitors could develop and commercialize products and technology similar or identical to ours, and we may not be able to compete effectively in our market or successfully commercialize any drug candidates we may develop.</w:t>
      </w:r>
    </w:p>
    <w:p>
      <w:pPr>
        <w:spacing w:after="0" w:line="67"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Our success depends in significant part on our ability and the ability of our current or future collaborators and licensors to obtain, maintain, enforce and defend patents and other intellectual property rights with respect to our drug candidates and technology and to operate our business without infringing, misappropriating, or otherwise violating the intellectual property rights of others. If we and our current or future collaborators and licensors are unable to obtain and maintain sufficient intellectual property protection for our drug candidates or other drug candidates that we may identify, or if the scope of the intellectual property protection obtained is not sufficiently broad, our competitors and other third parties could develop and commercialize drug candidates similar or identical to ours, and our ability to successfully commercialize our drug candidates and other drug candidates that we may pursue may be impaired. While we own some issued or allowed patents with respect to our programs, including our chronic HBV infection and MASH programs, we can provide no assurance that any of our other current or future patent applications will result in issued patents or that any issued patents will provide us with any competitive advantage. We cannot be certain that there is no invalidating prior art of which we and the patent examiner are unaware or that our interpretation of the relevance of prior art is correct. If a patent or patent application is determined to have an earlier priority date, it may prevent our patent applications from issuing at all or issuing in a form that provides any competitive advantage for our drug candidates. Failure to obtain additional issued patents could have a material adverse effect on our ability to develop and commercialize our drug candidates. Even if our patent applications do issue as patents,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4" w:name="page65"/>
    <w:bookmarkEnd w:id="64"/>
    <w:p>
      <w:pPr>
        <w:ind w:right="220"/>
        <w:spacing w:after="0" w:line="266" w:lineRule="auto"/>
        <w:rPr>
          <w:sz w:val="20"/>
          <w:szCs w:val="20"/>
          <w:color w:val="auto"/>
        </w:rPr>
      </w:pPr>
      <w:r>
        <w:rPr>
          <w:rFonts w:ascii="Times New Roman" w:cs="Times New Roman" w:eastAsia="Times New Roman" w:hAnsi="Times New Roman"/>
          <w:sz w:val="18"/>
          <w:szCs w:val="18"/>
          <w:color w:val="auto"/>
        </w:rPr>
        <w:t>third parties may be able to challenge the validity and enforceability of our patents on a variety of grounds, including that such third party’s patents and patent applications have an earlier priority date, and if such challenges are successful, we may be required to obtain one or more licenses from such third parties, or be prohibited from commercializing our drug candidates.</w:t>
      </w:r>
    </w:p>
    <w:p>
      <w:pPr>
        <w:spacing w:after="0" w:line="68"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seek to protect our proprietary positions by, among other things, filing patent applications in the United States and abroad related to our current drug candidates and other drug candidates that we may identify. Obtaining, maintaining, defending and enforcing pharmaceutical patents is costly, time consuming and complex, and we may not be able to file and prosecute all necessary or desirable patent applications, or maintain, enforce and license any patents that may issue from such patent applications, at a reasonable cost or in a timely manner. Additionally, the patenting rules and processes vary throughout the world, and may in some countries require a lengthy process of filings and appeals, and may never be successful. It is also possible that we will fail to identify patentable aspects of our research and development output before it is too late to obtain patent protection. Moreover, under certain of our license or collaboration agreements, we may not have the right to control the preparation, filing, prosecution and maintenance of patent applications, or to maintain the rights to patents licensed to or from third parties.</w:t>
      </w:r>
    </w:p>
    <w:p>
      <w:pPr>
        <w:spacing w:after="0" w:line="84"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currently are the assignee of a number of U.S. provisional patent applications. U.S. provisional patent applications are not eligible to become issued patents until, among other things, we file a non-provisional patent application within 12 months of filing one or more of our related provisional patent applications. With regard to such U.S. provisional patent applications, if we do not timely file any non-provisional patent applications, we may lose our priority dates with respect to our provisional patent applications and any patent protection on the inventions disclosed in our provisional patent applications. Further, in the event that we do timely file non-provisional patent applications relating to our provisional patent applications, we cannot predict whether any such patent applications will result in the issuance of patents or if such issued patents will provide us with any competitive advantage.</w:t>
      </w:r>
    </w:p>
    <w:p>
      <w:pPr>
        <w:spacing w:after="0" w:line="7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Although we enter into confidentiality agreements with parties who have access to confidential or patentable aspects of our research and development output, such as our employees, collaborators, CROs, contract manufacturers, consultants, advisors and other third parties, any of these parties may breach these agreements and disclose such output before a patent application is filed, thereby jeopardizing our ability to seek patent protection. Further, we may not be aware of all third-party intellectual property rights potentially relating to our drug candidates.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patents or pending patent applications, or that we were the first to file for patent protection of such inventions.</w:t>
      </w:r>
    </w:p>
    <w:p>
      <w:pPr>
        <w:spacing w:after="0" w:line="8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patent position of pharmaceutical companies generally is highly uncertain, involves complex legal, technological and factual questions and has, in recent years, been the subject of much debate and litigation throughout the world. In addition, the laws of foreign countries may not protect our rights to the same extent as the laws of the United States, or vice versa. As a result, the issuance, scope, validity, enforceability, and commercial value of our patent rights are highly uncertain. The subject matter claimed in a patent application can be significantly reduced or eliminated before the patent issues, if at all, and its scope can be reinterpreted or narrowed after issuance. Therefore, our pending and future patent applications may not result in patents being issued in relevant jurisdictions that protect our drug candidates, in whole or in part, or that effectively prevent others from commercializing competitive drug candidates, and even if our patent applications issue as patents in relevant jurisdictions, they may not issue in a form that will provide us with any meaningful protection for our drug candidates or technology, prevent competitors from competing with us or otherwise provide us with any competitive advantage. Additionally, our competitors may be able to circumvent our patents by challenging their validity or by developing similar or alternative drug candidates or technologies in a non-infringing manner.</w:t>
      </w:r>
    </w:p>
    <w:p>
      <w:pPr>
        <w:spacing w:after="0" w:line="8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patents may be challenged in the courts or patent offices in the United States and abroad. We may be subject to a third-party pre-issuance submission of prior art to the United States Patent and Trademark Office (the USPTO), or become involved in opposition, derivation, revocation, reexamination, inter partes review, post-grant review or interference proceedings challenging our patent rights or the patent rights of others, or other proceedings in the USPTO or applicable foreign offices that challenge priority of invention or other features of patentability. An adverse determination in any such submission, proceeding or litigation could result in loss of exclusivity or ability to sell our products free from infringing the patents of third parties, patent claims being narrowed, invalidated or held unenforceable, in whole or in part, and limitation of the scope or duration of the patents directed to our drug candidates, all of which could limit our ability to stop others from using or commercializing similar or identical drug candidates or technology to compete directly with us, without payment to us, or result in our inability to manufacture or commercialize drug candidates or approved products (if any) without infringing third-party patent rights. In addition, if the breadth or strength of the claims of our patents and patent applications is threatened, regardless of the outcome, it could dissuade companies from collaborating with us to license, develop or commercialize current or future drug candidates, or could have a material adverse effect on our ability to raise funds necessary to continue our research programs or clinical trials. Such proceedings also may result in substantial cost and require significant time from our scientists and management, even if the eventual outcome is favorable to us.</w:t>
      </w:r>
    </w:p>
    <w:p>
      <w:pPr>
        <w:spacing w:after="0" w:line="79"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In addition, given the amount of time required for the development, testing and regulatory review of new drug candidates, patents protecting such candidates might expire before or shortly after such candidates are commercialized. As a result, our patent portfolio may not provide us with sufficient rights to exclude others from commercializing products or technology similar or identical</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65" w:name="page66"/>
    <w:bookmarkEnd w:id="65"/>
    <w:p>
      <w:pPr>
        <w:ind w:right="200"/>
        <w:spacing w:after="0" w:line="258" w:lineRule="auto"/>
        <w:rPr>
          <w:sz w:val="20"/>
          <w:szCs w:val="20"/>
          <w:color w:val="auto"/>
        </w:rPr>
      </w:pPr>
      <w:r>
        <w:rPr>
          <w:rFonts w:ascii="Times New Roman" w:cs="Times New Roman" w:eastAsia="Times New Roman" w:hAnsi="Times New Roman"/>
          <w:sz w:val="18"/>
          <w:szCs w:val="18"/>
          <w:color w:val="auto"/>
        </w:rPr>
        <w:t>to ours for a meaningful amount of time, or at all. Moreover, some of our licensed patents and owned or licensed patent applications may in the future be co-owned with third parties. If we are unable to obtain exclusive licenses to any such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in order to enforce such patents against third parties, and such cooperation may not be provided to us. Any of the foregoing could harm our competitive position, business, financial condition, results of operations and prospects.</w:t>
      </w:r>
    </w:p>
    <w:p>
      <w:pPr>
        <w:spacing w:after="0" w:line="75"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steps we take to protect our sensitive intellectual property, including trade secrets, may be inadequate to prevent such information from being compromised through inadvertent disclosure, theft, or other means. Loss of valuable trade secrets could harm our competitive position, business, financial condition, results of operations and prospects.</w:t>
      </w:r>
    </w:p>
    <w:p>
      <w:pPr>
        <w:spacing w:after="0" w:line="172"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licensing and collaboration agreements with third parties, and the U.S. government has rights related to certain of our intellectual property. If we fail to comply with our obligations in the agreements under which we license intellectual property rights to or from third parties, or these agreements are terminated, or we otherwise experience disruptions to our business relationships with our licensors or licensees, or we fail to meet our obligations to the government, our competitive position, business, financial condition, results of operations and prospects could be harmed.</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to patent and other intellectual property rights we own or co-own, we have licensed, and may in the future license, patent and other intellectual property rights to and from other parties. For example, we have in-licensed significant intellectual property rights from Emory and KU Leuven. Licenses may not provide us with exclusive rights to use the applicable intellectual property and technology in all relevant fields of use and in all territories in which we may wish to develop or commercialize our drug candidates, products (if approved) and technology in the future. As a result, we may not be able to prevent competitors from developing and commercializing competitive products or technologies. We have entered into an agreement to license certain rights related to pevifoscorvir sodium to Amoytop. If Amoytop does not comply with its obligations under the agreement, including diligence obligations relating to the development and commercialization of the licensed product, we may lose the expected benefit of the agreement, and may elect to terminate.</w:t>
      </w:r>
    </w:p>
    <w:p>
      <w:pPr>
        <w:spacing w:after="0" w:line="84"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addition, in some circumstances, we may not have the right to control the preparation, filing and prosecution of patent applications or to maintain, defend and enforce the patents that we license to or from third parties, and we may have to rely on our partners to fulfill these responsibilities. For example, under the Emory License Agreement, we obtained a license from Emory University under patents relevant to certain aspects of our small molecule chronic HBV infection program. Although we direct prosecution of patents licensed under the Emory License Agreement, we are obligated to consult with Emory University with respect to prosecution of these patents and Emory and its counsel are responsible for making all filings related to such prosecution. Similarly, although we will control the prosecution of jointly developed patents resulting from our collaboration with the Rega Institute for Medical Research and the CD3 under the KU Leuven Agreement, we are obligated to consult with such parties with respect to prosecution of these patents. Consequently, any such licensed patents and applications may not be prepared, filed, prosecuted, maintained, enforced, and defended in a manner consistent with the best interests of our business. Additionally, we have licensed to Amoytop rights under certain patents to manufacture, develop and commercialize pevifoscorvir sodium in China, Taiwan, Hong Kong and Macau. Amoytop has the first right to enforce such patents if suspected infringement is limited to Amoytop’s licensed territory. Our patents and other intellectual property rights could be at risk if Amoytop does not adequately protect and enforce such rights in its licensed territory. If our current or future licensors, licensees or collaborators fail to prepare, file, prosecute, maintain, enforce, and defend licensed patents and other intellectual property rights, such rights may be reduced or eliminated, and our right to develop and commercialize any of our drug candidates or technology that are the subject of such licensed rights could be adversely affected. In addition, our licensors may own or control intellectual property that has not been licensed to us and, as a result, we may be subject to claims, regardless of their merit, that we are infringing or otherwise violating the licensor’s rights.</w:t>
      </w:r>
    </w:p>
    <w:p>
      <w:pPr>
        <w:spacing w:after="0" w:line="87"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If we fail to comply with our obligations, including the obligation to make various milestone payments and royalty payments, under any of the agreements under which we license intellectual property rights from third parties, the licensor may have the right to terminate the license. Further, due to our License Agreement with Amoytop, Amoytop is a sublicensee under certain of the Emory University patent rights. If Amoytop’s actions or inactions cause a breach of the Emory License Agreement, Emory University may have a right to terminate the Emory License Agreement.</w:t>
      </w:r>
    </w:p>
    <w:p>
      <w:pPr>
        <w:spacing w:after="0" w:line="7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If any of our license agreements are terminated, the underlying licensed patents fail to provide the intended exclusivity or we otherwise experience disruptions to our business relationships with our licensors, we could lose intellectual property rights that are important to our business or be prevented from developing and commercializing our drug candidates, and competitors could have the freedom to seek regulatory approval of, and to market, products identical to ours. Termination of these agreements or reduction or elimination of our rights under these agreements may also result in our having to negotiate new or reinstated agreements with less favorable terms, cause us to lose our rights under these agreements, including our rights to important intellectual property or technology, or impede, delay or prohibit the further development or commercialization of one or more drug candidates that rely on such agreements. It is possible that we may be unable to obtain any additional licenses at a reasonable cost or on reasonable terms, if at all. In that event, we may be required to expend significant time and resources to redesign our drug candidates or the methods for</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auto"/>
        </w:rPr>
        <w:t>manufacturing them or to develop or license replacement technology, all of which may not be feasible on a technical or commercial basis.</w:t>
      </w:r>
    </w:p>
    <w:p>
      <w:pPr>
        <w:spacing w:after="0" w:line="11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addition, the research resulting in certain of our owned and in-licensed patent rights and technology may have been funded in part by the U.S. federal or state governments. As a result, the government may have certain rights, including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or allow third parties to use our licensed technology. The government can exercise its march-in rights if it determines that action is necessary because we fail to achieve practical application of the government-funded technology, or because action is necessary to alleviate health or safety needs, to meet requirements of federal regulations, or to give preference to U.S. industry. The government could also elect to take title to certain government-funded inventions if we fail to timely take certain actions including notifying the government of subject inventions and filing patent applications. In addition, our rights in such inventions may be subject to certain requirements to manufacture products embodying such inventions in the United States. Any of the foregoing could harm our competitive position, business, financial condition, results of operations and prospects.</w:t>
      </w:r>
    </w:p>
    <w:p>
      <w:pPr>
        <w:spacing w:after="0" w:line="86" w:lineRule="exact"/>
        <w:rPr>
          <w:sz w:val="20"/>
          <w:szCs w:val="20"/>
          <w:color w:val="auto"/>
        </w:rPr>
      </w:pPr>
    </w:p>
    <w:p>
      <w:pPr>
        <w:jc w:val="both"/>
        <w:ind w:right="380" w:firstLine="509"/>
        <w:spacing w:after="0" w:line="266" w:lineRule="auto"/>
        <w:rPr>
          <w:sz w:val="20"/>
          <w:szCs w:val="20"/>
          <w:color w:val="auto"/>
        </w:rPr>
      </w:pPr>
      <w:r>
        <w:rPr>
          <w:rFonts w:ascii="Times New Roman" w:cs="Times New Roman" w:eastAsia="Times New Roman" w:hAnsi="Times New Roman"/>
          <w:sz w:val="18"/>
          <w:szCs w:val="18"/>
          <w:color w:val="auto"/>
        </w:rPr>
        <w:t>Licensing of intellectual property is of critical importance to our business and involves complex legal, business and scientific issues and certain provisions in intellectual property license agreements may be susceptible to multiple interpretations. Disputes may arise between us and our licensing partners regarding intellectual property subject to a license agreement, including:</w:t>
      </w:r>
    </w:p>
    <w:p>
      <w:pPr>
        <w:spacing w:after="0" w:line="68" w:lineRule="exact"/>
        <w:rPr>
          <w:sz w:val="20"/>
          <w:szCs w:val="20"/>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technology and processes of one party infringe intellectual property of the other party that are not subject to the licensing agreement;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to sublicense patent and other rights to third parties;</w:t>
      </w:r>
    </w:p>
    <w:p>
      <w:pPr>
        <w:spacing w:after="0" w:line="11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diligence obligations with respect to the use of the licensed technology in relation to development and commercialization of our drug candidates, and what activities satisfy those diligence obligations;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to transfer or assign the license;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termination.</w:t>
      </w:r>
    </w:p>
    <w:p>
      <w:pPr>
        <w:spacing w:after="0" w:line="11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harm our business, financial condition, results of operations and prospects. If disputes over intellectual property that we have licensed prevent or impair our ability to maintain our current licensing arrangements on acceptable terms or at all, we may be unable to successfully develop and commercialize the affected drug candidates. Moreover, any dispute or disagreement with our licensing partners may result in the delay or termination of the research, development or commercialization of our drug candidates or any future drug candidates, and may result in costly litigation or arbitration that diverts management attention and resources away from our day-to-day activities, which may adversely affect our business, financial conditions, results of operations and prospects.</w:t>
      </w:r>
    </w:p>
    <w:p>
      <w:pPr>
        <w:spacing w:after="0" w:line="84"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Furthermore, current and future collaborators or strategic partners may develop, either alone or with others, products in related fields that are competitive with the products or potential products that are the subject of these collaborations. Competing products, either developed by our collaborators or strategic partners or to which the collaborators or strategic partners have rights, may result in the withdrawal of partner support for our drug candidates. Any of these developments could harm our product development efforts.</w:t>
      </w:r>
    </w:p>
    <w:p>
      <w:pPr>
        <w:spacing w:after="0" w:line="72"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In addition, if our licensors fail to abide by the terms of the license, if the licensors fail to prevent infringement by third parties or if the licensed patents or other rights are found to be invalid or unenforceable, our business, competitive position, financial condition, results of operations and prospects could be materially harmed. For more information regarding our license agreements, see the section titled “Business—License agreements and collaborations” of our Annual Report on Form 10-K for the year ended December 31, 2025, previously filed with the SEC.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obtain licenses from third parties on commercially reasonable terms or at all, our business could be harmed.</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It may be necessary for us to use the patented or proprietary technology of third parties to commercialize our products (if approved), in which case we would be required to obtain a license from these third parties. The licensing of third-party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67" w:name="page68"/>
    <w:bookmarkEnd w:id="67"/>
    <w:p>
      <w:pPr>
        <w:ind w:right="60"/>
        <w:spacing w:after="0" w:line="253" w:lineRule="auto"/>
        <w:rPr>
          <w:sz w:val="20"/>
          <w:szCs w:val="20"/>
          <w:color w:val="auto"/>
        </w:rPr>
      </w:pPr>
      <w:r>
        <w:rPr>
          <w:rFonts w:ascii="Times New Roman" w:cs="Times New Roman" w:eastAsia="Times New Roman" w:hAnsi="Times New Roman"/>
          <w:sz w:val="18"/>
          <w:szCs w:val="18"/>
          <w:color w:val="auto"/>
        </w:rPr>
        <w:t>acquire third party intellectual property rights on terms that would allow us to make an appropriate return on our investment or at all. If we are unable to license such technology, or if we are forced to license such technology on unfavorable terms, our business could be materially harmed. If we are unable to obtain a necessary license, we may be unable to develop or commercialize the affected drug candidates, which could materially harm our business, and the third parties owning such intellectual property rights could seek either an injunction prohibiting our sales, or, with respect to our sales, an obligation on our part to pay royalties and/or other forms of compensation. Even if we are able to obtain a license, it may be, or become, non-exclusive, thereby giving our competitors access to the same technologies licensed to us. For example, under the Emory License Agreement we currently have an exclusive license with respect to certain patents and a non-exclusive license with respect to certain of Emory’s specified know-how. In June 2022, the license to such patents became non-exclusive for certain licensed compounds with respect to all fields except for the treatment and prevention of HBV. For more information regarding our license agreements, see the section titled “Business—License agreements and collaborations” of our Annual Report on Form 10-K for the year ended December 31, 2025, previously filed with the SEC. Any of the foregoing could harm our competitive position, business, financial condition, results of operations and prospects.</w:t>
      </w:r>
    </w:p>
    <w:p>
      <w:pPr>
        <w:spacing w:after="0" w:line="18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subject us to infringement claims or adversely affect our ability to develop and market our drug candidates.</w:t>
      </w:r>
    </w:p>
    <w:p>
      <w:pPr>
        <w:spacing w:after="0" w:line="51"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United States and abroad that is relevant to or necessary for the commercialization of our drug candidates in any jurisdiction. For example, U.S. patent applications filed before November 29, 2000 and certain U.S. patent applications filed after that date that will not be filed outside the United States remain confidential until patents issue. As mentioned above, patent applications in the United States and elsewhere are published approximately 18 months after the earliest filing for which priority is claimed, with such earliest filing date being commonly referred to as the priority date. Therefore, patent applications covering our drug candidates could have been filed by third parties without our knowledge. Additionally, pending patent applications that have been published can, subject to certain limitations, be later amended in a manner that could cover our drug candidates or the use of our drug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drug candidates. We may incorrectly determine that our drug candidates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drug candidates. Our failure to identify and correctly interpret relevant patents may negatively impact our ability to develop and market our drug candidates.</w:t>
      </w:r>
    </w:p>
    <w:p>
      <w:pPr>
        <w:spacing w:after="0" w:line="8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are aware of certain third-party issued patents and/or pending patent applications, including those of our competitors, that, if issued with their current claim scope, may be construed to cover our drug candidates. In the event that any of these patents were asserted against us, we believe that we would have defenses against any such action, which may include that such patents are not valid. However, if any such patents were to be asserted against us and our defenses to such assertion were unsuccessful and alternative technology was not available or technologically or commercially practical, unless we obtain a license to such patents, we could be liable for damages, which could be significant and include treble damages and attorneys’ fees if we are found to willfully infringe such patents, and we could be precluded from commercializing any drug candidates that were ultimately held to infringe such patents.</w:t>
      </w:r>
    </w:p>
    <w:p>
      <w:pPr>
        <w:spacing w:after="0" w:line="7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addition, 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which may be significant, we may be temporarily or permanently prohibited from commercializing any of our drug candidates that are held to be infringing. We might, if possible, also be forced to redesign drug candidates so that they no longer infringe the third-party intellectual property rights. Any of these events, even if we were ultimately to prevail, could require us to divert substantial financial and management resources that we would otherwise be able to devote to our business and could adversely affect our business, financial condition, results of operations and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establish our competitive position on our drug candidates for an adequate amount of time.</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drug candidates are obtained, once the patent life has expired for a drug candidate, we may be open to competition from competitive medications, including generic versions. Given the amount of time required for the development, testing and regulatory review of new drug candidates, patents directed towards such drug candidates might expire before or shortly after such drug candidates are commercialized. As a result, our owned and licensed patent portfolio may not provide us with sufficient rights to exclude others from commercializing drug candidates similar or identical to ours for a meaningful amount of time, or at all.</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8" w:name="page69"/>
    <w:bookmarkEnd w:id="68"/>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conditions of any FDA marketing approval of our drug candidates, one or more of our owned or licensed U.S. patents may be eligible for limited patent term extension under the Hatch-Waxman Act, and similar legislation in the EU and certain other countries. The Hatch-Waxman Act permits a patent term extension of up to five years for a patent covering an approved product as compensation for effective patent term lost during product development and the FDA regulatory review process.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In the U.S., only one patent per approved product can be extended, the extension cannot extend the total patent term beyond 14 years from approval and only those claims for the approved drug, a method for using it or a method for manufacturing it may be extended. If we are unable to obtain patent term extension or the term of any such extension is less than we request, the period during which we can enforce our patent rights for the applicable drug candidate will be shortened and our competitors may obtain approval to market competing products sooner. As a result, our revenue from applicable products could be reduced. Further, if this occurs, our competitors may take advantage of our investment in development and trials by referencing our clinical and nonclinical data and launch their product earlier than might otherwise be the case, and our competitive position, business, financial condition, results of operations and prospects could be materially harmed.</w:t>
      </w:r>
    </w:p>
    <w:p>
      <w:pPr>
        <w:spacing w:after="0" w:line="7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Further, there are detailed rules and requirements regarding the patents that may be submitted to the FDA for listing in the Orange Book. We may be unable to obtain patents covering our drug candidates that contain one or more claims that satisfy the requirements for listing in the Orange Book. Even if we submit a patent for listing in the Orange Book, the FDA may decline to list the patent, or a manufacturer of generic drugs may challenge the listing. If one of our drug candidates is approved and a patent covering that drug candidate is not listed in the Orange Book, a manufacturer of generic drugs would not have to provide advance notice to us of any abbreviated new drug application filed with the FDA to obtain permission to sell a generic version of such drug candidate. Any of the foregoing could harm our competitive position, business, financial condition, results of operations and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Filing, prosecuting, maintaining, defending and enforcing patents on our drug candidates in all countries throughout the world would be prohibitively expensive, and consequently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patents to develop their own products and may export otherwise infringing products to territories where we have patents, but enforcement rights are not as strong as those in the United States. These products may compete with our drug candidates and our patents or other intellectual property rights may not be effective or sufficient to prevent them from competing.</w:t>
      </w:r>
    </w:p>
    <w:p>
      <w:pPr>
        <w:spacing w:after="0" w:line="84"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some countries do not favor the enforcement or protection of patents, trade secrets and other intellectual property, which could make it difficult for us to stop the infringement of our patents or marketing of competing products in violation of our intellectual property and proprietary rights generally. For example, some companies in our industry have experienced theft or breach of their intellectual property rights, including trade secrets, in China, a country where we have operations and do business, and where our licensee, Amoytop, conducts activities on pevifoscorvir sodium. Proceedings to enforce our intellectual property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w:t>
      </w:r>
    </w:p>
    <w:p>
      <w:pPr>
        <w:spacing w:after="0" w:line="8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Many foreign countries, including some EU countries, India, Japan and China, have compulsory licensing laws under which a patent owner may be compelled under specified circumstances to grant licenses to third parties. In addition, many countries limit the enforceability of patents against government agencies or government contractors. In those countries, we may have limited remedies if patents are infringed or if we are compelled to grant a license to a third party, which could materially diminish the value of the applicable patents and limit our potential revenue opportunities. Accordingly, our efforts to enforce our intellectual property rights around the world may be inadequate to obtain a significant commercial advantage from the intellectual property that we develop or license, which could adversely affect our business, financial condition, results of operations and prospects.</w:t>
      </w:r>
    </w:p>
    <w:p>
      <w:pPr>
        <w:spacing w:after="0" w:line="7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on June 1, 2023, the European Patent Package, or EU Patent Package, regulations were implemented with the goal of providing a single pan-European Unitary Patent and a new European Unified Patent Court, or UPC, for litigation involving European patents. Under the UPC, all European patents, including those issued prior to ratification of the European Patent Package, will by default automatically fall under the jurisdiction of the UPC. The UPC will provide our competitors with a new forum to centrally revoke our European patents, and allow for the possibility of a competitor to obtain pan-European injunctions. It will be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69" w:name="page70"/>
    <w:bookmarkEnd w:id="69"/>
    <w:p>
      <w:pPr>
        <w:ind w:right="240"/>
        <w:spacing w:after="0" w:line="266" w:lineRule="auto"/>
        <w:rPr>
          <w:sz w:val="20"/>
          <w:szCs w:val="20"/>
          <w:color w:val="auto"/>
        </w:rPr>
      </w:pPr>
      <w:r>
        <w:rPr>
          <w:rFonts w:ascii="Times New Roman" w:cs="Times New Roman" w:eastAsia="Times New Roman" w:hAnsi="Times New Roman"/>
          <w:sz w:val="18"/>
          <w:szCs w:val="18"/>
          <w:color w:val="auto"/>
        </w:rPr>
        <w:t>several years before we will understand the scope of patent rights that will be recognized and the strength of patent remedies that will be provided by the UPC. Under the EU Patent Package as currently proposed, we have the right to opt our patents out of the UPC over the first seven years of the court’s existence, but doing so may preclude us from realizing the benefits of the new unified court.</w:t>
      </w:r>
    </w:p>
    <w:p>
      <w:pPr>
        <w:spacing w:after="0" w:line="68"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Moreover, 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U.S. and foreign government actions related to Russia’s conflict in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In addition, a decree was adopted by the Russian government in March 2022, allowing Russian companies and individuals to exploit inventions owned by patentees from the United States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our drug candidates.</w:t>
      </w:r>
    </w:p>
    <w:p>
      <w:pPr>
        <w:spacing w:after="0" w:line="12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Obtaining and enforcing patents in the pharmaceutical industry is inherently uncertain, due in part to ongoing changes in the patent laws. For example, in the United States, depending on decisions by Congress, the federal courts, and the USPTO, the laws and regulations governing patents, and interpretation thereof, could change in unpredictable ways that could weaken our and our collaborators’ or licensors’ ability to obtain new patents or to enforce existing or future patents. For example, the U.S. Supreme Court has ruled on several patent cases in recent years, either narrowing the scope of patent protection available in certain circumstances or weakening the rights of patent owners in certain situations. Therefore, there is increased uncertainty with regard to our and our collaborators’ or licensors’ ability to obtain patents in the future, as well as uncertainty with respect to the value of patents once obtained.</w:t>
      </w:r>
    </w:p>
    <w:p>
      <w:pPr>
        <w:spacing w:after="0" w:line="81" w:lineRule="exact"/>
        <w:rPr>
          <w:sz w:val="20"/>
          <w:szCs w:val="20"/>
          <w:color w:val="auto"/>
        </w:rPr>
      </w:pPr>
    </w:p>
    <w:p>
      <w:pPr>
        <w:ind w:right="80" w:firstLine="509"/>
        <w:spacing w:after="0" w:line="252" w:lineRule="auto"/>
        <w:rPr>
          <w:sz w:val="20"/>
          <w:szCs w:val="20"/>
          <w:color w:val="auto"/>
        </w:rPr>
      </w:pPr>
      <w:r>
        <w:rPr>
          <w:rFonts w:ascii="Times New Roman" w:cs="Times New Roman" w:eastAsia="Times New Roman" w:hAnsi="Times New Roman"/>
          <w:sz w:val="18"/>
          <w:szCs w:val="18"/>
          <w:color w:val="auto"/>
        </w:rPr>
        <w:t>Patent reform legislation could increase the uncertainties and costs surrounding the prosecution of our and our collaborators’ or licensors’ patent applications and the enforcement or defense of our or our collaborators’ or licensors’ issued patents. For example,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(the Leahy-Smith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Leahy-Smith Act also includes a number of significant changes that affect the way patent applications filed after March 2013 are prosecuted and may also affect patent litigation. These include allowing third-party submission of prior art to the USPTO during patent prosecution and additional procedures to challenge the validity of a patent by USPTO-administered post-grant proceedings, including post-grant review, inter partes review and derivation proceedings. The USPTO has developed new regulations and procedures to govern administration of the Leahy-Smith Act, and many of the substantive changes to patent law associated with the Leahy-Smith Act, particularly the first inventor-to-file provisions. Similarly, statutory or judicial changes to the patent laws of other countries may increase the uncertainties and costs surrounding the prosecution of patent applications and the enforcement or defense of issued patents. All of the foregoing could harm our business, financial condition, results of operations and prospects.</w:t>
      </w:r>
    </w:p>
    <w:p>
      <w:pPr>
        <w:spacing w:after="0" w:line="193"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or other intellectual property, which could be expensive, time-consuming and unsuccessful, and issued patents directed towards our technology and drug candidates could be found invalid or unenforceable if challenged.</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Competitors and other third parties may infringe or otherwise violate our issued patents or other intellectual property or the patents or other intellectual property of our licensors and collaborators. In addition, our patents or the patents of our licensors and collaborators may become involved in inventorship or priority disputes. To counter infringement or other unauthorized use, we may be required to file infringement claims, which can be expensive and time-consuming. Significantly, our pending patent applications cannot be enforced against third parties practicing the technology claimed in such applications unless and until a patent issues from such applications. Our ability to enforce patent rights also depends on our ability to detect infringement. It may be difficult to detect infringers who do not advertise the components or methods that are used in connection with their products and services. Moreover, it may be difficult or impossible to obtain evidence of infringement in a competitor’s or potential competitor’s product or service. Any claims we assert against perceived infringers could provoke these parties to assert counterclaims against us alleging that we infringe their patents or that our patents are invalid or unenforceable.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An adverse result in any litigation proceeding could put one or more of our owned or licensed patents at risk of being invalidated, held unenforceable or interpreted narrowly. We may find it impractical or undesirable to enforce our intellectual property against some third parties.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70" w:name="page71"/>
    <w:bookmarkEnd w:id="70"/>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If we were to initiate legal proceedings against a third party to enforce a patent directed to our drug candidates, or one of our future drug candidates, the defendant could counterclaim that our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or insufficient written description. Grounds for an unenforceability assertion could be an allegation that someone connected with prosecution of the patent withheld relevant information from the USPTO or made a misleading statement during prosecution. Third parties may also raise similar claims before the USPTO or an equivalent foreign body, even outside the context of litigation. Potential proceedings include reexamination, post-grant review, inter partes review, interference proceedings, derivation proceedings and equivalent proceedings in foreign jurisdictions (e.g., opposition proceedings). Such proceedings could result in the revocation of, cancellation of, or amendment to our patents in such a way that they no longer cover our technology or any drug candidates that we may develop.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rights directed towards the applicable drug candidates or technology related to the patent rendered invalid or unenforceable. Such a loss of patent rights would materially harm our business, financial condition, results of operations and prospects.</w:t>
      </w:r>
    </w:p>
    <w:p>
      <w:pPr>
        <w:spacing w:after="0" w:line="7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Interference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materially harmed if the prevailing party does not offer us a license on commercially reasonable terms.</w:t>
      </w:r>
    </w:p>
    <w:p>
      <w:pPr>
        <w:spacing w:after="0" w:line="72"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5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Some of our competitors are larger than we are and have substantially greater resources. They are, therefore, likely to be able to sustain the costs of complex patent litigation or proceedings more effectively than we can because of their greater financial resources and more mature and developed intellectual property portfolios. Accordingly, despite our efforts, we may not be able to prevent third parties from infringing, misappropriating or otherwise violating our intellectual property. Even if resolved in our favor, litigation or other legal proceedings relating to intellectual property claims could result in substantial costs and diversion of management resources, which could harm our business. In addition, the uncertainties associated with litigation could compromise our ability to raise the funds necessary to continue our clinical trials, continue our internal research programs, or in-license needed technology or other drug candidates. There could also be public announcements of the results of the hearing, motions, or other interim proceedings or developments. If securities analysts or investors perceive those results to be negative, it could cause the price of shares of our common stock to decline. Any of the foregoing events could harm our business, financial condition, results of operation and prospects.</w:t>
      </w:r>
    </w:p>
    <w:p>
      <w:pPr>
        <w:spacing w:after="0" w:line="184"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negatively impact the success of our business.</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Our commercial success depends upon our ability to develop, manufacture, market and sell our drug candidates and use our proprietary technologies without infringing, misappropriating or otherwise violating the intellectual property and other proprietary rights of third parties. There is considerable intellectual property litigation in the pharmaceutical industry. We may become party to, or threatened with, future adversarial proceedings or litigation regarding intellectual property rights with respect to our drug candidates and their manufacture and our other technology, including reexamination, interference, post-grant review, inter partes review or derivation proceedings before the USPTO or an equivalent foreign body. Numerous U.S.- and foreign-issued patents and pending patent applications owned by third parties exist in the fields in which we are developing our drug candidates. Third parties may assert infringement claims against us based on existing patents or patents that may be granted in the future, regardless of their merit.</w:t>
      </w:r>
    </w:p>
    <w:p>
      <w:pPr>
        <w:spacing w:after="0" w:line="8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Even if we believe third-party intellectual property claims are without merit, there is no assurance that a court would find in our favor on questions of claim scope, infringement, validity, enforceability or priority. A court of competent jurisdiction could hold that third-party patents asserted against us are valid, enforceable and infringed, which could materially and adversely affect our ability to commercialize any drug candidates we may develop and any other drug candidates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misappropriate or otherwise violate a third party’s intellectual property rights, and we are unsuccessful in demonstrating that such rights are invalid or unenforceable, we could be required to obtain a license from such a third party in order to continue developing and marketing our products and technology. However, we may not be able to obtain any required license on commercially reasonable terms or at all. Even if we were able to obtain a license, it could be or may become non-exclusive, thereby giving our competitors access to the same technologies licensed to us. We could be forced, including by court order, to cease commercializing the infringing technology or product. A finding of infringement could prevent us from commercializing our drug</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71" w:name="page72"/>
    <w:bookmarkEnd w:id="71"/>
    <w:p>
      <w:pPr>
        <w:ind w:right="80"/>
        <w:spacing w:after="0" w:line="258" w:lineRule="auto"/>
        <w:rPr>
          <w:sz w:val="20"/>
          <w:szCs w:val="20"/>
          <w:color w:val="auto"/>
        </w:rPr>
      </w:pPr>
      <w:r>
        <w:rPr>
          <w:rFonts w:ascii="Times New Roman" w:cs="Times New Roman" w:eastAsia="Times New Roman" w:hAnsi="Times New Roman"/>
          <w:sz w:val="18"/>
          <w:szCs w:val="18"/>
          <w:color w:val="auto"/>
        </w:rPr>
        <w:t>candidates or force us to cease some of our business operations. In the event of a successful claim of infringement against us, we may have to pay substantial damages, including treble damages and attorneys’ fees for willful infringement, pay royalties and other fees, redesign our infringing drug candidate or obtain one or more licenses from third parties, which may be impossible or require substantial time and monetary expenditure. Claims that we have misappropriated the confidential information or trade secrets of third parties could have a similar negative impact on our business. Any of the foregoing events would harm our business, financial condition, results of operations and prospects.</w:t>
      </w:r>
    </w:p>
    <w:p>
      <w:pPr>
        <w:spacing w:after="0" w:line="17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we or our employees have infringed, misappropriated or otherwise violated their intellectual property rights, or claiming ownership of what we regard as our own intellectual property.</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We may also be subject to claims that patents and applications we have filed to protect inventions made on our behalf by our employees, consultants and advisors, even those related to one or more of our drug candidates, are rightfully owned by their former or concurrent employer. Litigation may be necessary to defend against these claims.</w:t>
      </w:r>
    </w:p>
    <w:p>
      <w:pPr>
        <w:spacing w:after="0" w:line="7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delay development of our drug candidates and be a distraction to management. Any of the foregoing events would harm our business, financial condition, results of operations and prospects.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or our licensors may be subject to claims that former employees, collaborators or other third parties have an interest in our owned or in-licensed patents, trade secrets, or other intellectual property as an inventor or co-inventor. For example, we or our licensors or collaborators may have inventorship disputes arising from conflicting obligations of employees, consultants or others who are involved in developing our drug candidates.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litigation may be necessary to defend against these and other claims challenging inventorship or our or our licensors’ or collaborators’ ownership of our owned or in-licensed patents, trade secrets or other intellectual property. If we or our licensors or collaborators fail in defending any such claims, in addition to paying monetary damages, we may lose valuable intellectual property rights, such as exclusive ownership of, or right to use, intellectual property that is important to our drug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degree of future protection, if any, afforded by our intellectual property rights is uncertain because intellectual property rights have limitations and may not adequately protect our business or permit us to maintain our competitive advantage. For example:</w:t>
      </w:r>
    </w:p>
    <w:p>
      <w:pPr>
        <w:spacing w:after="0" w:line="54" w:lineRule="exact"/>
        <w:rPr>
          <w:sz w:val="20"/>
          <w:szCs w:val="20"/>
          <w:color w:val="auto"/>
        </w:rPr>
      </w:pPr>
    </w:p>
    <w:p>
      <w:pPr>
        <w:ind w:left="1020" w:right="36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any drug candidates we may develop or utilize similar technology but that are not covered by the claims of the patents that we license or may own in the future;</w:t>
      </w:r>
    </w:p>
    <w:p>
      <w:pPr>
        <w:spacing w:after="0" w:line="53"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licensors or collaborators might not have been the first to make the inventions covered by the issued patent or pending patent application that we license or may own in the future;</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licensors or collaborators might not have been the first to file patent applications covering certain of our or their inventions;</w:t>
      </w:r>
    </w:p>
    <w:p>
      <w:pPr>
        <w:spacing w:after="0" w:line="5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owned or licensed intellectual property rights;</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owned or licensed patent applications or those that we may own or license in the future will not lead to issued patents;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may be held invalid or unenforceable, including as a result of legal challenges by our competitors;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72" w:name="page73"/>
    <w:bookmarkEnd w:id="72"/>
    <w:p>
      <w:pPr>
        <w:ind w:left="1020" w:right="72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intellectual property rights of others may harm our business; and</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directed to such intellectual property.</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Should any of these events occur, they could harm our business, financial condition, results of operations and prospects.</w:t>
      </w:r>
    </w:p>
    <w:p>
      <w:pPr>
        <w:spacing w:after="0" w:line="221"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rights, if any, could be reduced or eliminated if we fail to comply with these requirements.</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fees are required to be paid to the USPTO and foreign patent agencies in several stages over the lifetime of a patent. In certain circumstances, we rely on our collaborators or licensors to pay these fees. The USPTO and various foreign patent agencies also require compliance with a number of procedural, documentary, fee payment and other similar requirements during the patent application and prosecution process. Non-compliance events that could result in abandonment or lapse of a patent or patent application include failure to respond to official communications within prescribed time limits, non-payment of fees and failure to properly legalize and submit formal documents. While an inadvertent lapse can in some cases be cured by payment of a late fee or by other means in accordance with the applicable rules, there are situations in which non-compliance can result in irrevocable abandonment or lapse of the patent or patent application, resulting in partial or complete loss of patent rights in the relevant jurisdiction. If we or our licensors fail to maintain the patents and patent applications covering our drug candidates, our competitors might be able to enter the market with similar or identical products or technology, which would harm our business, financial condition, results of operations and prospects.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could cause us to spend substantial resources and distract our personnel from their normal responsibilities.</w:t>
      </w:r>
    </w:p>
    <w:p>
      <w:pPr>
        <w:spacing w:after="0" w:line="12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As noted above,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continue our clinical trials, continue our research programs, license necessary technology from third parties, or enter into development collaborations that would help us commercialize our drug candidates, if approved. Any of the foregoing events would harm our business, financial condition, results of operations and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rely on confidential methodologies and processes and confidentiality agreements to protect our unpatented know-how, technology and other proprietary information and to maintain our competitive position. Trade secrets and know-how can be difficult to protect. We seek to protect these trade secrets and other proprietary technology, in part, by entering into non-disclosure and confidentiality agreements with parties who have access to them, such as our employees, licensors, collaborators, CROs, contract manufacturers, consultants, advisors and other third parties. We also enter into confidentiality and invention or patent assignment agreements with our employees and consultants. We cannot guarantee that we have entered into such agreements with each party that may have or has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Unauthorized parties may also attempt to copy or reverse engineer certain aspects of our drug candidates that we consider proprietary. Monitoring unauthorized uses and disclosures is difficult, and we do not know whether the steps we have taken to protect our proprietary information will be effective.</w:t>
      </w:r>
    </w:p>
    <w:p>
      <w:pPr>
        <w:spacing w:after="0" w:line="86"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Enforcing a claim that a party illegally disclosed or misappropriated a trade secret is difficult,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73" w:name="page74"/>
    <w:bookmarkEnd w:id="73"/>
    <w:p>
      <w:pPr>
        <w:ind w:right="20"/>
        <w:spacing w:after="0" w:line="256" w:lineRule="auto"/>
        <w:rPr>
          <w:sz w:val="20"/>
          <w:szCs w:val="20"/>
          <w:color w:val="auto"/>
        </w:rPr>
      </w:pPr>
      <w:r>
        <w:rPr>
          <w:rFonts w:ascii="Times New Roman" w:cs="Times New Roman" w:eastAsia="Times New Roman" w:hAnsi="Times New Roman"/>
          <w:sz w:val="18"/>
          <w:szCs w:val="18"/>
          <w:color w:val="auto"/>
        </w:rPr>
        <w:t>expensive and time-consuming, and the outcome is unpredictable. In addition, some courts inside and outside the United States are less willing or unwilling to protect trade secrets, and we may need to share our trade secrets and proprietary know-how with current or future partners, collaborators, contractors and others located in countries at heightened risk of theft of trade secrets, including through direct intrusion by private parties or foreign actors, and those affiliated with or controlled by state actors.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18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registered or unregistered trademarks or trade names may be challenged, infringed, circumvented or declared generic or determined to be infringing other marks. We may not be able to protect our rights to these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Further,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business, financial condition, results of operations and prospects.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managing our growth and other risks related to our business</w:t>
      </w:r>
    </w:p>
    <w:p>
      <w:pPr>
        <w:spacing w:after="0" w:line="11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our key personnel, and if we are not successful in attracting, motivating and retaining highly qualified personnel, we may not be able to successfully implement our business strategy.</w:t>
      </w:r>
    </w:p>
    <w:p>
      <w:pPr>
        <w:spacing w:after="0" w:line="5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We are highly dependent on our management, scientific and medical personnel. The loss of the services of any of them may adversely impact the achievement of our objectives. Any of our executive officers could leave our employment at any time, as all of our employees are “at-will” employees. We currently do not have “key person” insurance on any of our employees.</w:t>
      </w:r>
    </w:p>
    <w:p>
      <w:pPr>
        <w:spacing w:after="0" w:line="68"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Recruiting and retaining qualified employees, consultants and advisors for our business, including scientific and technical personnel, also will be critical to our success. Competition for skilled personnel is intense and the turnover rate can be high. We may not be able to attract and retain personnel on acceptable terms given the competition among numerous pharmaceutical and biotechnology companies and academic institutions for skilled individuals. In addition, failure to succeed in nonclinical studies, clinical trials or applications for marketing approval may make it more challenging to recruit and retain qualified personnel. The inability to recruit, or the loss of services of certain executives, significant employees, consultants or advisors, may impede the progress of our research, development and commercialization objectives and have a material adverse effect on our business, financial condition, results of operations and prospects.</w:t>
      </w:r>
    </w:p>
    <w:p>
      <w:pPr>
        <w:spacing w:after="0" w:line="185"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have no sales organization. If we are unable to establish sales capabilities on our own or through third parties, we may not be able to market and sell any products effectively, if approved, or generate product revenue.</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currently do not have a marketing or sales organization, other than at the senior management level. In order to commercialize any product, if approved, in the United States and foreign jurisdictions, we must build our marketing, sales, distribution, managerial and other non-technical capabilities or make arrangements with third parties to perform these services, and we may not be successful in doing so. In advance of any of our drug candidates receiving regulatory approval, we expect to establish a sales organization with technical expertise and supporting distribution capabilities to commercialize each such drug candidate, which will be expensive and time-consuming. We, as a company, have no prior experience in the marketing, sale and distribution of 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our drug candidates. We may choose to collaborate with third parties that have direct sales forces and established distribution systems, either to augment our own sales force and distribution systems or in lieu of our own sales force and distribution systems. If we are unable to enter into such arrangements on acceptable terms or at all, we may not be able to successfully commercialize our drug candidates. If we are not successful in commercializing products, either on our own or through arrangements with one or more third parties, we may not be able to generate any future product revenue and we would incur significant additional losses.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grow the size of our organization, and we may experience difficulties in managing this growth.</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As our development and commercialization plans and strategies develop, and as we transition into operating as a public company, we expect to need additional managerial, operational, sales, marketing, financial and other personnel. Future growth would impose significant added responsibilities on members of management, including:</w:t>
      </w:r>
    </w:p>
    <w:p>
      <w:pPr>
        <w:spacing w:after="0" w:line="68" w:lineRule="exact"/>
        <w:rPr>
          <w:sz w:val="20"/>
          <w:szCs w:val="20"/>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integrating, maintaining and motivating additional employees;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internal development efforts effectively, including the clinical and FDA review process for our current drug candidates and any other drug candidate we develop, while complying with our contractual obligations to contractors and other third parties;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and enhancing our operational, financial and management controls, reporting systems and procedures.</w:t>
      </w:r>
    </w:p>
    <w:p>
      <w:pPr>
        <w:spacing w:after="0" w:line="117"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Our future financial performance and our ability to advance development of and, if approved, commercialize our current drug candidates and any other drug candidate we develop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72"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currently rely, and for the foreseeable future will continue to rely, in substantial part on certain independent organizations, advisors and consultants to provide certain services, including many aspects of marketing, clinical management, and manufacturing. We cannot assure you that the services of independent organizations, advisors and consultants will continue to be available to us on a timely basis when needed or at a reasonable cost, or that we can find qualified replacements. In addition, if we are unable to effectively manage our outsourced activities or if the quality or accuracy of the services provided by consultants is compromised for any reason, our nonclinical studies and clinical trials may be extended, delayed or terminated, and we may not be able to obtain marketing approval of any current or future drug candidates or otherwise advance our business. We cannot assure you that we will be able to manage our existing consultants or find other competent outside contractors and consultants on economically reasonable terms, or at all.</w:t>
      </w:r>
    </w:p>
    <w:p>
      <w:pPr>
        <w:spacing w:after="0" w:line="8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If we are not able to effectively expand our organization by hiring new employees and expanding our groups of consultants and contractors, we may experience delays or may not be able to successfully implement the tasks necessary to further develop and commercialize our current drug candidates and any future drug candidates we develop and, accordingly, may not achieve our research, development and commercialization goals.</w:t>
      </w:r>
    </w:p>
    <w:p>
      <w:pPr>
        <w:spacing w:after="0" w:line="68"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If we are not able to successfully manage any dispute with an employee or contractor, a resulting settlement or judgment could be expensive, time-consuming and distracting, and could affect our ability to focus on and fund our core activities.</w:t>
      </w:r>
    </w:p>
    <w:p>
      <w:pPr>
        <w:spacing w:after="0" w:line="15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51" w:lineRule="exact"/>
        <w:rPr>
          <w:sz w:val="20"/>
          <w:szCs w:val="20"/>
          <w:color w:val="auto"/>
        </w:rPr>
      </w:pPr>
    </w:p>
    <w:p>
      <w:pPr>
        <w:ind w:right="260" w:firstLine="509"/>
        <w:spacing w:after="0" w:line="256"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cannot eliminate the risk of contamination or injury from these materials, and we generally contract with third parties for the disposal of these materials and wastes. In the event of contamination or injury resulting from our use or third-party disposal of hazardous materials, we could be held liable for any resulting damages, and any liability could exceed our resources. We also could incur significant costs associated with civil or criminal fines and penalties.</w:t>
      </w:r>
    </w:p>
    <w:p>
      <w:pPr>
        <w:spacing w:after="0" w:line="7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and as such we would have to pay the full amount of any resultant liability out of pocket, which could significantly impair our financial condition.</w:t>
      </w:r>
    </w:p>
    <w:p>
      <w:pPr>
        <w:spacing w:after="0" w:line="17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earthquakes, wildfires, storms, or other natural disasters and our business continuity and disaster recovery plans may not adequately protect us from a serious disaster.</w:t>
      </w:r>
    </w:p>
    <w:p>
      <w:pPr>
        <w:spacing w:after="0" w:line="5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corporate headquarters and other facilities are located in the San Francisco Bay Area, which in the past has experienced both severe earthquakes and wildfires. We are also conducting clinical trials in many other countries and regions, which may be subject to natural disaster risks. We do not carry earthquake insurance, and as such we would have to pay the full amount of any resultant liability out of pocket, which could significantly impair our financial condition. In addition, earthquakes, wildfires or other natural disasters could severely disrupt our operations. If a natural disaster, power outage or other event occurred that prevented us from using all or a significant portion of our headquarters, that damaged critical infrastructure, such as our enterprise financial systems or manufacturing resource planning and enterprise quality systems, that delayed our clinical trials, or that otherwise disrupted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75" w:name="page76"/>
    <w:bookmarkEnd w:id="75"/>
    <w:p>
      <w:pPr>
        <w:ind w:right="260"/>
        <w:spacing w:after="0" w:line="256" w:lineRule="auto"/>
        <w:rPr>
          <w:sz w:val="20"/>
          <w:szCs w:val="20"/>
          <w:color w:val="auto"/>
        </w:rPr>
      </w:pPr>
      <w:r>
        <w:rPr>
          <w:rFonts w:ascii="Times New Roman" w:cs="Times New Roman" w:eastAsia="Times New Roman" w:hAnsi="Times New Roman"/>
          <w:sz w:val="18"/>
          <w:szCs w:val="18"/>
          <w:color w:val="auto"/>
        </w:rPr>
        <w:t>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 results of operations, financial condition and prospects. Furthermore, integral parties in our supply chain are similarly vulnerable to natural disasters or other sudden, unforeseen and severe adverse events. If such an event were to affect our supply chain, it could have a material adverse effect on our business.</w:t>
      </w:r>
    </w:p>
    <w:p>
      <w:pPr>
        <w:spacing w:after="0" w:line="183"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vendors, principal investigators, CROs, consultants and collaborators may engage in misconduct or other improper activities, including non-compliance with regulatory standards and requirements and insider trading.</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vendors, principal investigators, CROs, consultants and collaborators may engage in fraudulent conduct or other illegal activity. Misconduct by these parties could include intentional, reckless and/or negligent conduct or disclosure of unauthorized activities to us that violate the regulations of the FDA and comparable foreign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nonclinical studies or clinical trials,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be volatile and fluctuate substantially, which could result in substantial losses for investors.</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Our stock price is likely to be volatile. The stock market in general and the market for biopharmaceutical companies in particular have experienced extreme volatility that has often been unrelated to the operating performance of particular companies. The market price for our common stock may be influenced by many factors, including:</w:t>
      </w:r>
    </w:p>
    <w:p>
      <w:pPr>
        <w:spacing w:after="0" w:line="68" w:lineRule="exact"/>
        <w:rPr>
          <w:sz w:val="20"/>
          <w:szCs w:val="20"/>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and competitors' drug candidates and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and nonclinical studies or those of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our drug candidates or clinical development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drug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and market conditions and overall fluctuations in the financial markets in the United States and abroad;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76" w:name="page77"/>
    <w:bookmarkEnd w:id="76"/>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public health pandemics or epidemics;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general perception of us and our business.</w:t>
      </w:r>
    </w:p>
    <w:p>
      <w:pPr>
        <w:spacing w:after="0" w:line="117"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These and other market and industry factors may cause the market price and demand for our common stock to fluctuate substantially, regardless of our actual operating performance, which may limit or prevent investors from selling their shares at or above the price paid for the shares and may otherwise negatively affect the liquidity of our common stock.</w:t>
      </w:r>
    </w:p>
    <w:p>
      <w:pPr>
        <w:spacing w:after="0" w:line="68"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Some companies that have experienced volatility in the trading price of their shares have been the subject of securities class action litigation.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business practices. Defending against litigation is costly and time consuming, and could divert our management’s attention and our resources. Furthermore, during the course of litigation, there could be negative public announcements of the results of hearings, motions or other interim proceedings or developments, which could have a further negative effect on the market price of our common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An active trading market for our shares may not be sustained. In the absence of an active trading market for our common stock, investors may not be able to sell their common stock at a price or at the time that they would like to sell.</w:t>
      </w:r>
    </w:p>
    <w:p>
      <w:pPr>
        <w:spacing w:after="0" w:line="54"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An inactive market may also impair our ability to raise capital by selling shares and may impair our ability to acquire other drug candidates, businesses, or technologies using our shares as consideration.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so any returns will be limited to the value of our stock.</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do not currently intend to pay any cash dividends on our common stock for the foreseeable future. We currently intend to invest our future earnings, if any, to fund our growth. Accordingly, investors are not likely to receive dividends on our common stock for the foreseeable future. Since we do not intend to pay dividends, an investor’s ability to receive a return on its investment will depend on any future appreciation in the market value of our common stock. There is no guarantee that our common stock will appreciate or even maintain the price at which our holders purchased it.</w:t>
      </w:r>
    </w:p>
    <w:p>
      <w:pPr>
        <w:spacing w:after="0" w:line="68"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as a result of the reduced disclosure and governance requirements applicable to smaller reporting companies, our common stock may be less attractive to investors.</w:t>
      </w:r>
    </w:p>
    <w:p>
      <w:pPr>
        <w:spacing w:after="0" w:line="5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are a smaller reporting company and may therefore choose to present only the two most recent fiscal years of audited financial statements in our Annual Report on Form 10-K and are eligible to take advantage of certain of the reduced disclosure obligations regarding compensation disclosures. In addition, as a smaller reporting company with less than $100 million in annual revenue, we are exempt from the requirement to obtain an auditor attestation on the effectiveness of our internal control over financial reporting provided in Section 404(b) of the Sarbanes-Oxley Act of 2002, or the Sarbanes-Oxley Act. These exemptions and reduced disclosures in our SEC filings due to our status as a smaller reporting company may make it harder for investors to analyze our results of operations and financial prospects.</w:t>
      </w:r>
    </w:p>
    <w:p>
      <w:pPr>
        <w:spacing w:after="0" w:line="183"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their affiliates have significant influence over our company, which will limit an investor’s ability to influence corporate matters and could delay or prevent a change in corporate control.</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As of September 30, 2026, our executive officers, directors and their affiliates beneficially own, in the aggregate, approximately 45% of our outstanding common stock (assuming all shares of non-voting common stock are converted into voting common stock in accordance with the terms of our amended and restated certificate of incorporation), and 8% of our outstanding common stock (assuming all shares of non-voting common stock are converted to voting common stock and all pre-funded warrants are exercised in full on a cash exercise basis). In addition, in our October 2023 and February 2025 private placements, certain of the holders of 5% or more of our capital stock acquired pre-funded warrants to purchase shares of our common stock (which are immediately exercisable and have an exercise price of $0.0025 and $0.0001 per share, respectively) and common warrants to purchase shares of our common stock (which are immediately exercisable and have an exercise price of $18.92 and $26.02 per share, respectively). Until exercised, the shares issuable upon the exercise of the pre-funded warrants and the common warrants are not included in the number of our outstanding shares of common stock. If such holders exercise their warrants, then the shares of our capital stock beneficially owned by our executive officers, directors, holders of 5% or more of our capital stock and their respective affiliates would increase significantly. As a result, these stockholders, if they act together, will be able to influence our management and affairs and the outcome of matters submitted to our stockholders for approval, including the election of directors and any sale, merger, consolidation or sale of all or substantially all of our assets. In addition, this concentration of ownership might adversely affect the market price of our common stock by:</w:t>
      </w:r>
    </w:p>
    <w:p>
      <w:pPr>
        <w:spacing w:after="0" w:line="79" w:lineRule="exact"/>
        <w:rPr>
          <w:sz w:val="20"/>
          <w:szCs w:val="20"/>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deferring or preventing a change of control of us;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77" w:name="page78"/>
    <w:bookmarkEnd w:id="77"/>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impeding a merger, consolidation, takeover or other business combination involving us;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discouraging a potential acquirer from making a tender offer or otherwise attempting to obtain control of us.</w:t>
      </w:r>
    </w:p>
    <w:p>
      <w:pPr>
        <w:spacing w:after="0" w:line="22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may limit the ability to influence corporate matters and may limit the visibility with respect to certain transactions.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dual class structure of our common stock may limit an investor’s ability to influence corporate matters. Holders of our common stock are entitled to one vote per share, while holders of our non-voting common stock are not entitled to any votes. Nonetheless, each share of our non-voting common stock may be converted at any time into one share of our common stock at the option of its holder by providing written notice to us, subject to the limitations provided for in our amended and restated certificate of incorporation. Consequently, the exercise by holders of our non-voting common stock of their option to make this conversion will have the effect of increasing the relative voting power of such holders, and correspondingly decreasing the voting power of the holders of our common stock, which may limit an investor’s ability to influence corporate matters. As of September 30, 2026, we had 800,000 shares of non-voting common stock outstanding. Additionally, stockholders who hold, in the aggregate, more than 10% of our common stock and non-voting common stock, but 10% or less of our common stock, and are not otherwise a company insider, may not be required to report changes in their ownership due to transactions in our non-voting common stock pursuant to Section 16(a) of the Securities Exchange Act of 1934, as amended (the Exchange Act), and may not be subject to the short-swing profit provisions of Section 16(b) of the Exchange Act.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could cause our stock price to fall.</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If our existing stockholders sell, or indicate an intention to sell, substantial amounts of our common stock in the public market, the market price of our common stock could decline.</w:t>
      </w:r>
    </w:p>
    <w:p>
      <w:pPr>
        <w:spacing w:after="0" w:line="54"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As of September 30, 2026, approximately 3.0 million shares of common stock that are either subject to outstanding options or RSUs or reserved for future issuance under our equity incentive plans, and excluding all outstanding pre-funded warrants, are eligible for sale in the public market to the extent permitted by the provisions of various vesting schedules and Rule 144 and Rule 701 under the Securities Act. If these additional shares of common stock are sold, or if it is perceived that they will be sold, in the public market, the market price of our common stock could decline.</w:t>
      </w:r>
    </w:p>
    <w:p>
      <w:pPr>
        <w:spacing w:after="0" w:line="72"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In addition, the holders of approximately 7.3 million of our total common stock and non-voting common stock are entitled to rights with respect to the registration of their shares under the Securities Act described above.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market price of our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may be limited.</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Under Sections 382 and 383 of the Internal Revenue Code of 1986, as amended (the Code), and corresponding provisions of state law, if a corporation undergoes an “ownership change” (generally defined as a greater than 50 percentage point change (by value) in its equity ownership over a rolling three-year period), the corporation’s ability to use its pre-change net operating loss (NOL) carryforwards and other pre-change tax attributes to offset its post-change income may be limited. We performed a Code Section 382 analysis in February 2025 but determined there was no ownership change at that time that resulted in any limitations. We may have experienced additional ownership changes in the past and may in the future experience ownership changes as a result of changes in our stock ownership (some of which are not in our control). In addition, under current tax law, federal NOL carryforwards generated in periods after December 31, 2017, may be carried forward indefinitely but may only be used to offset 80% of our taxable income. For these reasons, our ability to utilize our NOL carryforwards and other tax attributes to reduce future tax liabilities may be limited.</w:t>
      </w:r>
    </w:p>
    <w:p>
      <w:pPr>
        <w:spacing w:after="0" w:line="18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5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industry or financial analysts publish about us or our business. If no or few analysts commence coverage of us, the trading price of our stock would likely decrease.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78" w:name="page79"/>
    <w:bookmarkEnd w:id="78"/>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implement and maintain proper and effective internal control over financial reporting, our ability to produce accurate and timely financial statements could be impaired, investors may lose confidence in our financial reporting and the trading price of our common stock may decline.</w:t>
      </w:r>
    </w:p>
    <w:p>
      <w:pPr>
        <w:spacing w:after="0" w:line="5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Pursuant to Section 404(a) of the Sarbanes-Oxley Act, our management is required to report on the effectiveness of our internal control over financial reporting in our Annual Report on Form 10-K for each fiscal year. If we become an accelerated or large accelerated filer, we will be subject to the independent auditor attestation requirement under Section 404(b) of the Sarbanes-Oxley Act. The rules governing the standards that must be met for management to assess our internal control over financial reporting are complex and require significant documentation, testing and possible remediation.</w:t>
      </w:r>
    </w:p>
    <w:p>
      <w:pPr>
        <w:spacing w:after="0" w:line="7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cannot assure you that there will not be material weaknesses in our internal control over financial reporting in the future. Any failure to implement and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in our internal control over financial reporting,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5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could delay or prevent changes in control or changes in our management without the consent of our board of directors. These provisions include the following:</w:t>
      </w:r>
    </w:p>
    <w:p>
      <w:pPr>
        <w:spacing w:after="0" w:line="54" w:lineRule="exact"/>
        <w:rPr>
          <w:sz w:val="20"/>
          <w:szCs w:val="20"/>
          <w:color w:val="auto"/>
        </w:rPr>
      </w:pPr>
    </w:p>
    <w:p>
      <w:pPr>
        <w:ind w:left="1020" w:right="260" w:hanging="503"/>
        <w:spacing w:after="0" w:line="282"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may delay the ability of stockholders to change the membership of a majority of our board of directors;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53" w:lineRule="exact"/>
        <w:rPr>
          <w:rFonts w:ascii="Times New Roman" w:cs="Times New Roman" w:eastAsia="Times New Roman" w:hAnsi="Times New Roman"/>
          <w:sz w:val="18"/>
          <w:szCs w:val="18"/>
          <w:color w:val="auto"/>
        </w:rPr>
      </w:pPr>
    </w:p>
    <w:p>
      <w:pPr>
        <w:jc w:val="both"/>
        <w:ind w:left="1020" w:right="120" w:hanging="503"/>
        <w:spacing w:after="0" w:line="266"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alter our amended and restated bylaws without obtaining stockholder approval;</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66"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at least 66 2/3% of the shares entitled to vote at an election of directors to adopt, amend or repeal our amended and restated bylaws or repeal the provisions of our amended and restated certificate of incorporation regarding the election and removal of directors;</w:t>
      </w:r>
    </w:p>
    <w:p>
      <w:pPr>
        <w:spacing w:after="0" w:line="6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53"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our chief executive officer or, in the absence of a chief executive officer, president or by the board of directors, which may delay the ability of our stockholders to force consideration of a proposal or to take action, including the removal of directors; and</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68"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79" w:name="page80"/>
    <w:bookmarkEnd w:id="79"/>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5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we will indemnify our directors and officers, in each case to the fullest extent permitted by Delaware law.</w:t>
      </w:r>
    </w:p>
    <w:p>
      <w:pPr>
        <w:spacing w:after="0" w:line="54"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In addition, as permitted by Section 145 of the Delaware General Corporation Law, our amended and restated bylaws and our indemnification agreements that we have entered into with our directors and officers provide that:</w:t>
      </w:r>
    </w:p>
    <w:p>
      <w:pPr>
        <w:spacing w:after="0" w:line="54" w:lineRule="exact"/>
        <w:rPr>
          <w:sz w:val="20"/>
          <w:szCs w:val="20"/>
          <w:color w:val="auto"/>
        </w:rPr>
      </w:pPr>
    </w:p>
    <w:p>
      <w:pPr>
        <w:ind w:left="1020" w:right="120" w:hanging="503"/>
        <w:spacing w:after="0" w:line="261"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company and, with respect to any criminal proceeding, had no reasonable cause to believe such person’s conduct was unlawful;</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 our discretion, indemnify employees and agents in those circumstances where indemnification is permitted by applicable law;</w:t>
      </w:r>
    </w:p>
    <w:p>
      <w:pPr>
        <w:spacing w:after="0" w:line="117" w:lineRule="exact"/>
        <w:rPr>
          <w:rFonts w:ascii="Times New Roman" w:cs="Times New Roman" w:eastAsia="Times New Roman" w:hAnsi="Times New Roman"/>
          <w:sz w:val="18"/>
          <w:szCs w:val="18"/>
          <w:color w:val="auto"/>
        </w:rPr>
      </w:pPr>
    </w:p>
    <w:p>
      <w:pPr>
        <w:jc w:val="both"/>
        <w:ind w:left="1020" w:right="200" w:hanging="503"/>
        <w:spacing w:after="0" w:line="312" w:lineRule="auto"/>
        <w:tabs>
          <w:tab w:leader="none" w:pos="10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31" w:lineRule="exact"/>
        <w:rPr>
          <w:rFonts w:ascii="Times New Roman" w:cs="Times New Roman" w:eastAsia="Times New Roman" w:hAnsi="Times New Roman"/>
          <w:sz w:val="17"/>
          <w:szCs w:val="17"/>
          <w:color w:val="auto"/>
        </w:rPr>
      </w:pPr>
    </w:p>
    <w:p>
      <w:pPr>
        <w:ind w:left="1020" w:right="380" w:hanging="503"/>
        <w:spacing w:after="0" w:line="282"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be obligated pursuant to our amended and restated bylaws to indemnify a person with respect to proceedings initiated by that person against us or our other indemnitees, except with respect to proceedings authorized by our board of directors;</w:t>
      </w:r>
    </w:p>
    <w:p>
      <w:pPr>
        <w:spacing w:after="0" w:line="53"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conferred in our amended and restated bylaws are not exclusive, and we are authorized to enter and have entered into indemnification agreements with our directors, officers, employees and agents and to obtain insurance to indemnify such persons; and</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retroactively amend our amended and restated bylaw provisions to reduce our indemnification obligations to directors, officers, employees and agents.</w:t>
      </w:r>
    </w:p>
    <w:p>
      <w:pPr>
        <w:spacing w:after="0" w:line="158" w:lineRule="exact"/>
        <w:rPr>
          <w:sz w:val="20"/>
          <w:szCs w:val="20"/>
          <w:color w:val="auto"/>
        </w:rPr>
      </w:pPr>
    </w:p>
    <w:p>
      <w:pPr>
        <w:jc w:val="both"/>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for an exclusive forum in the Court of Chancery of the State of Delaware for certain disputes between us and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specifies that, unless we consent in writing to the selection of an alternative forum, the Court of Chancery of the State of Delaware is the sole and exclusive forum for any derivative action or proceeding brought on our behalf; any action asserting a breach of fiduciary duty; any action asserting a claim against us arising pursuant to the Delaware General Corporation Law, our amended and restated certificate of incorporation, our amended and restated bylaws or any action as to which the Delaware General Corporation Law confers jurisdiction to the Court of Chancery of the State of Delaware; or any action asserting a claim against us that is governed by the internal affairs doctrine. Our amended and restated certificate of incorporation also provides that the federal district courts of the United States of America are the exclusive forum for the resolution of any complaint asserting a cause of action against us or any of our directors, officers, employees or agents and arising under the Securities Act. 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However, these provisions may have the effect of discouraging lawsuits against our directors and officers. The choice of forum provision requiring that the Court of Chancery of the State of Delaware or the federal district courts of the United States of America be the exclusive forum for certain actions does not apply to suits brought to enforce any liability or duty created by the Exchange Act. Our exclusive forum provision does not relieve us of our duties to comply with the federal securities laws and the rules and regulations thereunder, and our stockholders will not be deemed to have waived our compliance with these laws, rules and regulations. Although our amended and restated certificate of incorporation contains the choice of forum provisions described above, it is possible that a court could find that such a provision is inapplicable for a particular claim or action or that such provision is unenforceable.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w:t>
      </w:r>
    </w:p>
    <w:p>
      <w:pPr>
        <w:spacing w:after="0" w:line="121"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To date, we have primarily financed our operations through the sale of common stock, preferred stock, convertible notes and warrants, and to a lesser extent from upfront payments under our license/collaboration agreements. We will be required to seek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80" w:name="page81"/>
    <w:bookmarkEnd w:id="80"/>
    <w:p>
      <w:pPr>
        <w:ind w:right="20"/>
        <w:spacing w:after="0" w:line="253" w:lineRule="auto"/>
        <w:rPr>
          <w:sz w:val="20"/>
          <w:szCs w:val="20"/>
          <w:color w:val="auto"/>
        </w:rPr>
      </w:pPr>
      <w:r>
        <w:rPr>
          <w:rFonts w:ascii="Times New Roman" w:cs="Times New Roman" w:eastAsia="Times New Roman" w:hAnsi="Times New Roman"/>
          <w:sz w:val="18"/>
          <w:szCs w:val="18"/>
          <w:color w:val="auto"/>
        </w:rPr>
        <w:t>additional funding in the future and may do so through public or private equity offerings or debt financings, credit or loan facilities, collaborations or a combination of one or more of these funding sources. If we raise additional funds by issuing equity securities, our stockholders may suffer dilution and the terms of any equity financing may adversely affect the rights of our stockholders. In addition, as a condition to providing additional funds to us, future investors may demand, and may be granted, rights superior to those of existing stockholders. Debt financing, if available, is likely to involve restrictive covenants limiting our flexibility in conducting future business activities, and, in the event of insolvency, debt holders would be repaid before holders of our equity securities received any distribution of our corporate assets. If we raise additional capital through marketing and distribution arrangements or other collaborations, strategic alliances or licensing arrangements with third parties, we may have to relinquish certain valuable rights to our drug candidates, technologies, future revenue streams or research programs or grant licenses on terms that may not be favorable to us. Attempting to secure additional financing may also divert our management’s attention from our day-to-day activities, which may adversely affect our ability to develop our drug candidates.</w:t>
      </w:r>
    </w:p>
    <w:p>
      <w:pPr>
        <w:spacing w:after="0" w:line="190"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global or domestic economic or political conditions could adversely affect our business, financial condition, stock price and results of operations.</w:t>
      </w:r>
    </w:p>
    <w:p>
      <w:pPr>
        <w:spacing w:after="0" w:line="5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The applicability of, and lack of clarity around, trade tariffs imposed by the U.S. government and retaliatory tariffs imposed by other governments may have a significant impact on the financial condition of companies. International conflicts, such as armed conflicts in the Middle East, have an effect on the global economy including fuel and energy availability and pricing, which can harm our business. Adverse developments that affect financial institutions, transactional counterparties, or other third parties, or concerns or rumors about these events, have in the past and may in the future lead to market-wide liquidity problems. For example, on March 10, 2023, Silicon Valley Bank (SVB) was closed by the California Department of Financial Protection and Innovation, which appointed the U.S. Federal Deposit Insurance Corporation (FDIC) as receiver. Similarly, other institutions have been and may continue to be swept into receivership. We have no borrowing or deposit exposure to directly impacted institutions and have not experienced an adverse impact to our liquidity or to our business operations, financial condition, or results of operations as a result of these recent events. However, uncertainty may remain over liquidity concerns in the broader financial services industry, and there may be unpredictable impacts to our business and our industry.</w:t>
      </w:r>
    </w:p>
    <w:p>
      <w:pPr>
        <w:spacing w:after="0" w:line="86"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While the situation involving the conflict between Russia and Ukraine and the conflicts in the Middle East, including Iran, remains highly fluid, the ongoing conflicts and any associated sanctions, blockades or resource shortages may have a severe impact on the global economy, or on the economy and stability of the United States. A severe or prolonged economic downturn, such as the 2008 global financial crisis, or a downturn caused by armed conflict, U.S. government shutdowns, political unrest, or other domestic or international events, could result in a variety of risks to our business, including weakened demand for any drug candidates we may develop and our ability to raise additional capital when needed on acceptable terms, if at all. A weak or declining economy or disruptions in the supply chain generally could also strain our suppliers, possibly resulting in supply disruption.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manufacturers or other partners may not survive such difficult economic times, which could directly affect our ability to attain our operating goals on schedule and on budget. Any of the foregoing could harm our business and we cannot anticipate all of the ways in which the current political and economic climate and financial market conditions could adversely impact our business. Furthermore, our stock price may decline due in part to the volatility of the stock market and any general economic downturn.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policies are expensive and protect us only from some business risks, which leaves us exposed to significant uninsured liabilities.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do not carry insurance for all categories of risk that our business may encounter. Some of the policies we currently maintain include general liability, property, umbrella, clinical trials and directors’ and officers’ insurance. Any additional insurance coverage we acquire in the future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Any significant uninsured liability may require us to pay substantial amounts, which would adversely affect our cash position and results of operations.</w:t>
      </w:r>
    </w:p>
    <w:p>
      <w:pPr>
        <w:spacing w:after="0" w:line="75"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also expect that operating as a public company will make it more difficult and more expensive for us to obtain directors’ and officers’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81" w:name="page82"/>
    <w:bookmarkEnd w:id="81"/>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U.S. and foreign anti-corruption, anti-money laundering, export control, sanctions, and other trade laws and regulations, violations of which can have serious negative consequences for our business.</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U.S. and foreign anti-corruption, anti-money laundering, export control, sanctions, and other trade laws and regulations (collectively, Trade Laws), prohibit, among other matters,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and reputational harm, among other consequences. We routinely have direct or indirect interactions with officials and employees of government agencies or government-affiliated hospitals, universities, and other organizations, and we expect our non-U.S. activities to increase in time. We plan to engage third parties for clinical trials and/or obtain necessary permits, licenses, patent registrations, and other regulatory approvals from such officials, employees and government agencies and affiliates and we may be held liable for any corrupt or other illegal activities of our personnel, agents, or partners, even if we do not explicitly authorize or have prior knowledge of such activities.</w:t>
      </w:r>
    </w:p>
    <w:p>
      <w:pPr>
        <w:spacing w:after="0" w:line="190"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engaged, and may in the future engage in strategic transactions; such transactions could affect our liquidity, dilute our existing stockholders, increase our expenses and present significant challenges in focus and energy to our management or prove not to be successful.</w:t>
      </w:r>
    </w:p>
    <w:p>
      <w:pPr>
        <w:spacing w:after="0" w:line="5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we engage in strategic transactions, such as acquisitions of companies, asset purchases and out-licensing or in-licensing of intellectual property, products or technologies. For example, we have outlicensed rights to pevifoscorvir sodium to Amoytop in China, Taiwan, Hong Kong and Macau.</w:t>
      </w:r>
    </w:p>
    <w:p>
      <w:pPr>
        <w:spacing w:after="0" w:line="68"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Such transactions include a variety of business arrangements, including spin-offs, strategic partnerships, joint ventures, restructurings, divestitures, business combinations, investments and licensings. Any future transactions could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Future acquisitions may also require us to obtain additional financing, which may not be available on favorable terms or at all. These transactions may never be successful and may require significant time and attention of management. In addition, the integration of any business that we may acquire in the future may disrupt our existing business and may be a complex, risky and costly endeavor for which we may never realize the full benefits of the acquisition.</w:t>
      </w:r>
    </w:p>
    <w:p>
      <w:pPr>
        <w:spacing w:after="0" w:line="18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Public health pandemics or epidemics, political instability, terrorist attacks, other acts of violence or war, or other unexpected events could materially and adversely impact us.</w:t>
      </w:r>
    </w:p>
    <w:p>
      <w:pPr>
        <w:spacing w:after="0" w:line="5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Public health pandemics or epidemics, political instability, terrorist attacks, other acts of violence or war or other unexpected events could materially interrupt our business operations (or those of the third parties upon whom we depend), cause consumer confidence and spending to decrease or result in increased volatility in the United States and worldwide financial markets and economy. They also could result in or prolong an economic recession in the United States. Any of these occurrences could materially and adversely affect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or administrative proceedings could have a material adverse effect on our business, our financial condition and our results of operations.</w:t>
      </w:r>
    </w:p>
    <w:p>
      <w:pPr>
        <w:spacing w:after="0" w:line="121" w:lineRule="exact"/>
        <w:rPr>
          <w:sz w:val="20"/>
          <w:szCs w:val="20"/>
          <w:color w:val="auto"/>
        </w:rPr>
      </w:pPr>
    </w:p>
    <w:p>
      <w:pPr>
        <w:ind w:right="20" w:firstLine="509"/>
        <w:spacing w:after="0" w:line="281" w:lineRule="auto"/>
        <w:rPr>
          <w:sz w:val="20"/>
          <w:szCs w:val="20"/>
          <w:color w:val="auto"/>
        </w:rPr>
      </w:pPr>
      <w:r>
        <w:rPr>
          <w:rFonts w:ascii="Times New Roman" w:cs="Times New Roman" w:eastAsia="Times New Roman" w:hAnsi="Times New Roman"/>
          <w:sz w:val="17"/>
          <w:szCs w:val="17"/>
          <w:color w:val="auto"/>
        </w:rPr>
        <w:t>We may be involved in legal proceedings, administrative proceedings, claims, and other litigation that arise in the ordinary course of business. Unfavorable outcomes or developments relating to proceedings to which we are a party or transactions involving our current or future drug candidates, such as judgments for monetary damages, injunctions, or denial or revocation of permits, could have a material adverse effect on our business, our financial condition, and our results of operations. In addition, settlement of claims could adversely affect our financial condition and our results of operations.</w:t>
      </w:r>
    </w:p>
    <w:p>
      <w:pPr>
        <w:spacing w:after="0" w:line="160"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 costs as a result of operating as a public company, and our loss of "emerging growth company" status as of December 31, 2025 has increased and will continue to increase our compliance obligations and associated costs.</w:t>
      </w:r>
    </w:p>
    <w:p>
      <w:pPr>
        <w:spacing w:after="0" w:line="51" w:lineRule="exact"/>
        <w:rPr>
          <w:sz w:val="20"/>
          <w:szCs w:val="20"/>
          <w:color w:val="auto"/>
        </w:rPr>
      </w:pPr>
    </w:p>
    <w:p>
      <w:pPr>
        <w:ind w:right="180" w:firstLine="509"/>
        <w:spacing w:after="0" w:line="219" w:lineRule="exact"/>
        <w:rPr>
          <w:sz w:val="20"/>
          <w:szCs w:val="20"/>
          <w:color w:val="auto"/>
        </w:rPr>
      </w:pPr>
      <w:r>
        <w:rPr>
          <w:rFonts w:ascii="Times New Roman" w:cs="Times New Roman" w:eastAsia="Times New Roman" w:hAnsi="Times New Roman"/>
          <w:sz w:val="18"/>
          <w:szCs w:val="18"/>
          <w:color w:val="auto"/>
        </w:rPr>
        <w:t>As a public company, we incur significant legal, accounting, insurance, and other expenses, and our management is required to devote substantial time to compliance and corporate governance matters. We are subject to the reporting and other requirements of the Securities Exchange Act of 1934, as amended (the Exchange Act),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of 2002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the Dodd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Frank Wall Street Reform and Consumer Protection Act, the rules and regulations of the SEC, and the listing standards of The Nasdaq Stock Market LLC. These requirements impose significant obligations on us, including requirements to file annual, quarterly, and current reports with respect to our business, financial condition, and results of operations; to establish and maintain effective disclosure controls and procedures and internal control over financial reporting; to comply with corporate governance requirements applicable to listed companies; and to comply with executive compensation, related-person transaction, insider trading, and other disclosure requirements.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82" w:name="page83"/>
    <w:bookmarkEnd w:id="82"/>
    <w:p>
      <w:pPr>
        <w:ind w:right="60" w:firstLine="509"/>
        <w:spacing w:after="0" w:line="220" w:lineRule="exact"/>
        <w:rPr>
          <w:sz w:val="20"/>
          <w:szCs w:val="20"/>
          <w:color w:val="auto"/>
        </w:rPr>
      </w:pPr>
      <w:r>
        <w:rPr>
          <w:rFonts w:ascii="Times New Roman" w:cs="Times New Roman" w:eastAsia="Times New Roman" w:hAnsi="Times New Roman"/>
          <w:sz w:val="18"/>
          <w:szCs w:val="18"/>
          <w:color w:val="auto"/>
        </w:rPr>
        <w:t>We ceased to qualify as an "emerging growth company" (EGC) on December 31, 2025, the last day of the fiscal year following the fifth anniversary of our initial public offering, and we are no longer eligible for the reduced reporting and other accommodations available to EGCs under the Jumpstart Our Business Startups Act of 2012 (the JOBS Act). As a result, beginning with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ending December 31, 2026 and our other periodic and current reports filed in 2026 and thereafter, we are required to comply with reporting, disclosure, and other obligations from which we were previously exempt or for which we were entitled to phased-in compliance.</w:t>
      </w:r>
    </w:p>
    <w:p>
      <w:pPr>
        <w:spacing w:after="0" w:line="93" w:lineRule="exact"/>
        <w:rPr>
          <w:sz w:val="20"/>
          <w:szCs w:val="20"/>
          <w:color w:val="auto"/>
        </w:rPr>
      </w:pPr>
    </w:p>
    <w:p>
      <w:pPr>
        <w:ind w:right="40" w:firstLine="509"/>
        <w:spacing w:after="0" w:line="219" w:lineRule="exact"/>
        <w:rPr>
          <w:sz w:val="20"/>
          <w:szCs w:val="20"/>
          <w:color w:val="auto"/>
        </w:rPr>
      </w:pPr>
      <w:r>
        <w:rPr>
          <w:rFonts w:ascii="Times New Roman" w:cs="Times New Roman" w:eastAsia="Times New Roman" w:hAnsi="Times New Roman"/>
          <w:sz w:val="18"/>
          <w:szCs w:val="18"/>
          <w:color w:val="auto"/>
        </w:rPr>
        <w:t>In addition, if we cease to qualify as a "smaller reporting company" under SEC rules or our public float or revenues exceed applicable thresholds such that we become an "accelerated filer" or "large accelerated filer," we will become subject to further incremental obligations, including the requirement to provide an attestation report from our independent registered public accounting firm on the effectiveness of our internal control over financial reporting under Section 404(b)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accelerated periodic report filing deadlines, and additional disclosure requirements. Compliance with these requirements would substantially increase our legal, accounting, and other compliance costs and would require additional management attention and personnel.</w:t>
      </w:r>
    </w:p>
    <w:p>
      <w:pPr>
        <w:spacing w:after="0" w:line="95"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expect that our compliance costs will continue to increase as a result of our loss of EGC status, evolving SEC and Nasdaq rules and interpretations, stockholder activism, and the current regulatory and political environment. We also expect that the rules applicable to public companies will continue to make it difficult and expensive to obtain directors' and officers' liability insurance, and we may be required to accept reduced policy limits and coverage or incur substantially higher costs to maintain comparable coverage. Any of the foregoing could divert the attention of our management and other personnel from other business concerns, harm our ability to attract and retain qualified persons to serve on our board of directors, our board committees, or as executive officers, and have a material adverse effect on our business, financial condition, results of operations, and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fluctuations in our tax obligations and effective tax rate, which could materially and adversely affect our results of operations.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are subject to U.S. federal and state income taxes and taxes in certain other non-U.S. jurisdictions. Tax laws, regulations and administrative practices in various jurisdictions may be subject to significant change, with or without advance notice, due to economic, political and other conditions, and significant judgment is required in evaluating and estimating our provision and accruals for these taxes. For example, the OBBBA was signed into law in July 2025. Regulatory guidance under the OBBBA, and other tax-related legislation is and continues to be forthcoming, and such guidance could ultimately increase or lessen the impact of these laws on our business and financial condition. In addition, it is uncertain if and to what extent various states will conform to changes to federal tax legislation. There are many transactions that occur during the ordinary course of business for which the ultimate tax determination is uncertain. Our effective tax rates could be affected by numerous factors, such as changes in tax, accounting and other laws, regulations, administrative practices, principles and interpretations, the outcome of current and future tax audits, examinations, or administrative appeals, changes in the mix and level of earnings in a given taxing jurisdiction or changes in our ownership or capital structures.</w:t>
      </w:r>
    </w:p>
    <w:p>
      <w:pPr>
        <w:spacing w:after="0" w:line="184"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current shares outstanding and resulting market valuation do not reflect shares of our common stock issuable upon the exercise of pre-funded warrants and common warrants that are exercisable at the discretion of the holders of such warrants. If we sell shares of our common stock in future financings, stockholders may experience immediate dilution and, as a result, our stock price may decline.</w:t>
      </w:r>
    </w:p>
    <w:p>
      <w:pPr>
        <w:spacing w:after="0" w:line="67"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For example, in October 2023 and February 2025, we closed private placements which included the sale of pre-funded warrants and common warrants to purchase shares of our common stock. If we issue common stock or securities convertible into common stock, holders of our common stock would experience additional dilution, such dilutive impact may be difficult to compute, and our stock price may decline.</w:t>
      </w:r>
    </w:p>
    <w:p>
      <w:pPr>
        <w:spacing w:after="0" w:line="183"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w:t>
      </w:r>
    </w:p>
    <w:p>
      <w:pPr>
        <w:spacing w:after="0" w:line="67" w:lineRule="exact"/>
        <w:rPr>
          <w:sz w:val="20"/>
          <w:szCs w:val="20"/>
          <w:color w:val="auto"/>
        </w:rPr>
      </w:pPr>
    </w:p>
    <w:p>
      <w:pPr>
        <w:ind w:right="140" w:firstLine="509"/>
        <w:spacing w:after="0" w:line="257"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If our assumptions change or if actual circumstances differ from our assumptions, our operating results may be adversely affected and could fall below our publicly announced guidance or the expectations of securities analysts and investors, resulting in a decline in the market price of our common stock</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83" w:name="page84"/>
    <w:bookmarkEnd w:id="83"/>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Rule 10b5-1 Trading Plans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quarter ended September 30, 2026, none of our directors or officers (as defined in Rule 16a-1(f) under the Securities Exchange Act of 1934, as amended) adopted, modified or terminated a “Rule 10b5-1(c) trading arrangement” or a “non-Rule 10b5-1 trading arrangement”, as each term is defined in Item 408(a) of Regulation S-K.</w:t>
      </w:r>
    </w:p>
    <w:p>
      <w:pPr>
        <w:spacing w:after="0" w:line="17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440" w:right="539" w:bottom="1440" w:gutter="0" w:footer="0" w:header="0"/>
        </w:sectPr>
      </w:pPr>
    </w:p>
    <w:bookmarkStart w:id="84" w:name="page85"/>
    <w:bookmarkEnd w:id="84"/>
    <w:p>
      <w:pPr>
        <w:ind w:left="2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0" w:type="dxa"/>
            <w:vAlign w:val="bottom"/>
          </w:tcPr>
          <w:p>
            <w:pPr>
              <w:spacing w:after="0"/>
              <w:rPr>
                <w:sz w:val="15"/>
                <w:szCs w:val="15"/>
                <w:color w:val="auto"/>
              </w:rPr>
            </w:pPr>
          </w:p>
        </w:tc>
        <w:tc>
          <w:tcPr>
            <w:tcW w:w="10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Provided</w:t>
            </w:r>
          </w:p>
        </w:tc>
      </w:tr>
      <w:tr>
        <w:trPr>
          <w:trHeight w:val="142"/>
        </w:trPr>
        <w:tc>
          <w:tcPr>
            <w:tcW w:w="9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2"/>
                <w:szCs w:val="12"/>
                <w:color w:val="auto"/>
              </w:rPr>
            </w:pPr>
          </w:p>
        </w:tc>
        <w:tc>
          <w:tcPr>
            <w:tcW w:w="5940" w:type="dxa"/>
            <w:vAlign w:val="bottom"/>
            <w:tcBorders>
              <w:bottom w:val="single" w:sz="8" w:color="auto"/>
            </w:tcBorders>
          </w:tcPr>
          <w:p>
            <w:pPr>
              <w:ind w:left="2380"/>
              <w:spacing w:after="0" w:line="142" w:lineRule="exact"/>
              <w:rPr>
                <w:sz w:val="20"/>
                <w:szCs w:val="20"/>
                <w:color w:val="auto"/>
              </w:rPr>
            </w:pPr>
            <w:r>
              <w:rPr>
                <w:rFonts w:ascii="Times New Roman" w:cs="Times New Roman" w:eastAsia="Times New Roman" w:hAnsi="Times New Roman"/>
                <w:sz w:val="14"/>
                <w:szCs w:val="14"/>
                <w:b w:val="1"/>
                <w:bCs w:val="1"/>
                <w:color w:val="auto"/>
              </w:rPr>
              <w:t>Exhibit Description</w:t>
            </w:r>
          </w:p>
        </w:tc>
        <w:tc>
          <w:tcPr>
            <w:tcW w:w="120" w:type="dxa"/>
            <w:vAlign w:val="bottom"/>
          </w:tcPr>
          <w:p>
            <w:pPr>
              <w:spacing w:after="0"/>
              <w:rPr>
                <w:sz w:val="12"/>
                <w:szCs w:val="12"/>
                <w:color w:val="auto"/>
              </w:rPr>
            </w:pPr>
          </w:p>
        </w:tc>
        <w:tc>
          <w:tcPr>
            <w:tcW w:w="580" w:type="dxa"/>
            <w:vAlign w:val="bottom"/>
            <w:tcBorders>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Borders>
              <w:bottom w:val="single" w:sz="8" w:color="auto"/>
            </w:tcBorders>
          </w:tcPr>
          <w:p>
            <w:pPr>
              <w:ind w:left="460"/>
              <w:spacing w:after="0" w:line="142" w:lineRule="exact"/>
              <w:rPr>
                <w:sz w:val="20"/>
                <w:szCs w:val="20"/>
                <w:color w:val="auto"/>
              </w:rPr>
            </w:pPr>
            <w:r>
              <w:rPr>
                <w:rFonts w:ascii="Times New Roman" w:cs="Times New Roman" w:eastAsia="Times New Roman" w:hAnsi="Times New Roman"/>
                <w:sz w:val="14"/>
                <w:szCs w:val="14"/>
                <w:b w:val="1"/>
                <w:bCs w:val="1"/>
                <w:color w:val="auto"/>
              </w:rPr>
              <w:t>Date</w:t>
            </w:r>
          </w:p>
        </w:tc>
        <w:tc>
          <w:tcPr>
            <w:tcW w:w="120" w:type="dxa"/>
            <w:vAlign w:val="bottom"/>
          </w:tcPr>
          <w:p>
            <w:pPr>
              <w:spacing w:after="0"/>
              <w:rPr>
                <w:sz w:val="12"/>
                <w:szCs w:val="12"/>
                <w:color w:val="auto"/>
              </w:rPr>
            </w:pPr>
          </w:p>
        </w:tc>
        <w:tc>
          <w:tcPr>
            <w:tcW w:w="820" w:type="dxa"/>
            <w:vAlign w:val="bottom"/>
            <w:tcBorders>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2"/>
                <w:szCs w:val="12"/>
                <w:color w:val="auto"/>
              </w:rPr>
            </w:pPr>
          </w:p>
        </w:tc>
        <w:tc>
          <w:tcPr>
            <w:tcW w:w="1080" w:type="dxa"/>
            <w:vAlign w:val="bottom"/>
            <w:tcBorders>
              <w:bottom w:val="single" w:sz="8" w:color="auto"/>
            </w:tcBorders>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Herewith</w:t>
            </w:r>
          </w:p>
        </w:tc>
      </w:tr>
    </w:tbl>
    <w:p>
      <w:pPr>
        <w:spacing w:after="0" w:line="90" w:lineRule="exact"/>
        <w:rPr>
          <w:sz w:val="20"/>
          <w:szCs w:val="20"/>
          <w:color w:val="auto"/>
        </w:rPr>
      </w:pPr>
    </w:p>
    <w:p>
      <w:pPr>
        <w:sectPr>
          <w:pgSz w:w="11900" w:h="16838" w:orient="portrait"/>
          <w:cols w:equalWidth="0" w:num="1">
            <w:col w:w="11240"/>
          </w:cols>
          <w:pgMar w:left="320" w:top="1008" w:right="339" w:bottom="1440" w:gutter="0" w:footer="0" w:header="0"/>
        </w:sectPr>
      </w:pPr>
    </w:p>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3.1(a)</w:t>
            </w:r>
          </w:p>
        </w:tc>
        <w:tc>
          <w:tcPr>
            <w:tcW w:w="5920" w:type="dxa"/>
            <w:vAlign w:val="bottom"/>
            <w:gridSpan w:val="23"/>
          </w:tcPr>
          <w:p>
            <w:pPr>
              <w:spacing w:after="0"/>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Amended and Restated Certificate of Incorporation.</w:t>
              </w:r>
            </w:hyperlink>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10/20/2020</w:t>
            </w:r>
          </w:p>
        </w:tc>
        <w:tc>
          <w:tcPr>
            <w:tcW w:w="6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7"/>
              </w:rPr>
              <w:t>3.1</w:t>
            </w:r>
          </w:p>
        </w:tc>
        <w:tc>
          <w:tcPr>
            <w:tcW w:w="0" w:type="dxa"/>
            <w:vAlign w:val="bottom"/>
          </w:tcPr>
          <w:p>
            <w:pPr>
              <w:spacing w:after="0"/>
              <w:rPr>
                <w:sz w:val="1"/>
                <w:szCs w:val="1"/>
                <w:color w:val="auto"/>
              </w:rPr>
            </w:pPr>
          </w:p>
        </w:tc>
      </w:tr>
      <w:tr>
        <w:trPr>
          <w:trHeight w:val="20"/>
        </w:trPr>
        <w:tc>
          <w:tcPr>
            <w:tcW w:w="1060" w:type="dxa"/>
            <w:vAlign w:val="bottom"/>
            <w:tcBorders>
              <w:right w:val="single" w:sz="8" w:color="0000FF"/>
            </w:tcBorders>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3.1(b)</w:t>
            </w:r>
          </w:p>
        </w:tc>
        <w:tc>
          <w:tcPr>
            <w:tcW w:w="5920" w:type="dxa"/>
            <w:vAlign w:val="bottom"/>
            <w:gridSpan w:val="23"/>
          </w:tcPr>
          <w:p>
            <w:pPr>
              <w:spacing w:after="0"/>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Certificate of Amendment to Amended and Restated Certificate of Incorporation.</w:t>
              </w:r>
            </w:hyperlink>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6/28/2024</w:t>
            </w:r>
          </w:p>
        </w:tc>
        <w:tc>
          <w:tcPr>
            <w:tcW w:w="6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7"/>
              </w:rPr>
              <w:t>3.1</w:t>
            </w: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3.1(c)</w:t>
            </w:r>
          </w:p>
        </w:tc>
        <w:tc>
          <w:tcPr>
            <w:tcW w:w="5920" w:type="dxa"/>
            <w:vAlign w:val="bottom"/>
            <w:gridSpan w:val="23"/>
          </w:tcPr>
          <w:p>
            <w:pPr>
              <w:spacing w:after="0"/>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Certificate of Amendment to Amended and Restated Certificate of Incorporation.</w:t>
              </w:r>
            </w:hyperlink>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8/19/2024</w:t>
            </w:r>
          </w:p>
        </w:tc>
        <w:tc>
          <w:tcPr>
            <w:tcW w:w="6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7"/>
              </w:rPr>
              <w:t>3.1</w:t>
            </w: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3.1(d)</w:t>
            </w:r>
          </w:p>
        </w:tc>
        <w:tc>
          <w:tcPr>
            <w:tcW w:w="5920" w:type="dxa"/>
            <w:vAlign w:val="bottom"/>
            <w:gridSpan w:val="23"/>
          </w:tcPr>
          <w:p>
            <w:pPr>
              <w:spacing w:after="0"/>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Certificate of Amendment to Amended and Restated Certificate of Incorporation.</w:t>
              </w:r>
            </w:hyperlink>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6/26/2025</w:t>
            </w:r>
          </w:p>
        </w:tc>
        <w:tc>
          <w:tcPr>
            <w:tcW w:w="6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7"/>
              </w:rPr>
              <w:t>3.1</w:t>
            </w: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5920" w:type="dxa"/>
            <w:vAlign w:val="bottom"/>
            <w:gridSpan w:val="23"/>
          </w:tcPr>
          <w:p>
            <w:pPr>
              <w:spacing w:after="0"/>
              <w:rPr>
                <w:rFonts w:ascii="Times New Roman" w:cs="Times New Roman" w:eastAsia="Times New Roman" w:hAnsi="Times New Roman"/>
                <w:sz w:val="18"/>
                <w:szCs w:val="18"/>
                <w:color w:val="0000FF"/>
              </w:rPr>
            </w:pPr>
            <w:hyperlink r:id="rId260">
              <w:r>
                <w:rPr>
                  <w:rFonts w:ascii="Times New Roman" w:cs="Times New Roman" w:eastAsia="Times New Roman" w:hAnsi="Times New Roman"/>
                  <w:sz w:val="18"/>
                  <w:szCs w:val="18"/>
                  <w:color w:val="0000FF"/>
                </w:rPr>
                <w:t>Amended and Restated Bylaws.</w:t>
              </w:r>
            </w:hyperlink>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10/20/2020</w:t>
            </w:r>
          </w:p>
        </w:tc>
        <w:tc>
          <w:tcPr>
            <w:tcW w:w="6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7"/>
              </w:rPr>
              <w:t>3.2</w:t>
            </w:r>
          </w:p>
        </w:tc>
        <w:tc>
          <w:tcPr>
            <w:tcW w:w="0" w:type="dxa"/>
            <w:vAlign w:val="bottom"/>
          </w:tcPr>
          <w:p>
            <w:pPr>
              <w:spacing w:after="0"/>
              <w:rPr>
                <w:sz w:val="1"/>
                <w:szCs w:val="1"/>
                <w:color w:val="auto"/>
              </w:rPr>
            </w:pPr>
          </w:p>
        </w:tc>
      </w:tr>
      <w:tr>
        <w:trPr>
          <w:trHeight w:val="20"/>
        </w:trPr>
        <w:tc>
          <w:tcPr>
            <w:tcW w:w="1060" w:type="dxa"/>
            <w:vAlign w:val="bottom"/>
            <w:tcBorders>
              <w:right w:val="single" w:sz="8" w:color="0000FF"/>
            </w:tcBorders>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5920" w:type="dxa"/>
            <w:vAlign w:val="bottom"/>
            <w:gridSpan w:val="23"/>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Reference is made to Exhibits </w:t>
            </w:r>
            <w:hyperlink r:id="rId256">
              <w:r>
                <w:rPr>
                  <w:rFonts w:ascii="Times New Roman" w:cs="Times New Roman" w:eastAsia="Times New Roman" w:hAnsi="Times New Roman"/>
                  <w:sz w:val="18"/>
                  <w:szCs w:val="18"/>
                  <w:color w:val="0000FF"/>
                </w:rPr>
                <w:t>3.1</w:t>
              </w:r>
            </w:hyperlink>
            <w:r>
              <w:rPr>
                <w:rFonts w:ascii="Times New Roman" w:cs="Times New Roman" w:eastAsia="Times New Roman" w:hAnsi="Times New Roman"/>
                <w:sz w:val="18"/>
                <w:szCs w:val="18"/>
                <w:color w:val="auto"/>
              </w:rPr>
              <w:t xml:space="preserve">(a), </w:t>
            </w:r>
            <w:hyperlink r:id="rId257">
              <w:r>
                <w:rPr>
                  <w:rFonts w:ascii="Times New Roman" w:cs="Times New Roman" w:eastAsia="Times New Roman" w:hAnsi="Times New Roman"/>
                  <w:sz w:val="18"/>
                  <w:szCs w:val="18"/>
                  <w:color w:val="0000FF"/>
                </w:rPr>
                <w:t>3.1(b)</w:t>
              </w:r>
            </w:hyperlink>
            <w:r>
              <w:rPr>
                <w:rFonts w:ascii="Times New Roman" w:cs="Times New Roman" w:eastAsia="Times New Roman" w:hAnsi="Times New Roman"/>
                <w:sz w:val="18"/>
                <w:szCs w:val="18"/>
                <w:color w:val="auto"/>
              </w:rPr>
              <w:t xml:space="preserve">, </w:t>
            </w:r>
            <w:hyperlink r:id="rId258">
              <w:r>
                <w:rPr>
                  <w:rFonts w:ascii="Times New Roman" w:cs="Times New Roman" w:eastAsia="Times New Roman" w:hAnsi="Times New Roman"/>
                  <w:sz w:val="18"/>
                  <w:szCs w:val="18"/>
                  <w:color w:val="0000FF"/>
                </w:rPr>
                <w:t>3.1(c)</w:t>
              </w:r>
            </w:hyperlink>
            <w:r>
              <w:rPr>
                <w:rFonts w:ascii="Times New Roman" w:cs="Times New Roman" w:eastAsia="Times New Roman" w:hAnsi="Times New Roman"/>
                <w:sz w:val="18"/>
                <w:szCs w:val="18"/>
                <w:color w:val="auto"/>
              </w:rPr>
              <w:t xml:space="preserve">, </w:t>
            </w:r>
            <w:hyperlink r:id="rId259">
              <w:r>
                <w:rPr>
                  <w:rFonts w:ascii="Times New Roman" w:cs="Times New Roman" w:eastAsia="Times New Roman" w:hAnsi="Times New Roman"/>
                  <w:sz w:val="18"/>
                  <w:szCs w:val="18"/>
                  <w:color w:val="0000FF"/>
                </w:rPr>
                <w:t>3.1(d)</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 xml:space="preserve">and </w:t>
            </w:r>
            <w:hyperlink r:id="rId260">
              <w:r>
                <w:rPr>
                  <w:rFonts w:ascii="Times New Roman" w:cs="Times New Roman" w:eastAsia="Times New Roman" w:hAnsi="Times New Roman"/>
                  <w:sz w:val="18"/>
                  <w:szCs w:val="18"/>
                  <w:color w:val="0000FF"/>
                </w:rPr>
                <w:t>3.2</w:t>
              </w:r>
            </w:hyperlink>
            <w:r>
              <w:rPr>
                <w:rFonts w:ascii="Times New Roman" w:cs="Times New Roman" w:eastAsia="Times New Roman" w:hAnsi="Times New Roman"/>
                <w:sz w:val="18"/>
                <w:szCs w:val="18"/>
                <w:color w:val="auto"/>
              </w:rPr>
              <w:t>.</w:t>
            </w: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5920" w:type="dxa"/>
            <w:vAlign w:val="bottom"/>
            <w:gridSpan w:val="23"/>
          </w:tcPr>
          <w:p>
            <w:pPr>
              <w:spacing w:after="0"/>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Form of Common Stock Certificate.</w:t>
              </w:r>
            </w:hyperlink>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11/6/2024</w:t>
            </w:r>
          </w:p>
        </w:tc>
        <w:tc>
          <w:tcPr>
            <w:tcW w:w="6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7"/>
              </w:rPr>
              <w:t>4.2</w:t>
            </w: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660" w:type="dxa"/>
            <w:vAlign w:val="bottom"/>
            <w:tcBorders>
              <w:right w:val="single" w:sz="8" w:color="0000EE"/>
            </w:tcBorders>
            <w:gridSpan w:val="4"/>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5920" w:type="dxa"/>
            <w:vAlign w:val="bottom"/>
            <w:gridSpan w:val="23"/>
          </w:tcPr>
          <w:p>
            <w:pPr>
              <w:spacing w:after="0"/>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color w:val="0000FF"/>
                </w:rPr>
                <w:t>Form of 2023 Common Warrant Agreement</w:t>
              </w:r>
            </w:hyperlink>
            <w:r>
              <w:rPr>
                <w:rFonts w:ascii="Times New Roman" w:cs="Times New Roman" w:eastAsia="Times New Roman" w:hAnsi="Times New Roman"/>
                <w:sz w:val="18"/>
                <w:szCs w:val="18"/>
                <w:color w:val="000000"/>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10/25/2023</w:t>
            </w:r>
          </w:p>
        </w:tc>
        <w:tc>
          <w:tcPr>
            <w:tcW w:w="6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7"/>
              </w:rPr>
              <w:t>4.2</w:t>
            </w: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gridSpan w:val="6"/>
            <w:shd w:val="clear" w:color="auto" w:fill="0000FF"/>
          </w:tcPr>
          <w:p>
            <w:pPr>
              <w:spacing w:after="0" w:line="20" w:lineRule="exact"/>
              <w:rPr>
                <w:sz w:val="1"/>
                <w:szCs w:val="1"/>
                <w:color w:val="auto"/>
              </w:rPr>
            </w:pPr>
          </w:p>
        </w:tc>
        <w:tc>
          <w:tcPr>
            <w:tcW w:w="320" w:type="dxa"/>
            <w:vAlign w:val="bottom"/>
            <w:tcBorders>
              <w:right w:val="single" w:sz="8" w:color="0000EE"/>
            </w:tcBorders>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5920" w:type="dxa"/>
            <w:vAlign w:val="bottom"/>
            <w:gridSpan w:val="23"/>
          </w:tcPr>
          <w:p>
            <w:pPr>
              <w:spacing w:after="0"/>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Form of 2023 Pre-Funded Warrant Agreement</w:t>
              </w:r>
            </w:hyperlink>
            <w:r>
              <w:rPr>
                <w:rFonts w:ascii="Times New Roman" w:cs="Times New Roman" w:eastAsia="Times New Roman" w:hAnsi="Times New Roman"/>
                <w:sz w:val="18"/>
                <w:szCs w:val="18"/>
                <w:color w:val="000000"/>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10/25/2023</w:t>
            </w:r>
          </w:p>
        </w:tc>
        <w:tc>
          <w:tcPr>
            <w:tcW w:w="6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7"/>
              </w:rPr>
              <w:t>4.1</w:t>
            </w: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gridSpan w:val="6"/>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5920" w:type="dxa"/>
            <w:vAlign w:val="bottom"/>
            <w:gridSpan w:val="23"/>
          </w:tcPr>
          <w:p>
            <w:pPr>
              <w:spacing w:after="0"/>
              <w:rPr>
                <w:rFonts w:ascii="Times New Roman" w:cs="Times New Roman" w:eastAsia="Times New Roman" w:hAnsi="Times New Roman"/>
                <w:sz w:val="18"/>
                <w:szCs w:val="18"/>
                <w:color w:val="0000FF"/>
              </w:rPr>
            </w:pPr>
            <w:hyperlink r:id="rId264">
              <w:r>
                <w:rPr>
                  <w:rFonts w:ascii="Times New Roman" w:cs="Times New Roman" w:eastAsia="Times New Roman" w:hAnsi="Times New Roman"/>
                  <w:sz w:val="18"/>
                  <w:szCs w:val="18"/>
                  <w:color w:val="0000FF"/>
                </w:rPr>
                <w:t>Form of 2025 Common Warrant Agreement</w:t>
              </w:r>
            </w:hyperlink>
            <w:r>
              <w:rPr>
                <w:rFonts w:ascii="Times New Roman" w:cs="Times New Roman" w:eastAsia="Times New Roman" w:hAnsi="Times New Roman"/>
                <w:sz w:val="18"/>
                <w:szCs w:val="18"/>
                <w:color w:val="000000"/>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2/12/2025</w:t>
            </w:r>
          </w:p>
        </w:tc>
        <w:tc>
          <w:tcPr>
            <w:tcW w:w="6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7"/>
              </w:rPr>
              <w:t>4.2</w:t>
            </w: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gridSpan w:val="6"/>
            <w:shd w:val="clear" w:color="auto" w:fill="0000FF"/>
          </w:tcPr>
          <w:p>
            <w:pPr>
              <w:spacing w:after="0" w:line="20" w:lineRule="exact"/>
              <w:rPr>
                <w:sz w:val="1"/>
                <w:szCs w:val="1"/>
                <w:color w:val="auto"/>
              </w:rPr>
            </w:pPr>
          </w:p>
        </w:tc>
        <w:tc>
          <w:tcPr>
            <w:tcW w:w="320" w:type="dxa"/>
            <w:vAlign w:val="bottom"/>
            <w:tcBorders>
              <w:right w:val="single" w:sz="8" w:color="0000EE"/>
            </w:tcBorders>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5920" w:type="dxa"/>
            <w:vAlign w:val="bottom"/>
            <w:gridSpan w:val="23"/>
          </w:tcPr>
          <w:p>
            <w:pPr>
              <w:spacing w:after="0"/>
              <w:rPr>
                <w:rFonts w:ascii="Times New Roman" w:cs="Times New Roman" w:eastAsia="Times New Roman" w:hAnsi="Times New Roman"/>
                <w:sz w:val="18"/>
                <w:szCs w:val="18"/>
                <w:color w:val="0000FF"/>
              </w:rPr>
            </w:pPr>
            <w:hyperlink r:id="rId265">
              <w:r>
                <w:rPr>
                  <w:rFonts w:ascii="Times New Roman" w:cs="Times New Roman" w:eastAsia="Times New Roman" w:hAnsi="Times New Roman"/>
                  <w:sz w:val="18"/>
                  <w:szCs w:val="18"/>
                  <w:color w:val="0000FF"/>
                </w:rPr>
                <w:t>Form of 2025 Pre-Funded Warrant Agreement</w:t>
              </w:r>
            </w:hyperlink>
            <w:r>
              <w:rPr>
                <w:rFonts w:ascii="Times New Roman" w:cs="Times New Roman" w:eastAsia="Times New Roman" w:hAnsi="Times New Roman"/>
                <w:sz w:val="18"/>
                <w:szCs w:val="18"/>
                <w:color w:val="000000"/>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2/12/2025</w:t>
            </w:r>
          </w:p>
        </w:tc>
        <w:tc>
          <w:tcPr>
            <w:tcW w:w="6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7"/>
              </w:rPr>
              <w:t>4.1</w:t>
            </w: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gridSpan w:val="6"/>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1420" w:type="dxa"/>
            <w:vAlign w:val="bottom"/>
            <w:tcBorders>
              <w:left w:val="single" w:sz="8" w:color="0000EE"/>
            </w:tcBorders>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w:t>
            </w:r>
          </w:p>
        </w:tc>
        <w:tc>
          <w:tcPr>
            <w:tcW w:w="5920" w:type="dxa"/>
            <w:vAlign w:val="bottom"/>
            <w:gridSpan w:val="23"/>
          </w:tcPr>
          <w:p>
            <w:pPr>
              <w:spacing w:after="0"/>
              <w:rPr>
                <w:rFonts w:ascii="Times New Roman" w:cs="Times New Roman" w:eastAsia="Times New Roman" w:hAnsi="Times New Roman"/>
                <w:sz w:val="18"/>
                <w:szCs w:val="18"/>
                <w:color w:val="0000FF"/>
              </w:rPr>
            </w:pPr>
            <w:hyperlink r:id="rId266">
              <w:r>
                <w:rPr>
                  <w:rFonts w:ascii="Times New Roman" w:cs="Times New Roman" w:eastAsia="Times New Roman" w:hAnsi="Times New Roman"/>
                  <w:sz w:val="18"/>
                  <w:szCs w:val="18"/>
                  <w:color w:val="0000FF"/>
                </w:rPr>
                <w:t>License Agreement by and between Aligos Therapeutics, Inc. and Xiamen</w:t>
              </w:r>
            </w:hyperlink>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8/6/2026</w:t>
            </w:r>
          </w:p>
        </w:tc>
        <w:tc>
          <w:tcPr>
            <w:tcW w:w="600" w:type="dxa"/>
            <w:vAlign w:val="bottom"/>
            <w:vMerge w:val="restart"/>
          </w:tcPr>
          <w:p>
            <w:pPr>
              <w:jc w:val="center"/>
              <w:ind w:left="19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0"/>
        </w:trPr>
        <w:tc>
          <w:tcPr>
            <w:tcW w:w="1060" w:type="dxa"/>
            <w:vAlign w:val="bottom"/>
            <w:vMerge w:val="continue"/>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1340" w:type="dxa"/>
            <w:vAlign w:val="bottom"/>
            <w:vMerge w:val="continue"/>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060" w:type="dxa"/>
            <w:vAlign w:val="bottom"/>
            <w:vMerge w:val="continue"/>
          </w:tcPr>
          <w:p>
            <w:pPr>
              <w:spacing w:after="0"/>
              <w:rPr>
                <w:sz w:val="11"/>
                <w:szCs w:val="11"/>
                <w:color w:val="auto"/>
              </w:rPr>
            </w:pPr>
          </w:p>
        </w:tc>
        <w:tc>
          <w:tcPr>
            <w:tcW w:w="5920" w:type="dxa"/>
            <w:vAlign w:val="bottom"/>
            <w:gridSpan w:val="23"/>
            <w:vMerge w:val="restart"/>
          </w:tcPr>
          <w:p>
            <w:pPr>
              <w:spacing w:after="0" w:line="196" w:lineRule="exact"/>
              <w:rPr>
                <w:rFonts w:ascii="Times New Roman" w:cs="Times New Roman" w:eastAsia="Times New Roman" w:hAnsi="Times New Roman"/>
                <w:sz w:val="18"/>
                <w:szCs w:val="18"/>
                <w:color w:val="0000FF"/>
              </w:rPr>
            </w:pPr>
            <w:hyperlink r:id="rId266">
              <w:r>
                <w:rPr>
                  <w:rFonts w:ascii="Times New Roman" w:cs="Times New Roman" w:eastAsia="Times New Roman" w:hAnsi="Times New Roman"/>
                  <w:sz w:val="18"/>
                  <w:szCs w:val="18"/>
                  <w:color w:val="0000FF"/>
                </w:rPr>
                <w:t>Amoytop Biotech Co., Ltd.</w:t>
              </w:r>
            </w:hyperlink>
          </w:p>
        </w:tc>
        <w:tc>
          <w:tcPr>
            <w:tcW w:w="88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060" w:type="dxa"/>
            <w:vAlign w:val="bottom"/>
          </w:tcPr>
          <w:p>
            <w:pPr>
              <w:spacing w:after="0"/>
              <w:rPr>
                <w:sz w:val="5"/>
                <w:szCs w:val="5"/>
                <w:color w:val="auto"/>
              </w:rPr>
            </w:pPr>
          </w:p>
        </w:tc>
        <w:tc>
          <w:tcPr>
            <w:tcW w:w="5920" w:type="dxa"/>
            <w:vAlign w:val="bottom"/>
            <w:gridSpan w:val="23"/>
            <w:vMerge w:val="continue"/>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1880" w:type="dxa"/>
            <w:vAlign w:val="bottom"/>
            <w:gridSpan w:val="9"/>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10.2</w:t>
            </w:r>
          </w:p>
        </w:tc>
        <w:tc>
          <w:tcPr>
            <w:tcW w:w="59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First Amendment to Lease by and between Aligos Therapeutics, Inc. and</w:t>
            </w: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vMerge w:val="continue"/>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60" w:type="dxa"/>
            <w:vAlign w:val="bottom"/>
            <w:vMerge w:val="continue"/>
          </w:tcPr>
          <w:p>
            <w:pPr>
              <w:spacing w:after="0"/>
              <w:rPr>
                <w:sz w:val="11"/>
                <w:szCs w:val="11"/>
                <w:color w:val="auto"/>
              </w:rPr>
            </w:pPr>
          </w:p>
        </w:tc>
        <w:tc>
          <w:tcPr>
            <w:tcW w:w="5920" w:type="dxa"/>
            <w:vAlign w:val="bottom"/>
            <w:gridSpan w:val="23"/>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Britannia Biotech Gateway Limited Partnership, dated September 10, 2026</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1060" w:type="dxa"/>
            <w:vAlign w:val="bottom"/>
          </w:tcPr>
          <w:p>
            <w:pPr>
              <w:spacing w:after="0"/>
              <w:rPr>
                <w:sz w:val="5"/>
                <w:szCs w:val="5"/>
                <w:color w:val="auto"/>
              </w:rPr>
            </w:pPr>
          </w:p>
        </w:tc>
        <w:tc>
          <w:tcPr>
            <w:tcW w:w="5920" w:type="dxa"/>
            <w:vAlign w:val="bottom"/>
            <w:gridSpan w:val="23"/>
            <w:vMerge w:val="continue"/>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2880" w:type="dxa"/>
            <w:vAlign w:val="bottom"/>
            <w:tcBorders>
              <w:right w:val="single" w:sz="8" w:color="0000FF"/>
            </w:tcBorders>
            <w:gridSpan w:val="7"/>
            <w:shd w:val="clear" w:color="auto" w:fill="0000FF"/>
          </w:tcPr>
          <w:p>
            <w:pPr>
              <w:spacing w:after="0" w:line="20" w:lineRule="exact"/>
              <w:rPr>
                <w:sz w:val="1"/>
                <w:szCs w:val="1"/>
                <w:color w:val="auto"/>
              </w:rPr>
            </w:pPr>
          </w:p>
        </w:tc>
        <w:tc>
          <w:tcPr>
            <w:tcW w:w="1880" w:type="dxa"/>
            <w:vAlign w:val="bottom"/>
            <w:gridSpan w:val="9"/>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59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w:t>
            </w: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2880" w:type="dxa"/>
            <w:vAlign w:val="bottom"/>
            <w:tcBorders>
              <w:right w:val="single" w:sz="8" w:color="0000FF"/>
            </w:tcBorders>
            <w:gridSpan w:val="7"/>
            <w:shd w:val="clear" w:color="auto" w:fill="0000FF"/>
          </w:tcPr>
          <w:p>
            <w:pPr>
              <w:spacing w:after="0" w:line="20" w:lineRule="exact"/>
              <w:rPr>
                <w:sz w:val="1"/>
                <w:szCs w:val="1"/>
                <w:color w:val="auto"/>
              </w:rPr>
            </w:pPr>
          </w:p>
        </w:tc>
        <w:tc>
          <w:tcPr>
            <w:tcW w:w="1880" w:type="dxa"/>
            <w:vAlign w:val="bottom"/>
            <w:gridSpan w:val="9"/>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59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14(a) under the Securities Exchange Act of 1934, as Adopted Pursuant to Section</w:t>
            </w: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880" w:type="dxa"/>
            <w:vAlign w:val="bottom"/>
            <w:tcBorders>
              <w:right w:val="single" w:sz="8" w:color="0000FF"/>
            </w:tcBorders>
            <w:gridSpan w:val="7"/>
            <w:shd w:val="clear" w:color="auto" w:fill="0000FF"/>
          </w:tcPr>
          <w:p>
            <w:pPr>
              <w:spacing w:after="0" w:line="20" w:lineRule="exact"/>
              <w:rPr>
                <w:sz w:val="1"/>
                <w:szCs w:val="1"/>
                <w:color w:val="auto"/>
              </w:rPr>
            </w:pPr>
          </w:p>
        </w:tc>
        <w:tc>
          <w:tcPr>
            <w:tcW w:w="1880" w:type="dxa"/>
            <w:vAlign w:val="bottom"/>
            <w:gridSpan w:val="9"/>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59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302 of the Sarbanes-Oxley Act of 2002.</w:t>
            </w: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2880" w:type="dxa"/>
            <w:vAlign w:val="bottom"/>
            <w:tcBorders>
              <w:right w:val="single" w:sz="8" w:color="0000EE"/>
            </w:tcBorders>
            <w:gridSpan w:val="7"/>
            <w:shd w:val="clear" w:color="auto" w:fill="0000FF"/>
          </w:tcPr>
          <w:p>
            <w:pPr>
              <w:spacing w:after="0" w:line="20" w:lineRule="exact"/>
              <w:rPr>
                <w:sz w:val="1"/>
                <w:szCs w:val="1"/>
                <w:color w:val="auto"/>
              </w:rPr>
            </w:pPr>
          </w:p>
        </w:tc>
        <w:tc>
          <w:tcPr>
            <w:tcW w:w="1880" w:type="dxa"/>
            <w:vAlign w:val="bottom"/>
            <w:gridSpan w:val="9"/>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9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w:t>
            </w: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4760" w:type="dxa"/>
            <w:vAlign w:val="bottom"/>
            <w:gridSpan w:val="16"/>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tcBorders>
              <w:right w:val="single" w:sz="8" w:color="0000EE"/>
            </w:tcBorders>
            <w:gridSpan w:val="3"/>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59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14(a) under the Securities Exchange Act of 1934, as Adopted Pursuant to Section</w:t>
            </w: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760" w:type="dxa"/>
            <w:vAlign w:val="bottom"/>
            <w:gridSpan w:val="16"/>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59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302 of the Sarbanes-Oxley Act of 2002.</w:t>
            </w: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2880" w:type="dxa"/>
            <w:vAlign w:val="bottom"/>
            <w:tcBorders>
              <w:right w:val="single" w:sz="8" w:color="0000EE"/>
            </w:tcBorders>
            <w:gridSpan w:val="7"/>
            <w:shd w:val="clear" w:color="auto" w:fill="0000FF"/>
          </w:tcPr>
          <w:p>
            <w:pPr>
              <w:spacing w:after="0" w:line="20" w:lineRule="exact"/>
              <w:rPr>
                <w:sz w:val="1"/>
                <w:szCs w:val="1"/>
                <w:color w:val="auto"/>
              </w:rPr>
            </w:pPr>
          </w:p>
        </w:tc>
        <w:tc>
          <w:tcPr>
            <w:tcW w:w="1880" w:type="dxa"/>
            <w:vAlign w:val="bottom"/>
            <w:gridSpan w:val="9"/>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9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w:t>
            </w: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760" w:type="dxa"/>
            <w:vAlign w:val="bottom"/>
            <w:gridSpan w:val="16"/>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59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as Adopted Pursuant to Section 906 of the Sarbanes-Oxley Act of 2002.</w:t>
            </w: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Borders>
              <w:right w:val="single" w:sz="8" w:color="0000FF"/>
            </w:tcBorders>
          </w:tcPr>
          <w:p>
            <w:pPr>
              <w:spacing w:after="0" w:line="20" w:lineRule="exact"/>
              <w:rPr>
                <w:sz w:val="1"/>
                <w:szCs w:val="1"/>
                <w:color w:val="auto"/>
              </w:rPr>
            </w:pPr>
          </w:p>
        </w:tc>
        <w:tc>
          <w:tcPr>
            <w:tcW w:w="4760" w:type="dxa"/>
            <w:vAlign w:val="bottom"/>
            <w:gridSpan w:val="16"/>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59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18 U.S.C. Section 1350, as</w:t>
            </w: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760" w:type="dxa"/>
            <w:vAlign w:val="bottom"/>
            <w:gridSpan w:val="16"/>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00" w:type="dxa"/>
            <w:vAlign w:val="bottom"/>
            <w:gridSpan w:val="6"/>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59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906 of the Sarbanes-Oxley Act of 2002.</w:t>
            </w: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Borders>
              <w:right w:val="single" w:sz="8" w:color="0000FF"/>
            </w:tcBorders>
          </w:tcPr>
          <w:p>
            <w:pPr>
              <w:spacing w:after="0" w:line="20" w:lineRule="exact"/>
              <w:rPr>
                <w:sz w:val="1"/>
                <w:szCs w:val="1"/>
                <w:color w:val="auto"/>
              </w:rPr>
            </w:pPr>
          </w:p>
        </w:tc>
        <w:tc>
          <w:tcPr>
            <w:tcW w:w="4760" w:type="dxa"/>
            <w:vAlign w:val="bottom"/>
            <w:gridSpan w:val="16"/>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9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9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 with embedded linkbase</w:t>
            </w: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59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documents.</w:t>
            </w:r>
          </w:p>
        </w:tc>
        <w:tc>
          <w:tcPr>
            <w:tcW w:w="8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1040" w:right="3300" w:hanging="1032"/>
        <w:spacing w:after="0" w:line="184" w:lineRule="auto"/>
        <w:tabs>
          <w:tab w:leader="none" w:pos="1040" w:val="left"/>
        </w:tabs>
        <w:numPr>
          <w:ilvl w:val="0"/>
          <w:numId w:val="56"/>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95123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8">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357" w:lineRule="exact"/>
        <w:rPr>
          <w:sz w:val="20"/>
          <w:szCs w:val="20"/>
          <w:color w:val="auto"/>
        </w:rPr>
      </w:pPr>
    </w:p>
    <w:p>
      <w:pPr>
        <w:sectPr>
          <w:pgSz w:w="11900" w:h="16838" w:orient="portrait"/>
          <w:cols w:equalWidth="0" w:num="2">
            <w:col w:w="9920" w:space="720"/>
            <w:col w:w="600"/>
          </w:cols>
          <w:pgMar w:left="320" w:top="1008" w:right="339" w:bottom="1440" w:gutter="0" w:footer="0" w:header="0"/>
          <w:type w:val="continuous"/>
        </w:sectPr>
      </w:pPr>
    </w:p>
    <w:p>
      <w:pPr>
        <w:spacing w:after="0" w:line="390" w:lineRule="exact"/>
        <w:rPr>
          <w:sz w:val="20"/>
          <w:szCs w:val="20"/>
          <w:color w:val="auto"/>
        </w:rPr>
      </w:pPr>
    </w:p>
    <w:p>
      <w:pPr>
        <w:ind w:right="860" w:firstLine="517"/>
        <w:spacing w:after="0" w:line="282" w:lineRule="auto"/>
        <w:tabs>
          <w:tab w:leader="none" w:pos="64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the exhibit, marked by brackets, have been omitted because the omitted information (i) is not material and (ii) is the type of information that the registrant both customarily and actually treats as private and confidential.</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type w:val="continuous"/>
        </w:sectPr>
      </w:pPr>
    </w:p>
    <w:bookmarkStart w:id="85" w:name="page86"/>
    <w:bookmarkEnd w:id="85"/>
    <w:p>
      <w:pPr>
        <w:jc w:val="both"/>
        <w:ind w:left="-20" w:firstLine="517"/>
        <w:spacing w:after="0" w:line="261" w:lineRule="auto"/>
        <w:tabs>
          <w:tab w:leader="none" w:pos="6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Exhibits 32.1 and 32.2 that accompany this Quarterly Report on Form 10-Q, are deemed furnished and not filed with the Securities and Exchange Commission and are not to be incorporated by reference into any filing of Aligos Therapeutics,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120" w:right="339" w:bottom="1440" w:gutter="0" w:footer="0" w:header="0"/>
        </w:sectPr>
      </w:pPr>
    </w:p>
    <w:bookmarkStart w:id="86" w:name="page87"/>
    <w:bookmarkEnd w:id="8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ALIGOS THERAPEUTICS, INC.</w:t>
      </w:r>
    </w:p>
    <w:p>
      <w:pPr>
        <w:spacing w:after="0" w:line="225" w:lineRule="exact"/>
        <w:rPr>
          <w:sz w:val="20"/>
          <w:szCs w:val="20"/>
          <w:color w:val="auto"/>
        </w:rPr>
      </w:pPr>
    </w:p>
    <w:p>
      <w:pPr>
        <w:spacing w:after="0"/>
        <w:tabs>
          <w:tab w:leader="none" w:pos="5600" w:val="left"/>
          <w:tab w:leader="none" w:pos="7940" w:val="left"/>
        </w:tabs>
        <w:rPr>
          <w:sz w:val="20"/>
          <w:szCs w:val="20"/>
          <w:color w:val="auto"/>
        </w:rPr>
      </w:pPr>
      <w:r>
        <w:rPr>
          <w:rFonts w:ascii="Times New Roman" w:cs="Times New Roman" w:eastAsia="Times New Roman" w:hAnsi="Times New Roman"/>
          <w:sz w:val="18"/>
          <w:szCs w:val="18"/>
          <w:color w:val="auto"/>
        </w:rPr>
        <w:t>Date: November 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Lawrence Blatt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17145</wp:posOffset>
            </wp:positionV>
            <wp:extent cx="332613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1">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7"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8"/>
          <w:szCs w:val="18"/>
          <w:b w:val="1"/>
          <w:bCs w:val="1"/>
          <w:color w:val="auto"/>
        </w:rPr>
        <w:t>Lawrence Blatt, Ph.D.</w:t>
      </w:r>
    </w:p>
    <w:p>
      <w:pPr>
        <w:spacing w:after="0" w:line="23"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8"/>
          <w:szCs w:val="18"/>
          <w:b w:val="1"/>
          <w:bCs w:val="1"/>
          <w:color w:val="auto"/>
        </w:rPr>
        <w:t>Chairman, President and Chief Executive Officer</w:t>
      </w:r>
    </w:p>
    <w:p>
      <w:pPr>
        <w:spacing w:after="0" w:line="207" w:lineRule="exact"/>
        <w:rPr>
          <w:sz w:val="20"/>
          <w:szCs w:val="20"/>
          <w:color w:val="auto"/>
        </w:rPr>
      </w:pPr>
    </w:p>
    <w:p>
      <w:pPr>
        <w:spacing w:after="0"/>
        <w:tabs>
          <w:tab w:leader="none" w:pos="5600" w:val="left"/>
          <w:tab w:leader="none" w:pos="7740" w:val="left"/>
        </w:tabs>
        <w:rPr>
          <w:sz w:val="20"/>
          <w:szCs w:val="20"/>
          <w:color w:val="auto"/>
        </w:rPr>
      </w:pPr>
      <w:r>
        <w:rPr>
          <w:rFonts w:ascii="Times New Roman" w:cs="Times New Roman" w:eastAsia="Times New Roman" w:hAnsi="Times New Roman"/>
          <w:sz w:val="18"/>
          <w:szCs w:val="18"/>
          <w:color w:val="auto"/>
        </w:rPr>
        <w:t>Date: November 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Lesley Ann Calhoun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17145</wp:posOffset>
            </wp:positionV>
            <wp:extent cx="332613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2">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7"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8"/>
          <w:szCs w:val="18"/>
          <w:b w:val="1"/>
          <w:bCs w:val="1"/>
          <w:color w:val="auto"/>
        </w:rPr>
        <w:t>Lesley Ann Calhoun</w:t>
      </w:r>
    </w:p>
    <w:p>
      <w:pPr>
        <w:spacing w:after="0" w:line="23"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8"/>
          <w:szCs w:val="18"/>
          <w:b w:val="1"/>
          <w:bCs w:val="1"/>
          <w:color w:val="auto"/>
        </w:rPr>
        <w:t>Chief Operating Officer and 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FIRST AMENDMENT TO LEASE</w:t>
      </w:r>
    </w:p>
    <w:p>
      <w:pPr>
        <w:spacing w:after="0" w:line="20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This FIRST AMENDMENT TO LEASE (“</w:t>
      </w:r>
      <w:r>
        <w:rPr>
          <w:rFonts w:ascii="Times New Roman" w:cs="Times New Roman" w:eastAsia="Times New Roman" w:hAnsi="Times New Roman"/>
          <w:sz w:val="22"/>
          <w:szCs w:val="22"/>
          <w:b w:val="1"/>
          <w:bCs w:val="1"/>
          <w:color w:val="auto"/>
        </w:rPr>
        <w:t>First Amendment</w:t>
      </w:r>
      <w:r>
        <w:rPr>
          <w:rFonts w:ascii="Times New Roman" w:cs="Times New Roman" w:eastAsia="Times New Roman" w:hAnsi="Times New Roman"/>
          <w:sz w:val="22"/>
          <w:szCs w:val="22"/>
          <w:color w:val="auto"/>
        </w:rPr>
        <w:t>”) is made and entered into as of September 10, 2026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by and between BRITANNIA BIOTECH GATEWAY LIMITED PARTNERSHIP, a Delaware limited partnership (“</w:t>
      </w:r>
      <w:r>
        <w:rPr>
          <w:rFonts w:ascii="Times New Roman" w:cs="Times New Roman" w:eastAsia="Times New Roman" w:hAnsi="Times New Roman"/>
          <w:sz w:val="22"/>
          <w:szCs w:val="22"/>
          <w:b w:val="1"/>
          <w:bCs w:val="1"/>
          <w:color w:val="auto"/>
        </w:rPr>
        <w:t>Landlord</w:t>
      </w:r>
      <w:r>
        <w:rPr>
          <w:rFonts w:ascii="Times New Roman" w:cs="Times New Roman" w:eastAsia="Times New Roman" w:hAnsi="Times New Roman"/>
          <w:sz w:val="22"/>
          <w:szCs w:val="22"/>
          <w:color w:val="auto"/>
        </w:rPr>
        <w:t>”) and ALIGOS THERAPEUTICS, INC., a Delaware corporation (“</w:t>
      </w:r>
      <w:r>
        <w:rPr>
          <w:rFonts w:ascii="Times New Roman" w:cs="Times New Roman" w:eastAsia="Times New Roman" w:hAnsi="Times New Roman"/>
          <w:sz w:val="22"/>
          <w:szCs w:val="22"/>
          <w:b w:val="1"/>
          <w:bCs w:val="1"/>
          <w:color w:val="auto"/>
        </w:rPr>
        <w:t>Tenant</w:t>
      </w:r>
      <w:r>
        <w:rPr>
          <w:rFonts w:ascii="Times New Roman" w:cs="Times New Roman" w:eastAsia="Times New Roman" w:hAnsi="Times New Roman"/>
          <w:sz w:val="22"/>
          <w:szCs w:val="22"/>
          <w:color w:val="auto"/>
        </w:rPr>
        <w:t>”). This document supersedes and replaces the prior version signed in error on September 10, 2026, and is the final, agreed version.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 E C I T A L S</w:t>
      </w:r>
      <w:r>
        <w:rPr>
          <w:rFonts w:ascii="Times New Roman" w:cs="Times New Roman" w:eastAsia="Times New Roman" w:hAnsi="Times New Roman"/>
          <w:sz w:val="22"/>
          <w:szCs w:val="22"/>
          <w:color w:val="auto"/>
        </w:rPr>
        <w:t xml:space="preserve"> :</w:t>
      </w:r>
    </w:p>
    <w:p>
      <w:pPr>
        <w:spacing w:after="0" w:line="20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A. Landlord and Tenant entered into that certain Lease dated June 21, 2018 (the “</w:t>
      </w:r>
      <w:r>
        <w:rPr>
          <w:rFonts w:ascii="Times New Roman" w:cs="Times New Roman" w:eastAsia="Times New Roman" w:hAnsi="Times New Roman"/>
          <w:sz w:val="22"/>
          <w:szCs w:val="22"/>
          <w:b w:val="1"/>
          <w:bCs w:val="1"/>
          <w:color w:val="auto"/>
        </w:rPr>
        <w:t>Original Lease</w:t>
      </w:r>
      <w:r>
        <w:rPr>
          <w:rFonts w:ascii="Times New Roman" w:cs="Times New Roman" w:eastAsia="Times New Roman" w:hAnsi="Times New Roman"/>
          <w:sz w:val="22"/>
          <w:szCs w:val="22"/>
          <w:color w:val="auto"/>
        </w:rPr>
        <w:t xml:space="preserve">”), as amended and supplemented by that certain letter agreement dated September 7, 2023 (the </w:t>
      </w:r>
      <w:r>
        <w:rPr>
          <w:rFonts w:ascii="Times New Roman" w:cs="Times New Roman" w:eastAsia="Times New Roman" w:hAnsi="Times New Roman"/>
          <w:sz w:val="22"/>
          <w:szCs w:val="22"/>
          <w:b w:val="1"/>
          <w:bCs w:val="1"/>
          <w:color w:val="auto"/>
        </w:rPr>
        <w:t>Letter Agreement</w:t>
      </w:r>
      <w:r>
        <w:rPr>
          <w:rFonts w:ascii="Times New Roman" w:cs="Times New Roman" w:eastAsia="Times New Roman" w:hAnsi="Times New Roman"/>
          <w:sz w:val="22"/>
          <w:szCs w:val="22"/>
          <w:color w:val="auto"/>
        </w:rPr>
        <w:t>" and, together with the Original Lease, collectively, the “</w:t>
      </w:r>
      <w:r>
        <w:rPr>
          <w:rFonts w:ascii="Times New Roman" w:cs="Times New Roman" w:eastAsia="Times New Roman" w:hAnsi="Times New Roman"/>
          <w:sz w:val="22"/>
          <w:szCs w:val="22"/>
          <w:b w:val="1"/>
          <w:bCs w:val="1"/>
          <w:color w:val="auto"/>
        </w:rPr>
        <w:t>Lease</w:t>
      </w:r>
      <w:r>
        <w:rPr>
          <w:rFonts w:ascii="Times New Roman" w:cs="Times New Roman" w:eastAsia="Times New Roman" w:hAnsi="Times New Roman"/>
          <w:sz w:val="22"/>
          <w:szCs w:val="22"/>
          <w:color w:val="auto"/>
        </w:rPr>
        <w:t>”).</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B. Pursuant to the Lease, Landlord currently leases to Tenant and Tenant currently leases from Landlord that certain</w:t>
      </w:r>
    </w:p>
    <w:p>
      <w:pPr>
        <w:spacing w:after="0" w:line="2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space containing approximately 38,675 rentable square feet (the “</w:t>
      </w:r>
      <w:r>
        <w:rPr>
          <w:rFonts w:ascii="Times New Roman" w:cs="Times New Roman" w:eastAsia="Times New Roman" w:hAnsi="Times New Roman"/>
          <w:sz w:val="22"/>
          <w:szCs w:val="22"/>
          <w:b w:val="1"/>
          <w:bCs w:val="1"/>
          <w:color w:val="auto"/>
        </w:rPr>
        <w:t>Premises</w:t>
      </w:r>
      <w:r>
        <w:rPr>
          <w:rFonts w:ascii="Times New Roman" w:cs="Times New Roman" w:eastAsia="Times New Roman" w:hAnsi="Times New Roman"/>
          <w:sz w:val="22"/>
          <w:szCs w:val="22"/>
          <w:color w:val="auto"/>
        </w:rPr>
        <w:t>”) of space comprising the entire second (2</w:t>
      </w:r>
      <w:r>
        <w:rPr>
          <w:rFonts w:ascii="Times New Roman" w:cs="Times New Roman" w:eastAsia="Times New Roman" w:hAnsi="Times New Roman"/>
          <w:sz w:val="14"/>
          <w:szCs w:val="14"/>
          <w:color w:val="auto"/>
        </w:rPr>
        <w:t>nd</w:t>
      </w:r>
      <w:r>
        <w:rPr>
          <w:rFonts w:ascii="Times New Roman" w:cs="Times New Roman" w:eastAsia="Times New Roman" w:hAnsi="Times New Roman"/>
          <w:sz w:val="22"/>
          <w:szCs w:val="22"/>
          <w:color w:val="auto"/>
        </w:rPr>
        <w:t>) floor of that certain building (the “</w:t>
      </w:r>
      <w:r>
        <w:rPr>
          <w:rFonts w:ascii="Times New Roman" w:cs="Times New Roman" w:eastAsia="Times New Roman" w:hAnsi="Times New Roman"/>
          <w:sz w:val="22"/>
          <w:szCs w:val="22"/>
          <w:b w:val="1"/>
          <w:bCs w:val="1"/>
          <w:color w:val="auto"/>
        </w:rPr>
        <w:t>Building</w:t>
      </w:r>
      <w:r>
        <w:rPr>
          <w:rFonts w:ascii="Times New Roman" w:cs="Times New Roman" w:eastAsia="Times New Roman" w:hAnsi="Times New Roman"/>
          <w:sz w:val="22"/>
          <w:szCs w:val="22"/>
          <w:color w:val="auto"/>
        </w:rPr>
        <w:t>”) located at One Corporate Drive, South San Francisco, CA 94080.</w:t>
      </w:r>
    </w:p>
    <w:p>
      <w:pPr>
        <w:spacing w:after="0" w:line="17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C. The parties now desire to amend the Lease to (i) extend the initial Lease Term (as defined in the Lease) for the Extended Term (as defined below), and (ii) otherwise modify certain terms and conditions of the Lease, all on the terms and conditions set forth in this First Amendment.</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 G R E E M E N T</w:t>
      </w:r>
      <w:r>
        <w:rPr>
          <w:rFonts w:ascii="Times New Roman" w:cs="Times New Roman" w:eastAsia="Times New Roman" w:hAnsi="Times New Roman"/>
          <w:sz w:val="22"/>
          <w:szCs w:val="22"/>
          <w:color w:val="auto"/>
        </w:rPr>
        <w:t xml:space="preserve"> :</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NOW, THEREFORE, in consideration of the foregoing recitals and the mutual covenants contained herein, and for other good and valuable consideration, the receipt and sufficiency of which are hereby acknowledged, the parties hereto hereby agree as follows:</w:t>
      </w:r>
    </w:p>
    <w:p>
      <w:pPr>
        <w:spacing w:after="0" w:line="169" w:lineRule="exact"/>
        <w:rPr>
          <w:sz w:val="20"/>
          <w:szCs w:val="20"/>
          <w:color w:val="auto"/>
        </w:rPr>
      </w:pPr>
    </w:p>
    <w:p>
      <w:pPr>
        <w:ind w:firstLine="757"/>
        <w:spacing w:after="0" w:line="262" w:lineRule="auto"/>
        <w:tabs>
          <w:tab w:leader="none" w:pos="1018"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Terms</w:t>
      </w:r>
      <w:r>
        <w:rPr>
          <w:rFonts w:ascii="Times New Roman" w:cs="Times New Roman" w:eastAsia="Times New Roman" w:hAnsi="Times New Roman"/>
          <w:sz w:val="22"/>
          <w:szCs w:val="22"/>
          <w:color w:val="auto"/>
        </w:rPr>
        <w:t>. All capitalized terms when used herein shall have the same respective meanings as are given such terms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Lease unless expressly provided otherwise in this First Amendment.</w:t>
      </w:r>
    </w:p>
    <w:p>
      <w:pPr>
        <w:spacing w:after="0" w:line="149" w:lineRule="exact"/>
        <w:rPr>
          <w:rFonts w:ascii="Times New Roman" w:cs="Times New Roman" w:eastAsia="Times New Roman" w:hAnsi="Times New Roman"/>
          <w:sz w:val="22"/>
          <w:szCs w:val="22"/>
          <w:color w:val="auto"/>
        </w:rPr>
      </w:pPr>
    </w:p>
    <w:p>
      <w:pPr>
        <w:jc w:val="both"/>
        <w:ind w:firstLine="757"/>
        <w:spacing w:after="0" w:line="246" w:lineRule="auto"/>
        <w:tabs>
          <w:tab w:leader="none" w:pos="1018"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Extended Term</w:t>
      </w:r>
      <w:r>
        <w:rPr>
          <w:rFonts w:ascii="Times New Roman" w:cs="Times New Roman" w:eastAsia="Times New Roman" w:hAnsi="Times New Roman"/>
          <w:sz w:val="22"/>
          <w:szCs w:val="22"/>
          <w:color w:val="auto"/>
        </w:rPr>
        <w:t>. The Lease Term, which is currently scheduled to expire on March 31, 2027 is hereby extended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period of eighty-four (84) months (the "</w:t>
      </w:r>
      <w:r>
        <w:rPr>
          <w:rFonts w:ascii="Times New Roman" w:cs="Times New Roman" w:eastAsia="Times New Roman" w:hAnsi="Times New Roman"/>
          <w:sz w:val="22"/>
          <w:szCs w:val="22"/>
          <w:b w:val="1"/>
          <w:bCs w:val="1"/>
          <w:color w:val="auto"/>
        </w:rPr>
        <w:t>Extended Term</w:t>
      </w:r>
      <w:r>
        <w:rPr>
          <w:rFonts w:ascii="Times New Roman" w:cs="Times New Roman" w:eastAsia="Times New Roman" w:hAnsi="Times New Roman"/>
          <w:sz w:val="22"/>
          <w:szCs w:val="22"/>
          <w:color w:val="auto"/>
        </w:rPr>
        <w:t>"), commencing on April 1, 2027 (the "</w:t>
      </w:r>
      <w:r>
        <w:rPr>
          <w:rFonts w:ascii="Times New Roman" w:cs="Times New Roman" w:eastAsia="Times New Roman" w:hAnsi="Times New Roman"/>
          <w:sz w:val="22"/>
          <w:szCs w:val="22"/>
          <w:b w:val="1"/>
          <w:bCs w:val="1"/>
          <w:color w:val="auto"/>
        </w:rPr>
        <w:t>Extended Term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Commencement Date</w:t>
      </w:r>
      <w:r>
        <w:rPr>
          <w:rFonts w:ascii="Times New Roman" w:cs="Times New Roman" w:eastAsia="Times New Roman" w:hAnsi="Times New Roman"/>
          <w:sz w:val="22"/>
          <w:szCs w:val="22"/>
          <w:color w:val="auto"/>
        </w:rPr>
        <w:t>") and expiring on March 31, 2034.</w:t>
      </w:r>
    </w:p>
    <w:p>
      <w:pPr>
        <w:spacing w:after="0" w:line="167"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Base Rent</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892175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8" w:name="page89"/>
    <w:bookmarkEnd w:id="88"/>
    <w:p>
      <w:pPr>
        <w:spacing w:after="0" w:line="181" w:lineRule="exact"/>
        <w:rPr>
          <w:sz w:val="20"/>
          <w:szCs w:val="20"/>
          <w:color w:val="auto"/>
        </w:rPr>
      </w:pPr>
    </w:p>
    <w:p>
      <w:pPr>
        <w:ind w:left="1500"/>
        <w:spacing w:after="0"/>
        <w:tabs>
          <w:tab w:leader="none" w:pos="2020" w:val="left"/>
          <w:tab w:leader="none" w:pos="3220"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22"/>
          <w:szCs w:val="22"/>
          <w:b w:val="1"/>
          <w:bCs w:val="1"/>
          <w:u w:val="single" w:color="auto"/>
          <w:color w:val="auto"/>
        </w:rPr>
        <w:t>Base Rent</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During the Extended Term, Tenant shall pay monthly installments of Base Rent for the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Premises as follows, subject to abatement under Section 3.2 below:</w:t>
      </w:r>
    </w:p>
    <w:p>
      <w:pPr>
        <w:spacing w:after="0" w:line="159" w:lineRule="exact"/>
        <w:rPr>
          <w:sz w:val="20"/>
          <w:szCs w:val="20"/>
          <w:color w:val="auto"/>
        </w:rPr>
      </w:pPr>
    </w:p>
    <w:tbl>
      <w:tblPr>
        <w:tblLayout w:type="fixed"/>
        <w:tblInd w:w="420" w:type="dxa"/>
        <w:tblCellMar>
          <w:top w:w="0" w:type="dxa"/>
          <w:left w:w="0" w:type="dxa"/>
          <w:bottom w:w="0" w:type="dxa"/>
          <w:right w:w="0" w:type="dxa"/>
        </w:tblCellMar>
      </w:tblPr>
      <w:tr>
        <w:trPr>
          <w:trHeight w:val="253"/>
        </w:trPr>
        <w:tc>
          <w:tcPr>
            <w:tcW w:w="2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20" w:type="dxa"/>
            <w:vAlign w:val="bottom"/>
            <w:gridSpan w:val="6"/>
          </w:tcPr>
          <w:p>
            <w:pPr>
              <w:ind w:left="340"/>
              <w:spacing w:after="0"/>
              <w:rPr>
                <w:sz w:val="20"/>
                <w:szCs w:val="20"/>
                <w:color w:val="auto"/>
              </w:rPr>
            </w:pPr>
            <w:r>
              <w:rPr>
                <w:rFonts w:ascii="Times New Roman" w:cs="Times New Roman" w:eastAsia="Times New Roman" w:hAnsi="Times New Roman"/>
                <w:sz w:val="22"/>
                <w:szCs w:val="22"/>
                <w:color w:val="auto"/>
                <w:w w:val="99"/>
              </w:rPr>
              <w:t>Monthly Base Rental Rate Per</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6"/>
              </w:rPr>
              <w:t>Period of Extended Term</w:t>
            </w: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420" w:type="dxa"/>
            <w:vAlign w:val="bottom"/>
            <w:tcBorders>
              <w:top w:val="single" w:sz="8" w:color="auto"/>
            </w:tcBorders>
            <w:gridSpan w:val="4"/>
          </w:tcPr>
          <w:p>
            <w:pPr>
              <w:jc w:val="center"/>
              <w:ind w:right="320"/>
              <w:spacing w:after="0" w:line="223" w:lineRule="exact"/>
              <w:rPr>
                <w:sz w:val="20"/>
                <w:szCs w:val="20"/>
                <w:color w:val="auto"/>
              </w:rPr>
            </w:pPr>
            <w:r>
              <w:rPr>
                <w:rFonts w:ascii="Times New Roman" w:cs="Times New Roman" w:eastAsia="Times New Roman" w:hAnsi="Times New Roman"/>
                <w:sz w:val="22"/>
                <w:szCs w:val="22"/>
                <w:color w:val="auto"/>
                <w:w w:val="97"/>
              </w:rPr>
              <w:t>Rentable Square Foot of</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60" w:type="dxa"/>
            <w:vAlign w:val="bottom"/>
            <w:tcBorders>
              <w:bottom w:val="single" w:sz="8" w:color="auto"/>
            </w:tcBorders>
            <w:vMerge w:val="continue"/>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160" w:type="dxa"/>
            <w:vAlign w:val="bottom"/>
            <w:gridSpan w:val="4"/>
          </w:tcPr>
          <w:p>
            <w:pPr>
              <w:jc w:val="center"/>
              <w:ind w:right="1280"/>
              <w:spacing w:after="0" w:line="223" w:lineRule="exact"/>
              <w:rPr>
                <w:sz w:val="20"/>
                <w:szCs w:val="20"/>
                <w:color w:val="auto"/>
              </w:rPr>
            </w:pPr>
            <w:r>
              <w:rPr>
                <w:rFonts w:ascii="Times New Roman" w:cs="Times New Roman" w:eastAsia="Times New Roman" w:hAnsi="Times New Roman"/>
                <w:sz w:val="22"/>
                <w:szCs w:val="22"/>
                <w:color w:val="auto"/>
                <w:w w:val="98"/>
              </w:rPr>
              <w:t>Annual</w:t>
            </w:r>
          </w:p>
        </w:tc>
        <w:tc>
          <w:tcPr>
            <w:tcW w:w="2120" w:type="dxa"/>
            <w:vAlign w:val="bottom"/>
            <w:gridSpan w:val="4"/>
          </w:tcPr>
          <w:p>
            <w:pPr>
              <w:jc w:val="center"/>
              <w:ind w:right="340"/>
              <w:spacing w:after="0" w:line="223" w:lineRule="exact"/>
              <w:rPr>
                <w:sz w:val="20"/>
                <w:szCs w:val="20"/>
                <w:color w:val="auto"/>
              </w:rPr>
            </w:pPr>
            <w:r>
              <w:rPr>
                <w:rFonts w:ascii="Times New Roman" w:cs="Times New Roman" w:eastAsia="Times New Roman" w:hAnsi="Times New Roman"/>
                <w:sz w:val="22"/>
                <w:szCs w:val="22"/>
                <w:color w:val="auto"/>
                <w:w w:val="98"/>
              </w:rPr>
              <w:t>Monthly Installment</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w w:val="98"/>
              </w:rPr>
              <w:t>Premises</w:t>
            </w:r>
          </w:p>
        </w:tc>
        <w:tc>
          <w:tcPr>
            <w:tcW w:w="700" w:type="dxa"/>
            <w:vAlign w:val="bottom"/>
            <w:tcBorders>
              <w:top w:val="single" w:sz="8" w:color="auto"/>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160" w:type="dxa"/>
            <w:vAlign w:val="bottom"/>
            <w:gridSpan w:val="4"/>
          </w:tcPr>
          <w:p>
            <w:pPr>
              <w:jc w:val="center"/>
              <w:ind w:right="1280"/>
              <w:spacing w:after="0" w:line="210" w:lineRule="exact"/>
              <w:rPr>
                <w:sz w:val="20"/>
                <w:szCs w:val="20"/>
                <w:color w:val="auto"/>
              </w:rPr>
            </w:pPr>
            <w:r>
              <w:rPr>
                <w:rFonts w:ascii="Times New Roman" w:cs="Times New Roman" w:eastAsia="Times New Roman" w:hAnsi="Times New Roman"/>
                <w:sz w:val="22"/>
                <w:szCs w:val="22"/>
                <w:color w:val="auto"/>
                <w:w w:val="97"/>
              </w:rPr>
              <w:t>Base Rent</w:t>
            </w:r>
          </w:p>
        </w:tc>
        <w:tc>
          <w:tcPr>
            <w:tcW w:w="340" w:type="dxa"/>
            <w:vAlign w:val="bottom"/>
          </w:tcPr>
          <w:p>
            <w:pPr>
              <w:spacing w:after="0"/>
              <w:rPr>
                <w:sz w:val="18"/>
                <w:szCs w:val="18"/>
                <w:color w:val="auto"/>
              </w:rPr>
            </w:pPr>
          </w:p>
        </w:tc>
        <w:tc>
          <w:tcPr>
            <w:tcW w:w="1780" w:type="dxa"/>
            <w:vAlign w:val="bottom"/>
            <w:gridSpan w:val="3"/>
          </w:tcPr>
          <w:p>
            <w:pPr>
              <w:jc w:val="center"/>
              <w:ind w:right="660"/>
              <w:spacing w:after="0" w:line="210" w:lineRule="exact"/>
              <w:rPr>
                <w:sz w:val="20"/>
                <w:szCs w:val="20"/>
                <w:color w:val="auto"/>
              </w:rPr>
            </w:pPr>
            <w:r>
              <w:rPr>
                <w:rFonts w:ascii="Times New Roman" w:cs="Times New Roman" w:eastAsia="Times New Roman" w:hAnsi="Times New Roman"/>
                <w:sz w:val="22"/>
                <w:szCs w:val="22"/>
                <w:color w:val="auto"/>
                <w:w w:val="98"/>
              </w:rPr>
              <w:t>of Base Rent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20" w:type="dxa"/>
            <w:vAlign w:val="bottom"/>
          </w:tcPr>
          <w:p>
            <w:pPr>
              <w:spacing w:after="0"/>
              <w:rPr>
                <w:sz w:val="24"/>
                <w:szCs w:val="24"/>
                <w:color w:val="auto"/>
              </w:rPr>
            </w:pPr>
          </w:p>
        </w:tc>
        <w:tc>
          <w:tcPr>
            <w:tcW w:w="2660" w:type="dxa"/>
            <w:vAlign w:val="bottom"/>
            <w:gridSpan w:val="2"/>
          </w:tcPr>
          <w:p>
            <w:pPr>
              <w:jc w:val="center"/>
              <w:ind w:right="520"/>
              <w:spacing w:after="0"/>
              <w:rPr>
                <w:sz w:val="20"/>
                <w:szCs w:val="20"/>
                <w:color w:val="auto"/>
              </w:rPr>
            </w:pPr>
            <w:r>
              <w:rPr>
                <w:rFonts w:ascii="Times New Roman" w:cs="Times New Roman" w:eastAsia="Times New Roman" w:hAnsi="Times New Roman"/>
                <w:sz w:val="22"/>
                <w:szCs w:val="22"/>
                <w:color w:val="auto"/>
                <w:w w:val="97"/>
              </w:rPr>
              <w:t>4/1/27 – 3/31/28</w:t>
            </w:r>
          </w:p>
        </w:tc>
        <w:tc>
          <w:tcPr>
            <w:tcW w:w="2840" w:type="dxa"/>
            <w:vAlign w:val="bottom"/>
            <w:gridSpan w:val="5"/>
          </w:tcPr>
          <w:p>
            <w:pPr>
              <w:jc w:val="center"/>
              <w:ind w:right="600"/>
              <w:spacing w:after="0"/>
              <w:rPr>
                <w:sz w:val="20"/>
                <w:szCs w:val="20"/>
                <w:color w:val="auto"/>
              </w:rPr>
            </w:pPr>
            <w:r>
              <w:rPr>
                <w:rFonts w:ascii="Times New Roman" w:cs="Times New Roman" w:eastAsia="Times New Roman" w:hAnsi="Times New Roman"/>
                <w:sz w:val="22"/>
                <w:szCs w:val="22"/>
                <w:color w:val="auto"/>
                <w:w w:val="97"/>
              </w:rPr>
              <w:t>$2,158,065.00</w:t>
            </w:r>
          </w:p>
        </w:tc>
        <w:tc>
          <w:tcPr>
            <w:tcW w:w="1440" w:type="dxa"/>
            <w:vAlign w:val="bottom"/>
            <w:gridSpan w:val="2"/>
          </w:tcPr>
          <w:p>
            <w:pPr>
              <w:jc w:val="center"/>
              <w:ind w:left="252"/>
              <w:spacing w:after="0"/>
              <w:rPr>
                <w:sz w:val="20"/>
                <w:szCs w:val="20"/>
                <w:color w:val="auto"/>
              </w:rPr>
            </w:pPr>
            <w:r>
              <w:rPr>
                <w:rFonts w:ascii="Times New Roman" w:cs="Times New Roman" w:eastAsia="Times New Roman" w:hAnsi="Times New Roman"/>
                <w:sz w:val="22"/>
                <w:szCs w:val="22"/>
                <w:color w:val="auto"/>
                <w:w w:val="98"/>
              </w:rPr>
              <w:t>$179,838.75</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gridSpan w:val="4"/>
          </w:tcPr>
          <w:p>
            <w:pPr>
              <w:jc w:val="center"/>
              <w:ind w:left="1192"/>
              <w:spacing w:after="0"/>
              <w:rPr>
                <w:sz w:val="20"/>
                <w:szCs w:val="20"/>
                <w:color w:val="auto"/>
              </w:rPr>
            </w:pPr>
            <w:r>
              <w:rPr>
                <w:rFonts w:ascii="Times New Roman" w:cs="Times New Roman" w:eastAsia="Times New Roman" w:hAnsi="Times New Roman"/>
                <w:sz w:val="22"/>
                <w:szCs w:val="22"/>
                <w:color w:val="auto"/>
                <w:w w:val="99"/>
              </w:rPr>
              <w:t>$4.650</w:t>
            </w: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2660" w:type="dxa"/>
            <w:vAlign w:val="bottom"/>
            <w:gridSpan w:val="2"/>
          </w:tcPr>
          <w:p>
            <w:pPr>
              <w:jc w:val="center"/>
              <w:ind w:right="520"/>
              <w:spacing w:after="0"/>
              <w:rPr>
                <w:sz w:val="20"/>
                <w:szCs w:val="20"/>
                <w:color w:val="auto"/>
              </w:rPr>
            </w:pPr>
            <w:r>
              <w:rPr>
                <w:rFonts w:ascii="Times New Roman" w:cs="Times New Roman" w:eastAsia="Times New Roman" w:hAnsi="Times New Roman"/>
                <w:sz w:val="22"/>
                <w:szCs w:val="22"/>
                <w:color w:val="auto"/>
                <w:w w:val="97"/>
              </w:rPr>
              <w:t>4/1/28 – 3/31/29</w:t>
            </w:r>
          </w:p>
        </w:tc>
        <w:tc>
          <w:tcPr>
            <w:tcW w:w="2840" w:type="dxa"/>
            <w:vAlign w:val="bottom"/>
            <w:gridSpan w:val="5"/>
          </w:tcPr>
          <w:p>
            <w:pPr>
              <w:jc w:val="center"/>
              <w:ind w:right="600"/>
              <w:spacing w:after="0"/>
              <w:rPr>
                <w:sz w:val="20"/>
                <w:szCs w:val="20"/>
                <w:color w:val="auto"/>
              </w:rPr>
            </w:pPr>
            <w:r>
              <w:rPr>
                <w:rFonts w:ascii="Times New Roman" w:cs="Times New Roman" w:eastAsia="Times New Roman" w:hAnsi="Times New Roman"/>
                <w:sz w:val="22"/>
                <w:szCs w:val="22"/>
                <w:color w:val="auto"/>
                <w:w w:val="97"/>
              </w:rPr>
              <w:t>$2,233,597.28</w:t>
            </w:r>
          </w:p>
        </w:tc>
        <w:tc>
          <w:tcPr>
            <w:tcW w:w="1440" w:type="dxa"/>
            <w:vAlign w:val="bottom"/>
            <w:gridSpan w:val="2"/>
          </w:tcPr>
          <w:p>
            <w:pPr>
              <w:jc w:val="center"/>
              <w:ind w:left="252"/>
              <w:spacing w:after="0"/>
              <w:rPr>
                <w:sz w:val="20"/>
                <w:szCs w:val="20"/>
                <w:color w:val="auto"/>
              </w:rPr>
            </w:pPr>
            <w:r>
              <w:rPr>
                <w:rFonts w:ascii="Times New Roman" w:cs="Times New Roman" w:eastAsia="Times New Roman" w:hAnsi="Times New Roman"/>
                <w:sz w:val="22"/>
                <w:szCs w:val="22"/>
                <w:color w:val="auto"/>
                <w:w w:val="98"/>
              </w:rPr>
              <w:t>$186,133.11</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gridSpan w:val="4"/>
          </w:tcPr>
          <w:p>
            <w:pPr>
              <w:jc w:val="center"/>
              <w:ind w:left="1192"/>
              <w:spacing w:after="0"/>
              <w:rPr>
                <w:sz w:val="20"/>
                <w:szCs w:val="20"/>
                <w:color w:val="auto"/>
              </w:rPr>
            </w:pPr>
            <w:r>
              <w:rPr>
                <w:rFonts w:ascii="Times New Roman" w:cs="Times New Roman" w:eastAsia="Times New Roman" w:hAnsi="Times New Roman"/>
                <w:sz w:val="22"/>
                <w:szCs w:val="22"/>
                <w:color w:val="auto"/>
                <w:w w:val="99"/>
              </w:rPr>
              <w:t>$4.813</w:t>
            </w: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660" w:type="dxa"/>
            <w:vAlign w:val="bottom"/>
            <w:gridSpan w:val="2"/>
          </w:tcPr>
          <w:p>
            <w:pPr>
              <w:jc w:val="center"/>
              <w:ind w:right="520"/>
              <w:spacing w:after="0"/>
              <w:rPr>
                <w:sz w:val="20"/>
                <w:szCs w:val="20"/>
                <w:color w:val="auto"/>
              </w:rPr>
            </w:pPr>
            <w:r>
              <w:rPr>
                <w:rFonts w:ascii="Times New Roman" w:cs="Times New Roman" w:eastAsia="Times New Roman" w:hAnsi="Times New Roman"/>
                <w:sz w:val="22"/>
                <w:szCs w:val="22"/>
                <w:color w:val="auto"/>
                <w:w w:val="97"/>
              </w:rPr>
              <w:t>4/1/29 – 3/31/30</w:t>
            </w:r>
          </w:p>
        </w:tc>
        <w:tc>
          <w:tcPr>
            <w:tcW w:w="2840" w:type="dxa"/>
            <w:vAlign w:val="bottom"/>
            <w:gridSpan w:val="5"/>
          </w:tcPr>
          <w:p>
            <w:pPr>
              <w:jc w:val="center"/>
              <w:ind w:right="600"/>
              <w:spacing w:after="0"/>
              <w:rPr>
                <w:sz w:val="20"/>
                <w:szCs w:val="20"/>
                <w:color w:val="auto"/>
              </w:rPr>
            </w:pPr>
            <w:r>
              <w:rPr>
                <w:rFonts w:ascii="Times New Roman" w:cs="Times New Roman" w:eastAsia="Times New Roman" w:hAnsi="Times New Roman"/>
                <w:sz w:val="22"/>
                <w:szCs w:val="22"/>
                <w:color w:val="auto"/>
                <w:w w:val="97"/>
              </w:rPr>
              <w:t>$2,311,773.18</w:t>
            </w:r>
          </w:p>
        </w:tc>
        <w:tc>
          <w:tcPr>
            <w:tcW w:w="1440" w:type="dxa"/>
            <w:vAlign w:val="bottom"/>
            <w:gridSpan w:val="2"/>
          </w:tcPr>
          <w:p>
            <w:pPr>
              <w:jc w:val="center"/>
              <w:ind w:left="252"/>
              <w:spacing w:after="0"/>
              <w:rPr>
                <w:sz w:val="20"/>
                <w:szCs w:val="20"/>
                <w:color w:val="auto"/>
              </w:rPr>
            </w:pPr>
            <w:r>
              <w:rPr>
                <w:rFonts w:ascii="Times New Roman" w:cs="Times New Roman" w:eastAsia="Times New Roman" w:hAnsi="Times New Roman"/>
                <w:sz w:val="22"/>
                <w:szCs w:val="22"/>
                <w:color w:val="auto"/>
                <w:w w:val="98"/>
              </w:rPr>
              <w:t>$192,647.76</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gridSpan w:val="4"/>
          </w:tcPr>
          <w:p>
            <w:pPr>
              <w:jc w:val="center"/>
              <w:ind w:left="1192"/>
              <w:spacing w:after="0"/>
              <w:rPr>
                <w:sz w:val="20"/>
                <w:szCs w:val="20"/>
                <w:color w:val="auto"/>
              </w:rPr>
            </w:pPr>
            <w:r>
              <w:rPr>
                <w:rFonts w:ascii="Times New Roman" w:cs="Times New Roman" w:eastAsia="Times New Roman" w:hAnsi="Times New Roman"/>
                <w:sz w:val="22"/>
                <w:szCs w:val="22"/>
                <w:color w:val="auto"/>
                <w:w w:val="99"/>
              </w:rPr>
              <w:t>$4.981</w:t>
            </w: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2660" w:type="dxa"/>
            <w:vAlign w:val="bottom"/>
            <w:gridSpan w:val="2"/>
          </w:tcPr>
          <w:p>
            <w:pPr>
              <w:jc w:val="center"/>
              <w:ind w:right="520"/>
              <w:spacing w:after="0"/>
              <w:rPr>
                <w:sz w:val="20"/>
                <w:szCs w:val="20"/>
                <w:color w:val="auto"/>
              </w:rPr>
            </w:pPr>
            <w:r>
              <w:rPr>
                <w:rFonts w:ascii="Times New Roman" w:cs="Times New Roman" w:eastAsia="Times New Roman" w:hAnsi="Times New Roman"/>
                <w:sz w:val="22"/>
                <w:szCs w:val="22"/>
                <w:color w:val="auto"/>
                <w:w w:val="97"/>
              </w:rPr>
              <w:t>4/1/30 – 3/31/31</w:t>
            </w:r>
          </w:p>
        </w:tc>
        <w:tc>
          <w:tcPr>
            <w:tcW w:w="2840" w:type="dxa"/>
            <w:vAlign w:val="bottom"/>
            <w:gridSpan w:val="5"/>
          </w:tcPr>
          <w:p>
            <w:pPr>
              <w:jc w:val="center"/>
              <w:ind w:right="600"/>
              <w:spacing w:after="0"/>
              <w:rPr>
                <w:sz w:val="20"/>
                <w:szCs w:val="20"/>
                <w:color w:val="auto"/>
              </w:rPr>
            </w:pPr>
            <w:r>
              <w:rPr>
                <w:rFonts w:ascii="Times New Roman" w:cs="Times New Roman" w:eastAsia="Times New Roman" w:hAnsi="Times New Roman"/>
                <w:sz w:val="22"/>
                <w:szCs w:val="22"/>
                <w:color w:val="auto"/>
                <w:w w:val="97"/>
              </w:rPr>
              <w:t>$2,392,685.24</w:t>
            </w:r>
          </w:p>
        </w:tc>
        <w:tc>
          <w:tcPr>
            <w:tcW w:w="1440" w:type="dxa"/>
            <w:vAlign w:val="bottom"/>
            <w:gridSpan w:val="2"/>
          </w:tcPr>
          <w:p>
            <w:pPr>
              <w:jc w:val="center"/>
              <w:ind w:left="252"/>
              <w:spacing w:after="0"/>
              <w:rPr>
                <w:sz w:val="20"/>
                <w:szCs w:val="20"/>
                <w:color w:val="auto"/>
              </w:rPr>
            </w:pPr>
            <w:r>
              <w:rPr>
                <w:rFonts w:ascii="Times New Roman" w:cs="Times New Roman" w:eastAsia="Times New Roman" w:hAnsi="Times New Roman"/>
                <w:sz w:val="22"/>
                <w:szCs w:val="22"/>
                <w:color w:val="auto"/>
                <w:w w:val="98"/>
              </w:rPr>
              <w:t>$199,390.44</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gridSpan w:val="4"/>
          </w:tcPr>
          <w:p>
            <w:pPr>
              <w:jc w:val="center"/>
              <w:ind w:left="1192"/>
              <w:spacing w:after="0"/>
              <w:rPr>
                <w:sz w:val="20"/>
                <w:szCs w:val="20"/>
                <w:color w:val="auto"/>
              </w:rPr>
            </w:pPr>
            <w:r>
              <w:rPr>
                <w:rFonts w:ascii="Times New Roman" w:cs="Times New Roman" w:eastAsia="Times New Roman" w:hAnsi="Times New Roman"/>
                <w:sz w:val="22"/>
                <w:szCs w:val="22"/>
                <w:color w:val="auto"/>
                <w:w w:val="99"/>
              </w:rPr>
              <w:t>$5.156</w:t>
            </w: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2660" w:type="dxa"/>
            <w:vAlign w:val="bottom"/>
            <w:gridSpan w:val="2"/>
          </w:tcPr>
          <w:p>
            <w:pPr>
              <w:jc w:val="center"/>
              <w:ind w:right="520"/>
              <w:spacing w:after="0"/>
              <w:rPr>
                <w:sz w:val="20"/>
                <w:szCs w:val="20"/>
                <w:color w:val="auto"/>
              </w:rPr>
            </w:pPr>
            <w:r>
              <w:rPr>
                <w:rFonts w:ascii="Times New Roman" w:cs="Times New Roman" w:eastAsia="Times New Roman" w:hAnsi="Times New Roman"/>
                <w:sz w:val="22"/>
                <w:szCs w:val="22"/>
                <w:color w:val="auto"/>
                <w:w w:val="97"/>
              </w:rPr>
              <w:t>4/1/31 – 3/31/32</w:t>
            </w:r>
          </w:p>
        </w:tc>
        <w:tc>
          <w:tcPr>
            <w:tcW w:w="2840" w:type="dxa"/>
            <w:vAlign w:val="bottom"/>
            <w:gridSpan w:val="5"/>
          </w:tcPr>
          <w:p>
            <w:pPr>
              <w:jc w:val="center"/>
              <w:ind w:right="600"/>
              <w:spacing w:after="0"/>
              <w:rPr>
                <w:sz w:val="20"/>
                <w:szCs w:val="20"/>
                <w:color w:val="auto"/>
              </w:rPr>
            </w:pPr>
            <w:r>
              <w:rPr>
                <w:rFonts w:ascii="Times New Roman" w:cs="Times New Roman" w:eastAsia="Times New Roman" w:hAnsi="Times New Roman"/>
                <w:sz w:val="22"/>
                <w:szCs w:val="22"/>
                <w:color w:val="auto"/>
                <w:w w:val="97"/>
              </w:rPr>
              <w:t>$2,476,429.22</w:t>
            </w:r>
          </w:p>
        </w:tc>
        <w:tc>
          <w:tcPr>
            <w:tcW w:w="1440" w:type="dxa"/>
            <w:vAlign w:val="bottom"/>
            <w:gridSpan w:val="2"/>
          </w:tcPr>
          <w:p>
            <w:pPr>
              <w:jc w:val="center"/>
              <w:ind w:left="252"/>
              <w:spacing w:after="0"/>
              <w:rPr>
                <w:sz w:val="20"/>
                <w:szCs w:val="20"/>
                <w:color w:val="auto"/>
              </w:rPr>
            </w:pPr>
            <w:r>
              <w:rPr>
                <w:rFonts w:ascii="Times New Roman" w:cs="Times New Roman" w:eastAsia="Times New Roman" w:hAnsi="Times New Roman"/>
                <w:sz w:val="22"/>
                <w:szCs w:val="22"/>
                <w:color w:val="auto"/>
                <w:w w:val="98"/>
              </w:rPr>
              <w:t>$206,369.10</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gridSpan w:val="4"/>
          </w:tcPr>
          <w:p>
            <w:pPr>
              <w:jc w:val="center"/>
              <w:ind w:left="1192"/>
              <w:spacing w:after="0"/>
              <w:rPr>
                <w:sz w:val="20"/>
                <w:szCs w:val="20"/>
                <w:color w:val="auto"/>
              </w:rPr>
            </w:pPr>
            <w:r>
              <w:rPr>
                <w:rFonts w:ascii="Times New Roman" w:cs="Times New Roman" w:eastAsia="Times New Roman" w:hAnsi="Times New Roman"/>
                <w:sz w:val="22"/>
                <w:szCs w:val="22"/>
                <w:color w:val="auto"/>
                <w:w w:val="99"/>
              </w:rPr>
              <w:t>$5.336</w:t>
            </w: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660" w:type="dxa"/>
            <w:vAlign w:val="bottom"/>
            <w:gridSpan w:val="2"/>
          </w:tcPr>
          <w:p>
            <w:pPr>
              <w:jc w:val="center"/>
              <w:ind w:right="520"/>
              <w:spacing w:after="0"/>
              <w:rPr>
                <w:sz w:val="20"/>
                <w:szCs w:val="20"/>
                <w:color w:val="auto"/>
              </w:rPr>
            </w:pPr>
            <w:r>
              <w:rPr>
                <w:rFonts w:ascii="Times New Roman" w:cs="Times New Roman" w:eastAsia="Times New Roman" w:hAnsi="Times New Roman"/>
                <w:sz w:val="22"/>
                <w:szCs w:val="22"/>
                <w:color w:val="auto"/>
                <w:w w:val="97"/>
              </w:rPr>
              <w:t>4/1/32 – 3/31/33</w:t>
            </w:r>
          </w:p>
        </w:tc>
        <w:tc>
          <w:tcPr>
            <w:tcW w:w="2840" w:type="dxa"/>
            <w:vAlign w:val="bottom"/>
            <w:gridSpan w:val="5"/>
          </w:tcPr>
          <w:p>
            <w:pPr>
              <w:jc w:val="center"/>
              <w:ind w:right="600"/>
              <w:spacing w:after="0"/>
              <w:rPr>
                <w:sz w:val="20"/>
                <w:szCs w:val="20"/>
                <w:color w:val="auto"/>
              </w:rPr>
            </w:pPr>
            <w:r>
              <w:rPr>
                <w:rFonts w:ascii="Times New Roman" w:cs="Times New Roman" w:eastAsia="Times New Roman" w:hAnsi="Times New Roman"/>
                <w:sz w:val="22"/>
                <w:szCs w:val="22"/>
                <w:color w:val="auto"/>
                <w:w w:val="97"/>
              </w:rPr>
              <w:t>$2,563,104.25</w:t>
            </w:r>
          </w:p>
        </w:tc>
        <w:tc>
          <w:tcPr>
            <w:tcW w:w="1440" w:type="dxa"/>
            <w:vAlign w:val="bottom"/>
            <w:gridSpan w:val="2"/>
          </w:tcPr>
          <w:p>
            <w:pPr>
              <w:jc w:val="center"/>
              <w:ind w:left="252"/>
              <w:spacing w:after="0"/>
              <w:rPr>
                <w:sz w:val="20"/>
                <w:szCs w:val="20"/>
                <w:color w:val="auto"/>
              </w:rPr>
            </w:pPr>
            <w:r>
              <w:rPr>
                <w:rFonts w:ascii="Times New Roman" w:cs="Times New Roman" w:eastAsia="Times New Roman" w:hAnsi="Times New Roman"/>
                <w:sz w:val="22"/>
                <w:szCs w:val="22"/>
                <w:color w:val="auto"/>
                <w:w w:val="98"/>
              </w:rPr>
              <w:t>$213,592.02</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gridSpan w:val="4"/>
          </w:tcPr>
          <w:p>
            <w:pPr>
              <w:jc w:val="center"/>
              <w:ind w:left="1192"/>
              <w:spacing w:after="0"/>
              <w:rPr>
                <w:sz w:val="20"/>
                <w:szCs w:val="20"/>
                <w:color w:val="auto"/>
              </w:rPr>
            </w:pPr>
            <w:r>
              <w:rPr>
                <w:rFonts w:ascii="Times New Roman" w:cs="Times New Roman" w:eastAsia="Times New Roman" w:hAnsi="Times New Roman"/>
                <w:sz w:val="22"/>
                <w:szCs w:val="22"/>
                <w:color w:val="auto"/>
                <w:w w:val="99"/>
              </w:rPr>
              <w:t>$5.523</w:t>
            </w: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2660" w:type="dxa"/>
            <w:vAlign w:val="bottom"/>
            <w:gridSpan w:val="2"/>
          </w:tcPr>
          <w:p>
            <w:pPr>
              <w:jc w:val="center"/>
              <w:ind w:right="520"/>
              <w:spacing w:after="0"/>
              <w:rPr>
                <w:sz w:val="20"/>
                <w:szCs w:val="20"/>
                <w:color w:val="auto"/>
              </w:rPr>
            </w:pPr>
            <w:r>
              <w:rPr>
                <w:rFonts w:ascii="Times New Roman" w:cs="Times New Roman" w:eastAsia="Times New Roman" w:hAnsi="Times New Roman"/>
                <w:sz w:val="22"/>
                <w:szCs w:val="22"/>
                <w:color w:val="auto"/>
                <w:w w:val="97"/>
              </w:rPr>
              <w:t>4/1/33 – 3/31/34</w:t>
            </w:r>
          </w:p>
        </w:tc>
        <w:tc>
          <w:tcPr>
            <w:tcW w:w="2840" w:type="dxa"/>
            <w:vAlign w:val="bottom"/>
            <w:gridSpan w:val="5"/>
          </w:tcPr>
          <w:p>
            <w:pPr>
              <w:jc w:val="center"/>
              <w:ind w:right="600"/>
              <w:spacing w:after="0"/>
              <w:rPr>
                <w:sz w:val="20"/>
                <w:szCs w:val="20"/>
                <w:color w:val="auto"/>
              </w:rPr>
            </w:pPr>
            <w:r>
              <w:rPr>
                <w:rFonts w:ascii="Times New Roman" w:cs="Times New Roman" w:eastAsia="Times New Roman" w:hAnsi="Times New Roman"/>
                <w:sz w:val="22"/>
                <w:szCs w:val="22"/>
                <w:color w:val="auto"/>
                <w:w w:val="97"/>
              </w:rPr>
              <w:t>$2,652,812.90</w:t>
            </w:r>
          </w:p>
        </w:tc>
        <w:tc>
          <w:tcPr>
            <w:tcW w:w="1440" w:type="dxa"/>
            <w:vAlign w:val="bottom"/>
            <w:gridSpan w:val="2"/>
          </w:tcPr>
          <w:p>
            <w:pPr>
              <w:jc w:val="center"/>
              <w:ind w:left="252"/>
              <w:spacing w:after="0"/>
              <w:rPr>
                <w:sz w:val="20"/>
                <w:szCs w:val="20"/>
                <w:color w:val="auto"/>
              </w:rPr>
            </w:pPr>
            <w:r>
              <w:rPr>
                <w:rFonts w:ascii="Times New Roman" w:cs="Times New Roman" w:eastAsia="Times New Roman" w:hAnsi="Times New Roman"/>
                <w:sz w:val="22"/>
                <w:szCs w:val="22"/>
                <w:color w:val="auto"/>
                <w:w w:val="98"/>
              </w:rPr>
              <w:t>$221,067.74</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gridSpan w:val="4"/>
          </w:tcPr>
          <w:p>
            <w:pPr>
              <w:jc w:val="center"/>
              <w:ind w:left="1192"/>
              <w:spacing w:after="0"/>
              <w:rPr>
                <w:sz w:val="20"/>
                <w:szCs w:val="20"/>
                <w:color w:val="auto"/>
              </w:rPr>
            </w:pPr>
            <w:r>
              <w:rPr>
                <w:rFonts w:ascii="Times New Roman" w:cs="Times New Roman" w:eastAsia="Times New Roman" w:hAnsi="Times New Roman"/>
                <w:sz w:val="22"/>
                <w:szCs w:val="22"/>
                <w:color w:val="auto"/>
                <w:w w:val="99"/>
              </w:rPr>
              <w:t>$5.716</w:t>
            </w: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b w:val="1"/>
          <w:bCs w:val="1"/>
          <w:u w:val="single" w:color="auto"/>
          <w:color w:val="auto"/>
        </w:rPr>
        <w:t>Abatement of Base Rent</w:t>
      </w:r>
      <w:r>
        <w:rPr>
          <w:rFonts w:ascii="Times New Roman" w:cs="Times New Roman" w:eastAsia="Times New Roman" w:hAnsi="Times New Roman"/>
          <w:sz w:val="22"/>
          <w:szCs w:val="22"/>
          <w:color w:val="auto"/>
        </w:rPr>
        <w:t>. Provided that Tenant is not then in default beyond all applicable notice and cure periods under the Lease, as hereby amended, Landlord shall abate Tenant's obligation to pay the monthly installments of Base Rent otherwise attributable to the Premises with respect to the first ten (10) full calendar months of the Extended Term (collectively, the “</w:t>
      </w:r>
      <w:r>
        <w:rPr>
          <w:rFonts w:ascii="Times New Roman" w:cs="Times New Roman" w:eastAsia="Times New Roman" w:hAnsi="Times New Roman"/>
          <w:sz w:val="22"/>
          <w:szCs w:val="22"/>
          <w:b w:val="1"/>
          <w:bCs w:val="1"/>
          <w:color w:val="auto"/>
        </w:rPr>
        <w:t>Base Rent Abatement</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b w:val="1"/>
          <w:bCs w:val="1"/>
          <w:u w:val="single" w:color="auto"/>
          <w:color w:val="auto"/>
        </w:rPr>
        <w:t>Direct Expenses</w:t>
      </w:r>
      <w:r>
        <w:rPr>
          <w:rFonts w:ascii="Times New Roman" w:cs="Times New Roman" w:eastAsia="Times New Roman" w:hAnsi="Times New Roman"/>
          <w:sz w:val="22"/>
          <w:szCs w:val="22"/>
          <w:color w:val="auto"/>
        </w:rPr>
        <w:t>. During the Extended Term, Tenant shall continue to be obligated to pay Tenant's Share of the annual Direct Expenses in accordance with the terms of the Lease.</w:t>
      </w:r>
    </w:p>
    <w:p>
      <w:pPr>
        <w:spacing w:after="0" w:line="150" w:lineRule="exact"/>
        <w:rPr>
          <w:sz w:val="20"/>
          <w:szCs w:val="20"/>
          <w:color w:val="auto"/>
        </w:rPr>
      </w:pPr>
    </w:p>
    <w:p>
      <w:pPr>
        <w:ind w:left="1020" w:hanging="263"/>
        <w:spacing w:after="0"/>
        <w:tabs>
          <w:tab w:leader="none" w:pos="102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Condition of the Premises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Condition of the Premises</w:t>
      </w:r>
      <w:r>
        <w:rPr>
          <w:rFonts w:ascii="Times New Roman" w:cs="Times New Roman" w:eastAsia="Times New Roman" w:hAnsi="Times New Roman"/>
          <w:sz w:val="22"/>
          <w:szCs w:val="22"/>
          <w:color w:val="auto"/>
        </w:rPr>
        <w:t>. Tenant is currently in possession of the Premises and shall continue its occupancy of the same in its current "AS IS" condition as of the Effective Date and the Extended Term Commencement Date without any agreements, representations, understandings or obligations on the part of Landlord to perform or pay for any alterations, repairs or improvements to the Premises, except as otherwise set forth in the Lease, as hereby amended, including, without limitation, with respect to Landlord's ongoing repair and maintenance obligations thereunder.</w:t>
      </w:r>
    </w:p>
    <w:p>
      <w:pPr>
        <w:spacing w:after="0" w:line="177"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color w:val="auto"/>
        </w:rPr>
        <w:t>4.2</w:t>
      </w:r>
      <w:r>
        <w:rPr>
          <w:sz w:val="20"/>
          <w:szCs w:val="20"/>
          <w:color w:val="auto"/>
        </w:rPr>
        <w:tab/>
      </w:r>
      <w:r>
        <w:rPr>
          <w:rFonts w:ascii="Times New Roman" w:cs="Times New Roman" w:eastAsia="Times New Roman" w:hAnsi="Times New Roman"/>
          <w:sz w:val="21"/>
          <w:szCs w:val="21"/>
          <w:u w:val="single" w:color="auto"/>
          <w:color w:val="auto"/>
        </w:rPr>
        <w:t>First Amendment Allowance; Refurbishment Work</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760" w:firstLine="1494"/>
        <w:spacing w:after="0" w:line="238" w:lineRule="auto"/>
        <w:tabs>
          <w:tab w:leader="none" w:pos="2557"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First Amendment Allowance</w:t>
      </w:r>
      <w:r>
        <w:rPr>
          <w:rFonts w:ascii="Times New Roman" w:cs="Times New Roman" w:eastAsia="Times New Roman" w:hAnsi="Times New Roman"/>
          <w:sz w:val="22"/>
          <w:szCs w:val="22"/>
          <w:color w:val="auto"/>
        </w:rPr>
        <w:t>. Notwithstanding Section 4.1 above to the contrary, subject to the terms and conditions of this Section 4.2 and provided that Tenant is not then in default under the Lease, as hereby amended, after the expiration of any applicable notice and cure period, Tenant shall be entitled to receive from Landlord a one-time allowance (the "</w:t>
      </w:r>
      <w:r>
        <w:rPr>
          <w:rFonts w:ascii="Times New Roman" w:cs="Times New Roman" w:eastAsia="Times New Roman" w:hAnsi="Times New Roman"/>
          <w:sz w:val="22"/>
          <w:szCs w:val="22"/>
          <w:b w:val="1"/>
          <w:bCs w:val="1"/>
          <w:color w:val="auto"/>
        </w:rPr>
        <w:t>First Amendment Allowance</w:t>
      </w:r>
      <w:r>
        <w:rPr>
          <w:rFonts w:ascii="Times New Roman" w:cs="Times New Roman" w:eastAsia="Times New Roman" w:hAnsi="Times New Roman"/>
          <w:sz w:val="22"/>
          <w:szCs w:val="22"/>
          <w:color w:val="auto"/>
        </w:rPr>
        <w:t>") in the amount of up to, but not exceeding, $773,500.00 (</w:t>
      </w:r>
      <w:r>
        <w:rPr>
          <w:rFonts w:ascii="Times New Roman" w:cs="Times New Roman" w:eastAsia="Times New Roman" w:hAnsi="Times New Roman"/>
          <w:sz w:val="22"/>
          <w:szCs w:val="22"/>
          <w:u w:val="single" w:color="auto"/>
          <w:color w:val="auto"/>
        </w:rPr>
        <w:t>i.e.</w:t>
      </w:r>
      <w:r>
        <w:rPr>
          <w:rFonts w:ascii="Times New Roman" w:cs="Times New Roman" w:eastAsia="Times New Roman" w:hAnsi="Times New Roman"/>
          <w:sz w:val="22"/>
          <w:szCs w:val="22"/>
          <w:color w:val="auto"/>
        </w:rPr>
        <w:t>, $20.00 per rentable square foot of the Premises, calculated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871220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line="18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based on 38,675 rentable square feet) to help Tenant pay for the actual out-of-pocket costs incurred and/or paid for by Tenant (collectively, the "</w:t>
      </w:r>
      <w:r>
        <w:rPr>
          <w:rFonts w:ascii="Times New Roman" w:cs="Times New Roman" w:eastAsia="Times New Roman" w:hAnsi="Times New Roman"/>
          <w:sz w:val="21"/>
          <w:szCs w:val="21"/>
          <w:b w:val="1"/>
          <w:bCs w:val="1"/>
          <w:color w:val="auto"/>
        </w:rPr>
        <w:t>Refurbishment Costs</w:t>
      </w:r>
      <w:r>
        <w:rPr>
          <w:rFonts w:ascii="Times New Roman" w:cs="Times New Roman" w:eastAsia="Times New Roman" w:hAnsi="Times New Roman"/>
          <w:sz w:val="21"/>
          <w:szCs w:val="21"/>
          <w:color w:val="auto"/>
        </w:rPr>
        <w:t>") during the period (the "</w:t>
      </w:r>
      <w:r>
        <w:rPr>
          <w:rFonts w:ascii="Times New Roman" w:cs="Times New Roman" w:eastAsia="Times New Roman" w:hAnsi="Times New Roman"/>
          <w:sz w:val="21"/>
          <w:szCs w:val="21"/>
          <w:b w:val="1"/>
          <w:bCs w:val="1"/>
          <w:color w:val="auto"/>
        </w:rPr>
        <w:t>Refurbishment Period</w:t>
      </w:r>
      <w:r>
        <w:rPr>
          <w:rFonts w:ascii="Times New Roman" w:cs="Times New Roman" w:eastAsia="Times New Roman" w:hAnsi="Times New Roman"/>
          <w:sz w:val="21"/>
          <w:szCs w:val="21"/>
          <w:color w:val="auto"/>
        </w:rPr>
        <w:t>") from the mutual execution and delivery of this First Amendment through and including December 31, 2028 (the “</w:t>
      </w:r>
      <w:r>
        <w:rPr>
          <w:rFonts w:ascii="Times New Roman" w:cs="Times New Roman" w:eastAsia="Times New Roman" w:hAnsi="Times New Roman"/>
          <w:sz w:val="21"/>
          <w:szCs w:val="21"/>
          <w:b w:val="1"/>
          <w:bCs w:val="1"/>
          <w:color w:val="auto"/>
        </w:rPr>
        <w:t>Outside Date</w:t>
      </w:r>
      <w:r>
        <w:rPr>
          <w:rFonts w:ascii="Times New Roman" w:cs="Times New Roman" w:eastAsia="Times New Roman" w:hAnsi="Times New Roman"/>
          <w:sz w:val="21"/>
          <w:szCs w:val="21"/>
          <w:color w:val="auto"/>
        </w:rPr>
        <w:t>”) for the design, permitting, construction, and installation of any permanently affixed Alterations that Tenant elects to undertake, make or install in or to the Premises during the Refurbishment Period (collectively, the "</w:t>
      </w:r>
      <w:r>
        <w:rPr>
          <w:rFonts w:ascii="Times New Roman" w:cs="Times New Roman" w:eastAsia="Times New Roman" w:hAnsi="Times New Roman"/>
          <w:sz w:val="21"/>
          <w:szCs w:val="21"/>
          <w:b w:val="1"/>
          <w:bCs w:val="1"/>
          <w:color w:val="auto"/>
        </w:rPr>
        <w:t>Refurbishment Work</w:t>
      </w:r>
      <w:r>
        <w:rPr>
          <w:rFonts w:ascii="Times New Roman" w:cs="Times New Roman" w:eastAsia="Times New Roman" w:hAnsi="Times New Roman"/>
          <w:sz w:val="21"/>
          <w:szCs w:val="21"/>
          <w:color w:val="auto"/>
        </w:rPr>
        <w:t>"). The Refurbishment Work may be designed and constructed in phases. Except as otherwise expressly provided in this Section 4.2, the Refurbishment Work, if undertaken by Tenant, shall be undertaken in accordance with Article 8 of the Original Lease (including, without limitation, Section 8.3 therein) and shall constitute Alterations thereunder.</w:t>
      </w:r>
    </w:p>
    <w:p>
      <w:pPr>
        <w:spacing w:after="0" w:line="172" w:lineRule="exact"/>
        <w:rPr>
          <w:sz w:val="20"/>
          <w:szCs w:val="20"/>
          <w:color w:val="auto"/>
        </w:rPr>
      </w:pPr>
    </w:p>
    <w:p>
      <w:pPr>
        <w:jc w:val="both"/>
        <w:ind w:firstLine="1494"/>
        <w:spacing w:after="0" w:line="243" w:lineRule="auto"/>
        <w:tabs>
          <w:tab w:leader="none" w:pos="1797"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Construction Costs; Over-Allowance Amount; Pari Passu Payment of Over-Allowance</w:t>
      </w:r>
      <w:r>
        <w:rPr>
          <w:rFonts w:ascii="Times New Roman" w:cs="Times New Roman" w:eastAsia="Times New Roman" w:hAnsi="Times New Roman"/>
          <w:sz w:val="21"/>
          <w:szCs w:val="21"/>
          <w:color w:val="auto"/>
        </w:rPr>
        <w:t>. Prior to the commencement of the construction of the Refurbishment Work (or phase thereof, as applicable), and after Tenant has accepted all bids for the Refurbishment Work (or phase thereof, as applicable), Tenant shall provide Landlord with a detailed breakdown, by trade, of the final costs to be incurred, or which have been incurred in connection with the Refurbishment Work (or phase thereof, as applicable) to be performed by or at the direction of Tenant or Tenant’s contractor (the “</w:t>
      </w:r>
      <w:r>
        <w:rPr>
          <w:rFonts w:ascii="Times New Roman" w:cs="Times New Roman" w:eastAsia="Times New Roman" w:hAnsi="Times New Roman"/>
          <w:sz w:val="21"/>
          <w:szCs w:val="21"/>
          <w:b w:val="1"/>
          <w:bCs w:val="1"/>
          <w:color w:val="auto"/>
        </w:rPr>
        <w:t>Contractor</w:t>
      </w:r>
      <w:r>
        <w:rPr>
          <w:rFonts w:ascii="Times New Roman" w:cs="Times New Roman" w:eastAsia="Times New Roman" w:hAnsi="Times New Roman"/>
          <w:sz w:val="21"/>
          <w:szCs w:val="21"/>
          <w:color w:val="auto"/>
        </w:rPr>
        <w:t>”) (which costs form a basis for the amount of the contract with the Contractor, if any) (the "</w:t>
      </w:r>
      <w:r>
        <w:rPr>
          <w:rFonts w:ascii="Times New Roman" w:cs="Times New Roman" w:eastAsia="Times New Roman" w:hAnsi="Times New Roman"/>
          <w:sz w:val="21"/>
          <w:szCs w:val="21"/>
          <w:b w:val="1"/>
          <w:bCs w:val="1"/>
          <w:color w:val="auto"/>
        </w:rPr>
        <w:t>Cost Budget</w:t>
      </w:r>
      <w:r>
        <w:rPr>
          <w:rFonts w:ascii="Times New Roman" w:cs="Times New Roman" w:eastAsia="Times New Roman" w:hAnsi="Times New Roman"/>
          <w:sz w:val="21"/>
          <w:szCs w:val="21"/>
          <w:color w:val="auto"/>
        </w:rPr>
        <w:t>"). Tenant shall pay for all of the Refurbishment Costs that are in excess of the First Amendment Allowance (herein, the "</w:t>
      </w:r>
      <w:r>
        <w:rPr>
          <w:rFonts w:ascii="Times New Roman" w:cs="Times New Roman" w:eastAsia="Times New Roman" w:hAnsi="Times New Roman"/>
          <w:sz w:val="21"/>
          <w:szCs w:val="21"/>
          <w:b w:val="1"/>
          <w:bCs w:val="1"/>
          <w:color w:val="auto"/>
        </w:rPr>
        <w:t>Over-Allowance Amount</w:t>
      </w:r>
      <w:r>
        <w:rPr>
          <w:rFonts w:ascii="Times New Roman" w:cs="Times New Roman" w:eastAsia="Times New Roman" w:hAnsi="Times New Roman"/>
          <w:sz w:val="21"/>
          <w:szCs w:val="21"/>
          <w:color w:val="auto"/>
        </w:rPr>
        <w:t>"). The Over-Allowance Amount shall be initially estimated by calculating the difference between the amount of the Refurbishment Costs set forth in the Cost Budget and the amount of the First Amendment Allowance. Tenant shall pay directly to the Contactor and/or other Tenant's agents, on a progress payment basis during the course of the design, permitting and construction of the Refurbishment Work, Tenant's "pro rata share" of the Over-Allowance Amount applicable to each particular Draw Request (as defined and determined below), and such payment by Tenant shall be a condition to Landlord's obligation to disburse Landlord's corresponding "pro rata share" of the Refurbishment Allowance applicable to such particular Draw Request as described in Section 4.2(c) below. For purposes hereof, Landlord's "pro rata share" applicable to each such disbursement amount of the First Amendment Allowance for each applicable Draw Request therefor shall equal the percentage resulting from dividing the First Amendment Allowance by the total Refurbishment Costs as estimated in the Cost Budget, and Tenant's "pro rata share" applicable to each such disbursement of the Over-Allowance Amount for each applicable Draw Request therefor shall equal the Over-Allowance Amount divided by such total Refurbishment Costs as so estimated in such Cost Budget. If, after Tenant's initial delivery of the Cost Budget pursuant to this Section 4.2(b) above, the total Refurbishment Costs therein shall change, (i) Tenant shall, within ten (10) business days after learning of such changes, incorporate such changes into the Cost Budget and deliver the revised Cost Budget to Landlord, and (ii) Landlord's and Tenant's corresponding "pro rata shares" shall be adjusted to take into account such changes.</w:t>
      </w:r>
    </w:p>
    <w:p>
      <w:pPr>
        <w:spacing w:after="0" w:line="181" w:lineRule="exact"/>
        <w:rPr>
          <w:rFonts w:ascii="Times New Roman" w:cs="Times New Roman" w:eastAsia="Times New Roman" w:hAnsi="Times New Roman"/>
          <w:sz w:val="21"/>
          <w:szCs w:val="21"/>
          <w:color w:val="auto"/>
        </w:rPr>
      </w:pPr>
    </w:p>
    <w:p>
      <w:pPr>
        <w:jc w:val="both"/>
        <w:ind w:firstLine="1494"/>
        <w:spacing w:after="0" w:line="244" w:lineRule="auto"/>
        <w:tabs>
          <w:tab w:leader="none" w:pos="1797"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Disbursement of First Amendment Allowance</w:t>
      </w:r>
      <w:r>
        <w:rPr>
          <w:rFonts w:ascii="Times New Roman" w:cs="Times New Roman" w:eastAsia="Times New Roman" w:hAnsi="Times New Roman"/>
          <w:sz w:val="22"/>
          <w:szCs w:val="22"/>
          <w:color w:val="auto"/>
        </w:rPr>
        <w:t>. In order to request disbursement from the First Amendment Allowance, on a monthly basis, during the design and construction of the Refurbishment Work (but no later than the Outside Date),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869315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40" w:right="339" w:bottom="1440" w:gutter="0" w:footer="0" w:header="0"/>
        </w:sectPr>
      </w:pPr>
    </w:p>
    <w:bookmarkStart w:id="90" w:name="page91"/>
    <w:bookmarkEnd w:id="90"/>
    <w:p>
      <w:pPr>
        <w:spacing w:after="0" w:line="181" w:lineRule="exact"/>
        <w:rPr>
          <w:sz w:val="20"/>
          <w:szCs w:val="20"/>
          <w:color w:val="auto"/>
        </w:rPr>
      </w:pPr>
    </w:p>
    <w:p>
      <w:pPr>
        <w:jc w:val="both"/>
        <w:spacing w:after="0" w:line="245" w:lineRule="exact"/>
        <w:rPr>
          <w:sz w:val="20"/>
          <w:szCs w:val="20"/>
          <w:color w:val="auto"/>
        </w:rPr>
      </w:pPr>
      <w:r>
        <w:rPr>
          <w:rFonts w:ascii="Times New Roman" w:cs="Times New Roman" w:eastAsia="Times New Roman" w:hAnsi="Times New Roman"/>
          <w:sz w:val="21"/>
          <w:szCs w:val="21"/>
          <w:color w:val="auto"/>
        </w:rPr>
        <w:t>shall deliver to Landlord the following (the items in clauses (i) through (iv) hereinbelow, collectively, each, a "</w:t>
      </w:r>
      <w:r>
        <w:rPr>
          <w:rFonts w:ascii="Times New Roman" w:cs="Times New Roman" w:eastAsia="Times New Roman" w:hAnsi="Times New Roman"/>
          <w:sz w:val="21"/>
          <w:szCs w:val="21"/>
          <w:b w:val="1"/>
          <w:bCs w:val="1"/>
          <w:color w:val="auto"/>
        </w:rPr>
        <w:t>Draw</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Request</w:t>
      </w:r>
      <w:r>
        <w:rPr>
          <w:rFonts w:ascii="Times New Roman" w:cs="Times New Roman" w:eastAsia="Times New Roman" w:hAnsi="Times New Roman"/>
          <w:sz w:val="21"/>
          <w:szCs w:val="21"/>
          <w:color w:val="auto"/>
        </w:rPr>
        <w:t>"): (i) a request for payment of the Contractor, approved by Tenant, in a form to be provided by Landlord,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showing the schedule, by trade, of percentage of completion of the Refurbishment Work, detailing the portion of the work completed and the portion not completed, and demonstrating that the relationship between the cost of the work completed and the cost of the work to be completed complies with the Cost Budget; (ii) invoices from all contractors, subcontractors and other persons or entities performing the Refurbishment Work (“</w:t>
      </w:r>
      <w:r>
        <w:rPr>
          <w:rFonts w:ascii="Times New Roman" w:cs="Times New Roman" w:eastAsia="Times New Roman" w:hAnsi="Times New Roman"/>
          <w:sz w:val="21"/>
          <w:szCs w:val="21"/>
          <w:b w:val="1"/>
          <w:bCs w:val="1"/>
          <w:color w:val="auto"/>
        </w:rPr>
        <w:t>Tenant’s Agents</w:t>
      </w:r>
      <w:r>
        <w:rPr>
          <w:rFonts w:ascii="Times New Roman" w:cs="Times New Roman" w:eastAsia="Times New Roman" w:hAnsi="Times New Roman"/>
          <w:sz w:val="21"/>
          <w:szCs w:val="21"/>
          <w:color w:val="auto"/>
        </w:rPr>
        <w:t xml:space="preserve"> ”) for labor rendered and materials delivered to the Premises; (iii) executed unconditional mechanic's lien releases from all of Tenant's Agents for the portion of the Refurbishment Work which is the subject of the Draw Request (which may be conditional lien releases tied to the requested amount, plus final and unconditional lien releases for any prior disbursements where not yet provided) which shall comply with the appropriate provisions, as reasonably determined by Landlord, of California Civil Code Sections 8132 through 8138; and (iv) all other information reasonably requested by Landlord. As between Landlord and Tenant, Tenant's Draw Request shall be deemed Tenant's acceptance and approval of the work furnished and/or the materials supplied as set forth in Tenant's Draw Request. On or before the day that is forty-five (45) days following Landlord’s receipt of a Draw Request, Landlord shall deliver a check (each, a “</w:t>
      </w:r>
      <w:r>
        <w:rPr>
          <w:rFonts w:ascii="Times New Roman" w:cs="Times New Roman" w:eastAsia="Times New Roman" w:hAnsi="Times New Roman"/>
          <w:sz w:val="21"/>
          <w:szCs w:val="21"/>
          <w:b w:val="1"/>
          <w:bCs w:val="1"/>
          <w:color w:val="auto"/>
        </w:rPr>
        <w:t>Disbursement Check</w:t>
      </w:r>
      <w:r>
        <w:rPr>
          <w:rFonts w:ascii="Times New Roman" w:cs="Times New Roman" w:eastAsia="Times New Roman" w:hAnsi="Times New Roman"/>
          <w:sz w:val="21"/>
          <w:szCs w:val="21"/>
          <w:color w:val="auto"/>
        </w:rPr>
        <w:t>”) to the contractor, vendor or other person or entity entitled to payment and/or a separate Disbursement Check to Tenant if Tenant is requesting reimbursements for amounts previously paid by Tenant (as evidenced by documentation provided by Tenant and reasonably acceptable to Landlord, including, without limitation, paid receipts and final, unconditional lien releases) in payment of the lesser of (1) the amounts so requested by Tenant in the Draw Request, less a five percent (5%) retention (the aggregate amount of such retentions to be known as the "</w:t>
      </w:r>
      <w:r>
        <w:rPr>
          <w:rFonts w:ascii="Times New Roman" w:cs="Times New Roman" w:eastAsia="Times New Roman" w:hAnsi="Times New Roman"/>
          <w:sz w:val="21"/>
          <w:szCs w:val="21"/>
          <w:b w:val="1"/>
          <w:bCs w:val="1"/>
          <w:color w:val="auto"/>
        </w:rPr>
        <w:t>Final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Retention</w:t>
      </w:r>
      <w:r>
        <w:rPr>
          <w:rFonts w:ascii="Times New Roman" w:cs="Times New Roman" w:eastAsia="Times New Roman" w:hAnsi="Times New Roman"/>
          <w:sz w:val="21"/>
          <w:szCs w:val="21"/>
          <w:color w:val="auto"/>
        </w:rPr>
        <w:t>") and (2) the balance of any remaining available portion of the First Amendment Allowance (not including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Final Retention), provided that Landlord does not dispute any Draw Request based on non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compliance of any work with the Refurbishment Plans or due to any Substandard Work (as defined below). Landlord's payment of such amounts shall not be deemed Landlord's approval or acceptance of the work furnished or materials supplied as set forth in Tenant's Draw Request. Notwithstanding the foregoing to the contrary, Landlord shall have no obligation to disburse any portion of the First Amendment Allowance (w) with respect to any costs of any signage, furniture, fixtures, equipment, and/or utility, telephone or data cabling or wiring, (x) with respect to any Refurbishment Work that is performed prior to or after the Refurbishment Period, or (y) with respect to any Draw Request delivered by Tenant prior to or after the Refurbishment Period. In addition, notwithstanding the foregoing, if an Over-Allowance Amount is applicable to a particular Draw Request, in the Disbursement Check, Landlord shall only be obligated to disburse Landlord's "pro rata share" of the First Amendment Allowance applicable to such Draw Request (as described and determined pursuant to Section 4.2(b) above), less a five percent (5%) retention on the entire amount of such Draw Request (and not only such Landlord's "pro rata share"), and only after Tenant has (1) paid directly to the Contractor Tenant's corresponding "pro rata share" of the Over-Allowance Amount applicable to such particular Draw Request (as described and determined pursuant to Section 4.2(b) above), without deduction for any such retention, and (2) delivered to Landlord in such Draw Request (aa) reasonable evidence that Tenant has already paid such amounts directly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1029335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40" w:right="339" w:bottom="1440" w:gutter="0" w:footer="0" w:header="0"/>
        </w:sectPr>
      </w:pPr>
    </w:p>
    <w:bookmarkStart w:id="91" w:name="page92"/>
    <w:bookmarkEnd w:id="91"/>
    <w:p>
      <w:pPr>
        <w:spacing w:after="0" w:line="18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Contractor together with (bb) executed unconditional mechanic's lien releases from the Contractor, subcontractors and all of Tenant's other agents that have mechanics lien rights under applicable laws with respect to such amounts so paid directly by Tenant. Landlord's payment of such Disbursement Check shall not be deemed Landlord's approval or acceptance of the work furnished or materials supplied as set forth in Tenant's Draw Request. Tenant shall not be entitled to receive any portion of the First Amendment Allowance that is not used to pay for the Refurbishment Costs of the Refurbishment Work performed during the Refurbishment Period, and any such unused amounts of the First Amendment Allowance as of the end of the Refurbishment Period shall revert to Landlord and Tenant shall have no further rights with respect thereto.</w:t>
      </w:r>
    </w:p>
    <w:p>
      <w:pPr>
        <w:spacing w:after="0" w:line="178" w:lineRule="exact"/>
        <w:rPr>
          <w:sz w:val="20"/>
          <w:szCs w:val="20"/>
          <w:color w:val="auto"/>
        </w:rPr>
      </w:pPr>
    </w:p>
    <w:p>
      <w:pPr>
        <w:jc w:val="both"/>
        <w:ind w:firstLine="1494"/>
        <w:spacing w:after="0" w:line="234" w:lineRule="auto"/>
        <w:tabs>
          <w:tab w:leader="none" w:pos="1797"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Final Retention</w:t>
      </w:r>
      <w:r>
        <w:rPr>
          <w:rFonts w:ascii="Times New Roman" w:cs="Times New Roman" w:eastAsia="Times New Roman" w:hAnsi="Times New Roman"/>
          <w:sz w:val="22"/>
          <w:szCs w:val="22"/>
          <w:color w:val="auto"/>
        </w:rPr>
        <w:t xml:space="preserve">. A check for the Final Retention payable jointly to the contractor and Tenant or, if Tenant elects, to the contractor or other person or entity entitled to payment and/or a separate check to Tenant if </w:t>
      </w:r>
      <w:r>
        <w:rPr>
          <w:rFonts w:ascii="Times New Roman" w:cs="Times New Roman" w:eastAsia="Times New Roman" w:hAnsi="Times New Roman"/>
          <w:sz w:val="22"/>
          <w:szCs w:val="22"/>
          <w:color w:val="3D3D3D"/>
        </w:rPr>
        <w:t>Tenant</w:t>
      </w:r>
      <w:r>
        <w:rPr>
          <w:rFonts w:ascii="Times New Roman" w:cs="Times New Roman" w:eastAsia="Times New Roman" w:hAnsi="Times New Roman"/>
          <w:sz w:val="22"/>
          <w:szCs w:val="22"/>
          <w:color w:val="auto"/>
        </w:rPr>
        <w:t xml:space="preserve"> is requesting reimbursements for amounts previously paid by Tenant, shall be delivered by Landlord to Tenant following the completion of the Refurbishment Work, provided that (i) Tenant delivers to Landlord properly executed final unconditional mechanics lien releases in compliance with California Civil Code Sections 8132 through 8138 (and paid receipts, if </w:t>
      </w:r>
      <w:r>
        <w:rPr>
          <w:rFonts w:ascii="Times New Roman" w:cs="Times New Roman" w:eastAsia="Times New Roman" w:hAnsi="Times New Roman"/>
          <w:sz w:val="22"/>
          <w:szCs w:val="22"/>
          <w:color w:val="3D3D3D"/>
        </w:rPr>
        <w:t>Tenant</w:t>
      </w:r>
      <w:r>
        <w:rPr>
          <w:rFonts w:ascii="Times New Roman" w:cs="Times New Roman" w:eastAsia="Times New Roman" w:hAnsi="Times New Roman"/>
          <w:sz w:val="22"/>
          <w:szCs w:val="22"/>
          <w:color w:val="auto"/>
        </w:rPr>
        <w:t xml:space="preserve"> is requesting reimbursements for amounts previously paid by Tenant), and (ii) Landlord has not reasonably determined that substandard work exists which adversely affects the mechanical, electrical, plumbing, HVAC, life-safety or other systems of the Building, the curtain wall of the Building, the structure or exterior appearance of the Building, or any other tenant's use of such other tenant's leased premises in the Project (herein, "</w:t>
      </w:r>
      <w:r>
        <w:rPr>
          <w:rFonts w:ascii="Times New Roman" w:cs="Times New Roman" w:eastAsia="Times New Roman" w:hAnsi="Times New Roman"/>
          <w:sz w:val="22"/>
          <w:szCs w:val="22"/>
          <w:b w:val="1"/>
          <w:bCs w:val="1"/>
          <w:color w:val="auto"/>
        </w:rPr>
        <w:t>Substandard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Work</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1494"/>
        <w:spacing w:after="0" w:line="244" w:lineRule="auto"/>
        <w:tabs>
          <w:tab w:leader="none" w:pos="1797"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Reimbursement for FF&amp;E Costs</w:t>
      </w:r>
      <w:r>
        <w:rPr>
          <w:rFonts w:ascii="Times New Roman" w:cs="Times New Roman" w:eastAsia="Times New Roman" w:hAnsi="Times New Roman"/>
          <w:sz w:val="21"/>
          <w:szCs w:val="21"/>
          <w:color w:val="auto"/>
        </w:rPr>
        <w:t>. Notwithstanding anything in Section 4.2(c) above to the contrary, Tenant may elect from time to time , by written notice (each, a "</w:t>
      </w:r>
      <w:r>
        <w:rPr>
          <w:rFonts w:ascii="Times New Roman" w:cs="Times New Roman" w:eastAsia="Times New Roman" w:hAnsi="Times New Roman"/>
          <w:sz w:val="21"/>
          <w:szCs w:val="21"/>
          <w:b w:val="1"/>
          <w:bCs w:val="1"/>
          <w:color w:val="auto"/>
        </w:rPr>
        <w:t>FF&amp;E Reimbursement Notice</w:t>
      </w:r>
      <w:r>
        <w:rPr>
          <w:rFonts w:ascii="Times New Roman" w:cs="Times New Roman" w:eastAsia="Times New Roman" w:hAnsi="Times New Roman"/>
          <w:sz w:val="21"/>
          <w:szCs w:val="21"/>
          <w:color w:val="auto"/>
        </w:rPr>
        <w:t>") delivered to Landlord at any time prior to the end of the Refurbishment Period, to receive all or a portion of the then unused balance of the First Amendment Allowance that has not been used to pay for (and/or designated to pay for) the Refurbishment Costs, in an amount up to, but not exceeding in the aggregate $386,750.00 (</w:t>
      </w:r>
      <w:r>
        <w:rPr>
          <w:rFonts w:ascii="Times New Roman" w:cs="Times New Roman" w:eastAsia="Times New Roman" w:hAnsi="Times New Roman"/>
          <w:sz w:val="21"/>
          <w:szCs w:val="21"/>
          <w:u w:val="single" w:color="auto"/>
          <w:color w:val="auto"/>
        </w:rPr>
        <w:t>i.e.</w:t>
      </w:r>
      <w:r>
        <w:rPr>
          <w:rFonts w:ascii="Times New Roman" w:cs="Times New Roman" w:eastAsia="Times New Roman" w:hAnsi="Times New Roman"/>
          <w:sz w:val="21"/>
          <w:szCs w:val="21"/>
          <w:color w:val="auto"/>
        </w:rPr>
        <w:t>, $10.00 per rentable square foot of the Premises) (the “</w:t>
      </w:r>
      <w:r>
        <w:rPr>
          <w:rFonts w:ascii="Times New Roman" w:cs="Times New Roman" w:eastAsia="Times New Roman" w:hAnsi="Times New Roman"/>
          <w:sz w:val="21"/>
          <w:szCs w:val="21"/>
          <w:b w:val="1"/>
          <w:bCs w:val="1"/>
          <w:color w:val="auto"/>
        </w:rPr>
        <w:t>FF&amp;E Reimbursement Cap</w:t>
      </w:r>
      <w:r>
        <w:rPr>
          <w:rFonts w:ascii="Times New Roman" w:cs="Times New Roman" w:eastAsia="Times New Roman" w:hAnsi="Times New Roman"/>
          <w:sz w:val="21"/>
          <w:szCs w:val="21"/>
          <w:color w:val="auto"/>
        </w:rPr>
        <w:t>”) out of any such unused balance of the First Amendment Allowance, as a reimbursement of the costs actually incurred and paid for by Tenant, as evidenced by invoices and paid receipts therefor (collectively, the "</w:t>
      </w:r>
      <w:r>
        <w:rPr>
          <w:rFonts w:ascii="Times New Roman" w:cs="Times New Roman" w:eastAsia="Times New Roman" w:hAnsi="Times New Roman"/>
          <w:sz w:val="21"/>
          <w:szCs w:val="21"/>
          <w:b w:val="1"/>
          <w:bCs w:val="1"/>
          <w:color w:val="auto"/>
        </w:rPr>
        <w:t>FF&amp;E Costs</w:t>
      </w:r>
      <w:r>
        <w:rPr>
          <w:rFonts w:ascii="Times New Roman" w:cs="Times New Roman" w:eastAsia="Times New Roman" w:hAnsi="Times New Roman"/>
          <w:sz w:val="21"/>
          <w:szCs w:val="21"/>
          <w:color w:val="auto"/>
        </w:rPr>
        <w:t>"), for the acquisition and installation of any furniture, fixtures and equipment (including any low voltage data, telecommunications and telephone systems, equipment and cabling) placed in the Premises by or for Tenant during the Refurbishment Period. Any such FF&amp;E Reimbursement Notice shall expressly state the exact amount of the then unused portion of the First Amendment Allowance (in an amount up to, but not exceeding, the FF&amp;E Reimbursement Cap) which Tenant then elects to receive as reimbursement of the FF&amp;E as described hereinabove. If Tenant properly and timely delivers a FF&amp;E Reimbursement Notice to Landlord electing to receive a portion of the then unused balance of the First Amendment Allowance as reimbursement of the FF&amp;E Costs, then Landlord shall disburse such reimbursement to Tenant on or before the date that is thirty (30) days after Landlord's receipt of such applicable FF&amp;E Reimbursement Notice, together with all invoices and paid receipts evidencing the FF&amp;E Costs and lien releases from the applicable contractors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1024890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40" w:right="339" w:bottom="1440" w:gutter="0" w:footer="0" w:header="0"/>
        </w:sectPr>
      </w:pPr>
    </w:p>
    <w:bookmarkStart w:id="92" w:name="page93"/>
    <w:bookmarkEnd w:id="92"/>
    <w:p>
      <w:pPr>
        <w:spacing w:after="0" w:line="185" w:lineRule="exact"/>
        <w:rPr>
          <w:sz w:val="20"/>
          <w:szCs w:val="20"/>
          <w:color w:val="auto"/>
        </w:rPr>
      </w:pPr>
    </w:p>
    <w:p>
      <w:pPr>
        <w:jc w:val="both"/>
        <w:ind w:left="760"/>
        <w:spacing w:after="0" w:line="239" w:lineRule="auto"/>
        <w:rPr>
          <w:sz w:val="20"/>
          <w:szCs w:val="20"/>
          <w:color w:val="auto"/>
        </w:rPr>
      </w:pPr>
      <w:r>
        <w:rPr>
          <w:rFonts w:ascii="Times New Roman" w:cs="Times New Roman" w:eastAsia="Times New Roman" w:hAnsi="Times New Roman"/>
          <w:sz w:val="22"/>
          <w:szCs w:val="22"/>
          <w:color w:val="auto"/>
        </w:rPr>
        <w:t>and vendors to the extent such contractors and/or vendors have mechanics lien rights under applicable laws. If Tenant fails to deliver any FF&amp;E Reimbursement Notice(s) to Landlord on or prior to the end of the Refurbishment Period, then any such unused amount(s) of the First Amendment Allowance shall revert to Landlord and Tenant shall have no further rights with respect thereto.</w:t>
      </w:r>
    </w:p>
    <w:p>
      <w:pPr>
        <w:spacing w:after="0" w:line="176" w:lineRule="exact"/>
        <w:rPr>
          <w:sz w:val="20"/>
          <w:szCs w:val="20"/>
          <w:color w:val="auto"/>
        </w:rPr>
      </w:pPr>
    </w:p>
    <w:p>
      <w:pPr>
        <w:jc w:val="both"/>
        <w:ind w:firstLine="757"/>
        <w:spacing w:after="0" w:line="241" w:lineRule="auto"/>
        <w:tabs>
          <w:tab w:leader="none" w:pos="1018"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Extension Option</w:t>
      </w:r>
      <w:r>
        <w:rPr>
          <w:rFonts w:ascii="Times New Roman" w:cs="Times New Roman" w:eastAsia="Times New Roman" w:hAnsi="Times New Roman"/>
          <w:sz w:val="22"/>
          <w:szCs w:val="22"/>
          <w:color w:val="auto"/>
        </w:rPr>
        <w:t>. Tenant shall continue to have the extension option set forth in Section 2.2 of the Original Lease,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except that (i) in lieu of one (1) eight (8) year option, the Option Term as defined therein shall be revised to be one (1) seven (7) year option and shall be the seven (7) year period immediately following the expiration of the Extended Term, and (ii) all references therein to the "initial Lease Term" shall mean and refer to the Extended Term.</w:t>
      </w:r>
    </w:p>
    <w:p>
      <w:pPr>
        <w:spacing w:after="0" w:line="171"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Right of First Refusal</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u w:val="single" w:color="auto"/>
          <w:color w:val="auto"/>
        </w:rPr>
        <w:t>Grant of Right of First Refusal</w:t>
      </w:r>
      <w:r>
        <w:rPr>
          <w:rFonts w:ascii="Times New Roman" w:cs="Times New Roman" w:eastAsia="Times New Roman" w:hAnsi="Times New Roman"/>
          <w:sz w:val="22"/>
          <w:szCs w:val="22"/>
          <w:color w:val="auto"/>
        </w:rPr>
        <w:t>. Subject to the terms and conditions of this Section 6, from and after the Effective Date and continuing until the expiration of the Extended Term (the "</w:t>
      </w:r>
      <w:r>
        <w:rPr>
          <w:rFonts w:ascii="Times New Roman" w:cs="Times New Roman" w:eastAsia="Times New Roman" w:hAnsi="Times New Roman"/>
          <w:sz w:val="22"/>
          <w:szCs w:val="22"/>
          <w:b w:val="1"/>
          <w:bCs w:val="1"/>
          <w:color w:val="auto"/>
        </w:rPr>
        <w:t>ROFR Period</w:t>
      </w:r>
      <w:r>
        <w:rPr>
          <w:rFonts w:ascii="Times New Roman" w:cs="Times New Roman" w:eastAsia="Times New Roman" w:hAnsi="Times New Roman"/>
          <w:sz w:val="22"/>
          <w:szCs w:val="22"/>
          <w:color w:val="auto"/>
        </w:rPr>
        <w:t>"), Landlord grants Tenant an</w:t>
      </w:r>
    </w:p>
    <w:p>
      <w:pPr>
        <w:spacing w:after="0" w:line="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ongoing right of first refusal (“</w:t>
      </w:r>
      <w:r>
        <w:rPr>
          <w:rFonts w:ascii="Times New Roman" w:cs="Times New Roman" w:eastAsia="Times New Roman" w:hAnsi="Times New Roman"/>
          <w:sz w:val="22"/>
          <w:szCs w:val="22"/>
          <w:b w:val="1"/>
          <w:bCs w:val="1"/>
          <w:color w:val="auto"/>
        </w:rPr>
        <w:t>ROFR</w:t>
      </w:r>
      <w:r>
        <w:rPr>
          <w:rFonts w:ascii="Times New Roman" w:cs="Times New Roman" w:eastAsia="Times New Roman" w:hAnsi="Times New Roman"/>
          <w:sz w:val="22"/>
          <w:szCs w:val="22"/>
          <w:color w:val="auto"/>
        </w:rPr>
        <w:t>”) to lease space on the first (1</w:t>
      </w:r>
      <w:r>
        <w:rPr>
          <w:rFonts w:ascii="Times New Roman" w:cs="Times New Roman" w:eastAsia="Times New Roman" w:hAnsi="Times New Roman"/>
          <w:sz w:val="14"/>
          <w:szCs w:val="14"/>
          <w:color w:val="auto"/>
        </w:rPr>
        <w:t>st</w:t>
      </w:r>
      <w:r>
        <w:rPr>
          <w:rFonts w:ascii="Times New Roman" w:cs="Times New Roman" w:eastAsia="Times New Roman" w:hAnsi="Times New Roman"/>
          <w:sz w:val="22"/>
          <w:szCs w:val="22"/>
          <w:color w:val="auto"/>
        </w:rPr>
        <w:t>) floor of the Building (the “</w:t>
      </w:r>
      <w:r>
        <w:rPr>
          <w:rFonts w:ascii="Times New Roman" w:cs="Times New Roman" w:eastAsia="Times New Roman" w:hAnsi="Times New Roman"/>
          <w:sz w:val="22"/>
          <w:szCs w:val="22"/>
          <w:b w:val="1"/>
          <w:bCs w:val="1"/>
          <w:color w:val="auto"/>
        </w:rPr>
        <w:t>ROFR Space</w:t>
      </w:r>
      <w:r>
        <w:rPr>
          <w:rFonts w:ascii="Times New Roman" w:cs="Times New Roman" w:eastAsia="Times New Roman" w:hAnsi="Times New Roman"/>
          <w:sz w:val="22"/>
          <w:szCs w:val="22"/>
          <w:color w:val="auto"/>
        </w:rPr>
        <w:t>”), subject and subordinate to (i) any renewal or extension rights of the tenants of the ROFR Space under existing leases as of the Effective Date and/or (ii) any expansion or similar rights granted under an Intervening Lease (collectively, the “</w:t>
      </w:r>
      <w:r>
        <w:rPr>
          <w:rFonts w:ascii="Times New Roman" w:cs="Times New Roman" w:eastAsia="Times New Roman" w:hAnsi="Times New Roman"/>
          <w:sz w:val="22"/>
          <w:szCs w:val="22"/>
          <w:b w:val="1"/>
          <w:bCs w:val="1"/>
          <w:color w:val="auto"/>
        </w:rPr>
        <w:t>Superior Rights</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1"/>
          <w:szCs w:val="21"/>
          <w:color w:val="auto"/>
        </w:rPr>
        <w:t xml:space="preserve">6.2 </w:t>
      </w:r>
      <w:r>
        <w:rPr>
          <w:rFonts w:ascii="Times New Roman" w:cs="Times New Roman" w:eastAsia="Times New Roman" w:hAnsi="Times New Roman"/>
          <w:sz w:val="21"/>
          <w:szCs w:val="21"/>
          <w:u w:val="single" w:color="auto"/>
          <w:color w:val="auto"/>
        </w:rPr>
        <w:t>Procedure for ROFR Notice</w:t>
      </w:r>
      <w:r>
        <w:rPr>
          <w:rFonts w:ascii="Times New Roman" w:cs="Times New Roman" w:eastAsia="Times New Roman" w:hAnsi="Times New Roman"/>
          <w:sz w:val="21"/>
          <w:szCs w:val="21"/>
          <w:color w:val="auto"/>
        </w:rPr>
        <w:t>. During the ROFR Period, if Landlord is willing to accept from any third party a bona fide proposal to lease all or any portion of the ROFR Space (subject and subordinate to any holders of Superior Rights and/or any renewal or extension of the lease of any then-current existing tenants of any ROFR Space whether or not pursuant to any express renewal right therein), then prior to Landlord accepting any such proposal to lease, Landlord shall deliver written notice to Tenant (each, a “</w:t>
      </w:r>
      <w:r>
        <w:rPr>
          <w:rFonts w:ascii="Times New Roman" w:cs="Times New Roman" w:eastAsia="Times New Roman" w:hAnsi="Times New Roman"/>
          <w:sz w:val="21"/>
          <w:szCs w:val="21"/>
          <w:b w:val="1"/>
          <w:bCs w:val="1"/>
          <w:color w:val="auto"/>
        </w:rPr>
        <w:t>ROFR Notice</w:t>
      </w:r>
      <w:r>
        <w:rPr>
          <w:rFonts w:ascii="Times New Roman" w:cs="Times New Roman" w:eastAsia="Times New Roman" w:hAnsi="Times New Roman"/>
          <w:sz w:val="21"/>
          <w:szCs w:val="21"/>
          <w:color w:val="auto"/>
        </w:rPr>
        <w:t>”) identifying the applicable ROFR Space (and the rentable area thereof) and setting forth the same economic terms upon which Landlord would lease the applicable ROFR Space to such third party in such acceptable lease proposal, including, without limitation the following (collectively, the "</w:t>
      </w:r>
      <w:r>
        <w:rPr>
          <w:rFonts w:ascii="Times New Roman" w:cs="Times New Roman" w:eastAsia="Times New Roman" w:hAnsi="Times New Roman"/>
          <w:sz w:val="21"/>
          <w:szCs w:val="21"/>
          <w:b w:val="1"/>
          <w:bCs w:val="1"/>
          <w:color w:val="auto"/>
        </w:rPr>
        <w:t>Economic Terms</w:t>
      </w:r>
      <w:r>
        <w:rPr>
          <w:rFonts w:ascii="Times New Roman" w:cs="Times New Roman" w:eastAsia="Times New Roman" w:hAnsi="Times New Roman"/>
          <w:sz w:val="21"/>
          <w:szCs w:val="21"/>
          <w:color w:val="auto"/>
        </w:rPr>
        <w:t>"): (i) the proposed lease term and commencement date; (ii) the proposed rental rate and other economic terms (including abated rent, improvement allowances, landlord work, and other rental concessions); and (iii) any additional security deposit or parking requirements.</w:t>
      </w:r>
    </w:p>
    <w:p>
      <w:pPr>
        <w:spacing w:after="0" w:line="171"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u w:val="single" w:color="auto"/>
          <w:color w:val="auto"/>
        </w:rPr>
        <w:t>Exercise of ROFR</w:t>
      </w:r>
      <w:r>
        <w:rPr>
          <w:rFonts w:ascii="Times New Roman" w:cs="Times New Roman" w:eastAsia="Times New Roman" w:hAnsi="Times New Roman"/>
          <w:sz w:val="22"/>
          <w:szCs w:val="22"/>
          <w:color w:val="auto"/>
        </w:rPr>
        <w:t>. Tenant shall exercise the ROFR, if at all, by delivering written notice (the “</w:t>
      </w:r>
      <w:r>
        <w:rPr>
          <w:rFonts w:ascii="Times New Roman" w:cs="Times New Roman" w:eastAsia="Times New Roman" w:hAnsi="Times New Roman"/>
          <w:sz w:val="22"/>
          <w:szCs w:val="22"/>
          <w:b w:val="1"/>
          <w:bCs w:val="1"/>
          <w:color w:val="auto"/>
        </w:rPr>
        <w:t>ROFR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Exercise Notice</w:t>
      </w:r>
      <w:r>
        <w:rPr>
          <w:rFonts w:ascii="Times New Roman" w:cs="Times New Roman" w:eastAsia="Times New Roman" w:hAnsi="Times New Roman"/>
          <w:sz w:val="22"/>
          <w:szCs w:val="22"/>
          <w:color w:val="auto"/>
        </w:rPr>
        <w:t>”) within seven (7) business days after receipt of the ROFR Notice. Tenant must elect to lease all (and not less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than all) of the applicable ROFR Space. If Tenant fails to timely deliver the ROFR Exercise Notice, then Landlord may lease the applicable ROFR Space (sometimes, the “</w:t>
      </w:r>
      <w:r>
        <w:rPr>
          <w:rFonts w:ascii="Times New Roman" w:cs="Times New Roman" w:eastAsia="Times New Roman" w:hAnsi="Times New Roman"/>
          <w:sz w:val="22"/>
          <w:szCs w:val="22"/>
          <w:b w:val="1"/>
          <w:bCs w:val="1"/>
          <w:color w:val="auto"/>
        </w:rPr>
        <w:t>Rejected ROFR Space</w:t>
      </w:r>
      <w:r>
        <w:rPr>
          <w:rFonts w:ascii="Times New Roman" w:cs="Times New Roman" w:eastAsia="Times New Roman" w:hAnsi="Times New Roman"/>
          <w:sz w:val="22"/>
          <w:szCs w:val="22"/>
          <w:color w:val="auto"/>
        </w:rPr>
        <w:t>”) to any third party upon any terms desired and/or agreed to by Landlord, subject to the terms of Sections 6.6 and 6.5 below.</w:t>
      </w:r>
    </w:p>
    <w:p>
      <w:pPr>
        <w:spacing w:after="0" w:line="181"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 xml:space="preserve">6.4 </w:t>
      </w:r>
      <w:r>
        <w:rPr>
          <w:rFonts w:ascii="Times New Roman" w:cs="Times New Roman" w:eastAsia="Times New Roman" w:hAnsi="Times New Roman"/>
          <w:sz w:val="22"/>
          <w:szCs w:val="22"/>
          <w:u w:val="single" w:color="auto"/>
          <w:color w:val="auto"/>
        </w:rPr>
        <w:t>ROFR Term</w:t>
      </w:r>
      <w:r>
        <w:rPr>
          <w:rFonts w:ascii="Times New Roman" w:cs="Times New Roman" w:eastAsia="Times New Roman" w:hAnsi="Times New Roman"/>
          <w:sz w:val="22"/>
          <w:szCs w:val="22"/>
          <w:color w:val="auto"/>
        </w:rPr>
        <w:t>. If Tenant timely exercises the ROFR, Landlord and Tenant shall execute an amendment to this Lease within thirty (30) days to add the applicable ROFR Space to the Lease on the Economic Terms set forth in the ROFR Notice and this Section 6; but Tenant's timely delivery of the ROFR Notice shall, in and of itself and even without an amendment, conclusively establish Tenant's lease of the applicable ROFR Space on the express terms set forth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spacing w:after="0" w:line="1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in this Section 6. Tenant shall accept the applicable ROFR Space in its “as-is” condition, and Landlord shall have no obligation to perform work or provide allowances except as expressly stated in the Economic Terms within the ROFR Notice. The term of the lease of the applicable ROFR Space (the “</w:t>
      </w:r>
      <w:r>
        <w:rPr>
          <w:rFonts w:ascii="Times New Roman" w:cs="Times New Roman" w:eastAsia="Times New Roman" w:hAnsi="Times New Roman"/>
          <w:sz w:val="22"/>
          <w:szCs w:val="22"/>
          <w:b w:val="1"/>
          <w:bCs w:val="1"/>
          <w:color w:val="auto"/>
        </w:rPr>
        <w:t>ROFR Term</w:t>
      </w:r>
      <w:r>
        <w:rPr>
          <w:rFonts w:ascii="Times New Roman" w:cs="Times New Roman" w:eastAsia="Times New Roman" w:hAnsi="Times New Roman"/>
          <w:sz w:val="22"/>
          <w:szCs w:val="22"/>
          <w:color w:val="auto"/>
        </w:rPr>
        <w:t>”) shall commence on the date specified in the ROFR Notice and shall expire on such date as set forth therein. Tenant’s timely delivery of the ROFR Exercise Notice shall be binding and enforceable without further documentation.</w:t>
      </w:r>
    </w:p>
    <w:p>
      <w:pPr>
        <w:spacing w:after="0" w:line="177"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color w:val="auto"/>
        </w:rPr>
        <w:t>6.5</w:t>
      </w:r>
      <w:r>
        <w:rPr>
          <w:sz w:val="20"/>
          <w:szCs w:val="20"/>
          <w:color w:val="auto"/>
        </w:rPr>
        <w:tab/>
      </w:r>
      <w:r>
        <w:rPr>
          <w:rFonts w:ascii="Times New Roman" w:cs="Times New Roman" w:eastAsia="Times New Roman" w:hAnsi="Times New Roman"/>
          <w:sz w:val="21"/>
          <w:szCs w:val="21"/>
          <w:u w:val="single" w:color="auto"/>
          <w:color w:val="auto"/>
        </w:rPr>
        <w:t>Tenant’s Subsequent ROFR Rights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760" w:firstLine="1494"/>
        <w:spacing w:after="0" w:line="234" w:lineRule="auto"/>
        <w:tabs>
          <w:tab w:leader="none" w:pos="2557"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that Tenant failed to timely deliver the ROFR Exercise Notice described in Section 6.3 above, if Landlord does not enter into a lease for all or any portion of such applicable Rejected ROFR Space identified in the ROFR Notice within nine (9) months after the date Landlord delivered such ROFR Notice to Tenant (the "</w:t>
      </w:r>
      <w:r>
        <w:rPr>
          <w:rFonts w:ascii="Times New Roman" w:cs="Times New Roman" w:eastAsia="Times New Roman" w:hAnsi="Times New Roman"/>
          <w:sz w:val="22"/>
          <w:szCs w:val="22"/>
          <w:b w:val="1"/>
          <w:bCs w:val="1"/>
          <w:color w:val="auto"/>
        </w:rPr>
        <w:t>9-Month Lease-Up Period</w:t>
      </w:r>
      <w:r>
        <w:rPr>
          <w:rFonts w:ascii="Times New Roman" w:cs="Times New Roman" w:eastAsia="Times New Roman" w:hAnsi="Times New Roman"/>
          <w:sz w:val="22"/>
          <w:szCs w:val="22"/>
          <w:color w:val="auto"/>
        </w:rPr>
        <w:t>") and Landlord is thereafter willing to accept from any third party (excluding existing tenants of the applicable Rejected ROFR Space and/or holders of Superior Rights with respect to the Rejected ROFR Space) a bona fide proposal to lease the entire applicable Rejected ROFR Space, which bona fide proposal has a commencement date scheduled to occur prior to the expiration of the ROFR Period, then before entering into such third party lease, Landlord shall submit to Tenant a new ROFR Notice in accordance with the provisions of Section 6.2 above for the entire applicable Rejected ROFR Space and the procedures set forth in Sections 6.2 and 6.3 above shall again apply following Tenant's receipt of such new ROFR Notice.</w:t>
      </w:r>
    </w:p>
    <w:p>
      <w:pPr>
        <w:spacing w:after="0" w:line="179" w:lineRule="exact"/>
        <w:rPr>
          <w:rFonts w:ascii="Times New Roman" w:cs="Times New Roman" w:eastAsia="Times New Roman" w:hAnsi="Times New Roman"/>
          <w:sz w:val="22"/>
          <w:szCs w:val="22"/>
          <w:color w:val="auto"/>
        </w:rPr>
      </w:pPr>
    </w:p>
    <w:p>
      <w:pPr>
        <w:jc w:val="both"/>
        <w:ind w:left="760" w:firstLine="1494"/>
        <w:spacing w:after="0" w:line="232" w:lineRule="auto"/>
        <w:tabs>
          <w:tab w:leader="none" w:pos="2557"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within the 9-Month Lease-Up Period, (i) Landlord is willing to accept from any third party (excluding existing tenants of the applicable Rejected ROFR Space and/or holders of Superior Rights with respect to the Rejected ROFR Space) a bona fide proposal to lease the entire applicable Rejected ROFR Space, which bona fide proposal has a commencement date scheduled to occur prior to the expiration of the ROFR Period, and (ii) the net effective rental rate within the Economic Terms set forth in such bona fide proposal are Materially More Favorable (as defined below) to such third party than the net effective rental rate within the Economic Terms originally proposed by Landlord in the ROFR Notice for such applicable Rejected ROFR Space, then before entering into such third party lease, Landlord shall deliver to Tenant a new ROFR Notice with such Materially More Favorable Economic Terms and Tenant shall have the right to lease such applicable Rejected ROFR Space upon such Materially More Favorable Economic Terms by delivering a ROFR Exercise Notice to Landlord within five (5) business days after Tenant's receipt of the applicable new ROFR Notice. If Tenant does not deliver the ROFR Exercise Notice to Landlord within such 5-business day period, then Tenant shall be deemed to have elected not to lease the applicable Rejected ROFR Space, in which event Landlord may lease such applicable Rejected ROFR Space (or any portion thereof) to any person or entity on any terms Landlord desires, and Tenant's right to lease such applicable Rejected ROFR Space as provided in this Section 6.5 shall thereupon automatically terminate and be of no further force or effect, subject to the terms of Section 6.5(a) above, the first sentence of this Section 6.5(b) and Section 6.6 below.</w:t>
      </w:r>
    </w:p>
    <w:p>
      <w:pPr>
        <w:spacing w:after="0" w:line="191" w:lineRule="exact"/>
        <w:rPr>
          <w:sz w:val="20"/>
          <w:szCs w:val="20"/>
          <w:color w:val="auto"/>
        </w:rPr>
      </w:pPr>
    </w:p>
    <w:p>
      <w:pPr>
        <w:ind w:firstLine="1497"/>
        <w:spacing w:after="0" w:line="258" w:lineRule="auto"/>
        <w:rPr>
          <w:sz w:val="20"/>
          <w:szCs w:val="20"/>
          <w:color w:val="auto"/>
        </w:rPr>
      </w:pPr>
      <w:r>
        <w:rPr>
          <w:rFonts w:ascii="Times New Roman" w:cs="Times New Roman" w:eastAsia="Times New Roman" w:hAnsi="Times New Roman"/>
          <w:sz w:val="22"/>
          <w:szCs w:val="22"/>
          <w:color w:val="auto"/>
        </w:rPr>
        <w:t xml:space="preserve">6.6 </w:t>
      </w:r>
      <w:r>
        <w:rPr>
          <w:rFonts w:ascii="Times New Roman" w:cs="Times New Roman" w:eastAsia="Times New Roman" w:hAnsi="Times New Roman"/>
          <w:sz w:val="22"/>
          <w:szCs w:val="22"/>
          <w:u w:val="single" w:color="auto"/>
          <w:color w:val="auto"/>
        </w:rPr>
        <w:t>Termination of ROFR</w:t>
      </w:r>
      <w:r>
        <w:rPr>
          <w:rFonts w:ascii="Times New Roman" w:cs="Times New Roman" w:eastAsia="Times New Roman" w:hAnsi="Times New Roman"/>
          <w:sz w:val="22"/>
          <w:szCs w:val="22"/>
          <w:color w:val="auto"/>
        </w:rPr>
        <w:t>. Notwithstanding anything to the contrary herein, the right of first refusal granted herein shall not terminate as to particular First Refusal Space upon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859790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spacing w:after="0" w:line="18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failure by Tenant to exercise its right of first refusal with respect to such First Refusal Space as offered by Landlord and Landlord shall be obligated to re-offer such space to Tenant under the terms of Section 6.2 above following the expiration or earlier termination of any lease (an "</w:t>
      </w:r>
      <w:r>
        <w:rPr>
          <w:rFonts w:ascii="Times New Roman" w:cs="Times New Roman" w:eastAsia="Times New Roman" w:hAnsi="Times New Roman"/>
          <w:sz w:val="22"/>
          <w:szCs w:val="22"/>
          <w:b w:val="1"/>
          <w:bCs w:val="1"/>
          <w:color w:val="auto"/>
        </w:rPr>
        <w:t>Intervening Lease</w:t>
      </w:r>
      <w:r>
        <w:rPr>
          <w:rFonts w:ascii="Times New Roman" w:cs="Times New Roman" w:eastAsia="Times New Roman" w:hAnsi="Times New Roman"/>
          <w:sz w:val="22"/>
          <w:szCs w:val="22"/>
          <w:color w:val="auto"/>
        </w:rPr>
        <w:t>") entered into by Landlord following Tenant's failure to timely exercise its right to lease the First Refusal Space, subject, however, to Landlord's right to renew any such Intervening Lease, irrespective of whether any such renewal is initially set forth in such lease or is subsequently granted or agreed upon, and regardless of whether any such renewal is exercised strictly in accordance with its terms or pursuant to a lease amendment or a new lease. In addition, any expansion or similar rights granted under an Intervening Lease shall be deemed to be "Superior Rights", and the tenant under any Intervening Lease shall be a "Superior Right Holder". Tenant may only exercise the ROFR if at the time of Tenant’s ROFR Exercise Notice: (a) Tenant is not in default beyond applicable notice and cure periods, and (b) Tenant has not previously been in default beyond applicable notice and cure periods more than once. Tenant’s ROFR shall terminate automatically upon: (i) an assignment of the Lease, as hereby amended, other than to a Permitted Transferee; (ii) a sublease of fifty percent (50%) or more of the entire then-existing Premises for the remainder of the Extended Term; or (iii) a second default beyond applicable notice and cure periods.</w:t>
      </w:r>
    </w:p>
    <w:p>
      <w:pPr>
        <w:spacing w:after="0" w:line="178" w:lineRule="exact"/>
        <w:rPr>
          <w:sz w:val="20"/>
          <w:szCs w:val="20"/>
          <w:color w:val="auto"/>
        </w:rPr>
      </w:pPr>
    </w:p>
    <w:p>
      <w:pPr>
        <w:ind w:left="1020" w:hanging="263"/>
        <w:spacing w:after="0"/>
        <w:tabs>
          <w:tab w:leader="none" w:pos="102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Right of First Offer</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1"/>
          <w:szCs w:val="21"/>
          <w:color w:val="auto"/>
        </w:rPr>
        <w:t xml:space="preserve">7.1 </w:t>
      </w:r>
      <w:r>
        <w:rPr>
          <w:rFonts w:ascii="Times New Roman" w:cs="Times New Roman" w:eastAsia="Times New Roman" w:hAnsi="Times New Roman"/>
          <w:sz w:val="21"/>
          <w:szCs w:val="21"/>
          <w:u w:val="single" w:color="auto"/>
          <w:color w:val="auto"/>
        </w:rPr>
        <w:t>Grant of Right of First Offer</w:t>
      </w:r>
      <w:r>
        <w:rPr>
          <w:rFonts w:ascii="Times New Roman" w:cs="Times New Roman" w:eastAsia="Times New Roman" w:hAnsi="Times New Roman"/>
          <w:sz w:val="21"/>
          <w:szCs w:val="21"/>
          <w:color w:val="auto"/>
        </w:rPr>
        <w:t>. So long as Landlord or an affiliate of Landlord owns that certain building located at Two Corporate Drive (the “</w:t>
      </w:r>
      <w:r>
        <w:rPr>
          <w:rFonts w:ascii="Times New Roman" w:cs="Times New Roman" w:eastAsia="Times New Roman" w:hAnsi="Times New Roman"/>
          <w:sz w:val="21"/>
          <w:szCs w:val="21"/>
          <w:b w:val="1"/>
          <w:bCs w:val="1"/>
          <w:color w:val="auto"/>
        </w:rPr>
        <w:t>2 Corp Building</w:t>
      </w:r>
      <w:r>
        <w:rPr>
          <w:rFonts w:ascii="Times New Roman" w:cs="Times New Roman" w:eastAsia="Times New Roman" w:hAnsi="Times New Roman"/>
          <w:sz w:val="21"/>
          <w:szCs w:val="21"/>
          <w:color w:val="auto"/>
        </w:rPr>
        <w:t>”), Landlord grants Tenant a one-time right of first offer (“</w:t>
      </w:r>
      <w:r>
        <w:rPr>
          <w:rFonts w:ascii="Times New Roman" w:cs="Times New Roman" w:eastAsia="Times New Roman" w:hAnsi="Times New Roman"/>
          <w:sz w:val="21"/>
          <w:szCs w:val="21"/>
          <w:b w:val="1"/>
          <w:bCs w:val="1"/>
          <w:color w:val="auto"/>
        </w:rPr>
        <w:t>ROFO</w:t>
      </w:r>
      <w:r>
        <w:rPr>
          <w:rFonts w:ascii="Times New Roman" w:cs="Times New Roman" w:eastAsia="Times New Roman" w:hAnsi="Times New Roman"/>
          <w:sz w:val="21"/>
          <w:szCs w:val="21"/>
          <w:color w:val="auto"/>
        </w:rPr>
        <w:t>”) during the period commencing on the Effective Date and ending following the initial thirty-six (36) months of the Extended Term</w:t>
      </w:r>
    </w:p>
    <w:p>
      <w:pPr>
        <w:spacing w:after="0" w:line="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ROFO Period</w:t>
      </w:r>
      <w:r>
        <w:rPr>
          <w:rFonts w:ascii="Times New Roman" w:cs="Times New Roman" w:eastAsia="Times New Roman" w:hAnsi="Times New Roman"/>
          <w:sz w:val="22"/>
          <w:szCs w:val="22"/>
          <w:color w:val="auto"/>
        </w:rPr>
        <w:t>”) to lease space on the second (2</w:t>
      </w:r>
      <w:r>
        <w:rPr>
          <w:rFonts w:ascii="Times New Roman" w:cs="Times New Roman" w:eastAsia="Times New Roman" w:hAnsi="Times New Roman"/>
          <w:sz w:val="14"/>
          <w:szCs w:val="14"/>
          <w:color w:val="auto"/>
        </w:rPr>
        <w:t>nd</w:t>
      </w:r>
      <w:r>
        <w:rPr>
          <w:rFonts w:ascii="Times New Roman" w:cs="Times New Roman" w:eastAsia="Times New Roman" w:hAnsi="Times New Roman"/>
          <w:sz w:val="22"/>
          <w:szCs w:val="22"/>
          <w:color w:val="auto"/>
        </w:rPr>
        <w:t>) floor of the 2 Corp Building (the “</w:t>
      </w:r>
      <w:r>
        <w:rPr>
          <w:rFonts w:ascii="Times New Roman" w:cs="Times New Roman" w:eastAsia="Times New Roman" w:hAnsi="Times New Roman"/>
          <w:sz w:val="22"/>
          <w:szCs w:val="22"/>
          <w:b w:val="1"/>
          <w:bCs w:val="1"/>
          <w:color w:val="auto"/>
        </w:rPr>
        <w:t>ROFO Spac</w:t>
      </w:r>
      <w:r>
        <w:rPr>
          <w:rFonts w:ascii="Times New Roman" w:cs="Times New Roman" w:eastAsia="Times New Roman" w:hAnsi="Times New Roman"/>
          <w:sz w:val="22"/>
          <w:szCs w:val="22"/>
          <w:color w:val="auto"/>
        </w:rPr>
        <w:t>e”), subject and subordinate any holders of Superior Rights.</w:t>
      </w:r>
    </w:p>
    <w:p>
      <w:pPr>
        <w:spacing w:after="0" w:line="171"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u w:val="single" w:color="auto"/>
          <w:color w:val="auto"/>
        </w:rPr>
        <w:t>Procedure for Offer.</w:t>
      </w:r>
      <w:r>
        <w:rPr>
          <w:rFonts w:ascii="Times New Roman" w:cs="Times New Roman" w:eastAsia="Times New Roman" w:hAnsi="Times New Roman"/>
          <w:sz w:val="22"/>
          <w:szCs w:val="22"/>
          <w:color w:val="auto"/>
        </w:rPr>
        <w:t xml:space="preserve"> If and when any portion of the ROFO Space becomes available for lease (other than to its then-current occupant [including with respect to any renewal or extension whether or not pursuant to any express renewal right] or pursuant to Superior Rights), Landlord shall deliver written notice to Tenant (the “</w:t>
      </w:r>
      <w:r>
        <w:rPr>
          <w:rFonts w:ascii="Times New Roman" w:cs="Times New Roman" w:eastAsia="Times New Roman" w:hAnsi="Times New Roman"/>
          <w:sz w:val="22"/>
          <w:szCs w:val="22"/>
          <w:b w:val="1"/>
          <w:bCs w:val="1"/>
          <w:color w:val="auto"/>
        </w:rPr>
        <w:t>ROFO Notice</w:t>
      </w:r>
      <w:r>
        <w:rPr>
          <w:rFonts w:ascii="Times New Roman" w:cs="Times New Roman" w:eastAsia="Times New Roman" w:hAnsi="Times New Roman"/>
          <w:sz w:val="22"/>
          <w:szCs w:val="22"/>
          <w:color w:val="auto"/>
        </w:rPr>
        <w:t>”) describing (i) the portion then available (the “</w:t>
      </w:r>
      <w:r>
        <w:rPr>
          <w:rFonts w:ascii="Times New Roman" w:cs="Times New Roman" w:eastAsia="Times New Roman" w:hAnsi="Times New Roman"/>
          <w:sz w:val="22"/>
          <w:szCs w:val="22"/>
          <w:b w:val="1"/>
          <w:bCs w:val="1"/>
          <w:color w:val="auto"/>
        </w:rPr>
        <w:t>ROFO Premises</w:t>
      </w:r>
      <w:r>
        <w:rPr>
          <w:rFonts w:ascii="Times New Roman" w:cs="Times New Roman" w:eastAsia="Times New Roman" w:hAnsi="Times New Roman"/>
          <w:sz w:val="22"/>
          <w:szCs w:val="22"/>
          <w:color w:val="auto"/>
        </w:rPr>
        <w:t>”), (ii) the rentable area, (iii) the proposed lease term and commencement date, (iv) the proposed rental rate and other economic terms (including improvement allowances, landlord work, and rental concessions), and (v) any additional security deposit or parking requirements. If Landlord has received a bona fide third-party proposal for the ROFO Space that includes space in the 2 Corp Building in addition to the ROFO Space, the ROFO Notice may cover all such space, in which case the “ROFO Premises” shall include the entire space described in the Third-Party Offer. Notwithstanding anything to the contrary herein, if the ROFO Space (or any portion thereof) is vacant as of the Effective Date, Landlord shall have no obligation to deliver a ROFO Notice until the expiration or earlier termination of the next lease of such space; provided, however, if, during the period beginning on the Effective Date and ending on the commencement date of any such next lease of such space, Landlord has received a bona fide third-party proposal for all or any portion of the ROFO Space, Landlord shall, as a courtesy to Tenant, promptly notify Tenant of such fact (but, for avoidance of doubt, Landlord shall have no obligation to disclose to Tenant the terms of such third party proposal, such notice by Landlord shall not constitute an offer for Tenant to lease such space, nor shall such notice trigger any obligation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871220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part of Landlord to enter into any negotiations with Tenant with respect to a potential lease of such space).</w:t>
      </w:r>
    </w:p>
    <w:p>
      <w:pPr>
        <w:spacing w:after="0" w:line="202"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 xml:space="preserve">7.3 </w:t>
      </w:r>
      <w:r>
        <w:rPr>
          <w:rFonts w:ascii="Times New Roman" w:cs="Times New Roman" w:eastAsia="Times New Roman" w:hAnsi="Times New Roman"/>
          <w:sz w:val="22"/>
          <w:szCs w:val="22"/>
          <w:u w:val="single" w:color="auto"/>
          <w:color w:val="auto"/>
        </w:rPr>
        <w:t>Exercise</w:t>
      </w:r>
      <w:r>
        <w:rPr>
          <w:rFonts w:ascii="Times New Roman" w:cs="Times New Roman" w:eastAsia="Times New Roman" w:hAnsi="Times New Roman"/>
          <w:sz w:val="22"/>
          <w:szCs w:val="22"/>
          <w:color w:val="auto"/>
        </w:rPr>
        <w:t>. Tenant shall exercise the ROFO, if at all, by delivering written notice (the “</w:t>
      </w:r>
      <w:r>
        <w:rPr>
          <w:rFonts w:ascii="Times New Roman" w:cs="Times New Roman" w:eastAsia="Times New Roman" w:hAnsi="Times New Roman"/>
          <w:sz w:val="22"/>
          <w:szCs w:val="22"/>
          <w:b w:val="1"/>
          <w:bCs w:val="1"/>
          <w:color w:val="auto"/>
        </w:rPr>
        <w:t>ROFO Exercise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Notice</w:t>
      </w:r>
      <w:r>
        <w:rPr>
          <w:rFonts w:ascii="Times New Roman" w:cs="Times New Roman" w:eastAsia="Times New Roman" w:hAnsi="Times New Roman"/>
          <w:sz w:val="22"/>
          <w:szCs w:val="22"/>
          <w:color w:val="auto"/>
        </w:rPr>
        <w:t>”) within ten (10) business days after receipt of the ROFO Notice. Tenant must elect to lease all (and not less than all)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ROFO Premises. If Tenant fails to timely deliver the ROFO Exercise Notice, Landlord may lease the subject ROFO Premises (sometimes, herein "</w:t>
      </w:r>
      <w:r>
        <w:rPr>
          <w:rFonts w:ascii="Times New Roman" w:cs="Times New Roman" w:eastAsia="Times New Roman" w:hAnsi="Times New Roman"/>
          <w:sz w:val="22"/>
          <w:szCs w:val="22"/>
          <w:b w:val="1"/>
          <w:bCs w:val="1"/>
          <w:color w:val="auto"/>
        </w:rPr>
        <w:t>Rejected ROFO Premises</w:t>
      </w:r>
      <w:r>
        <w:rPr>
          <w:rFonts w:ascii="Times New Roman" w:cs="Times New Roman" w:eastAsia="Times New Roman" w:hAnsi="Times New Roman"/>
          <w:sz w:val="22"/>
          <w:szCs w:val="22"/>
          <w:color w:val="auto"/>
        </w:rPr>
        <w:t>") to any third party, subject, however, to Tenant's rights expressly set forth in Section 7.5 below.</w:t>
      </w:r>
    </w:p>
    <w:p>
      <w:pPr>
        <w:spacing w:after="0" w:line="181"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 xml:space="preserve">7.4 </w:t>
      </w:r>
      <w:r>
        <w:rPr>
          <w:rFonts w:ascii="Times New Roman" w:cs="Times New Roman" w:eastAsia="Times New Roman" w:hAnsi="Times New Roman"/>
          <w:sz w:val="22"/>
          <w:szCs w:val="22"/>
          <w:u w:val="single" w:color="auto"/>
          <w:color w:val="auto"/>
        </w:rPr>
        <w:t>First Offer Term</w:t>
      </w:r>
      <w:r>
        <w:rPr>
          <w:rFonts w:ascii="Times New Roman" w:cs="Times New Roman" w:eastAsia="Times New Roman" w:hAnsi="Times New Roman"/>
          <w:sz w:val="22"/>
          <w:szCs w:val="22"/>
          <w:color w:val="auto"/>
        </w:rPr>
        <w:t>. If Tenant timely exercises the ROFO, Landlord and Tenant shall execute an amendment to this Lease within thirty (30) days to add the ROFO Premises to the Lease on the terms set forth in the ROFO Notice and this Section; but Tenant's timely delivery of the ROFO Notice shall, in and of itself and even without an amendment, conclusively establish Tenant's lease of the ROFO Premises on the express terms set forth in this Section. Tenant shall accept the ROFO Premises in its “as-is” condition, and Landlord shall have no obligation to perform work or provide allowances except as expressly stated in the ROFO Notice. The term of the lease of the ROFO Premises (the “</w:t>
      </w:r>
      <w:r>
        <w:rPr>
          <w:rFonts w:ascii="Times New Roman" w:cs="Times New Roman" w:eastAsia="Times New Roman" w:hAnsi="Times New Roman"/>
          <w:sz w:val="22"/>
          <w:szCs w:val="22"/>
          <w:b w:val="1"/>
          <w:bCs w:val="1"/>
          <w:color w:val="auto"/>
        </w:rPr>
        <w:t>ROFO Term</w:t>
      </w:r>
      <w:r>
        <w:rPr>
          <w:rFonts w:ascii="Times New Roman" w:cs="Times New Roman" w:eastAsia="Times New Roman" w:hAnsi="Times New Roman"/>
          <w:sz w:val="22"/>
          <w:szCs w:val="22"/>
          <w:color w:val="auto"/>
        </w:rPr>
        <w:t>”) shall commence on the date specified in the ROFO Notice and shall expire on such date as set forth therein. Tenant’s timely delivery of the ROFO Exercise Notice shall be binding and enforceable without further documentation.</w:t>
      </w:r>
    </w:p>
    <w:p>
      <w:pPr>
        <w:spacing w:after="0" w:line="178"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 xml:space="preserve">7.5 </w:t>
      </w:r>
      <w:r>
        <w:rPr>
          <w:rFonts w:ascii="Times New Roman" w:cs="Times New Roman" w:eastAsia="Times New Roman" w:hAnsi="Times New Roman"/>
          <w:sz w:val="22"/>
          <w:szCs w:val="22"/>
          <w:u w:val="single" w:color="auto"/>
          <w:color w:val="auto"/>
        </w:rPr>
        <w:t>Tenant’s Subsequent ROFO Rights</w:t>
      </w:r>
      <w:r>
        <w:rPr>
          <w:rFonts w:ascii="Times New Roman" w:cs="Times New Roman" w:eastAsia="Times New Roman" w:hAnsi="Times New Roman"/>
          <w:sz w:val="22"/>
          <w:szCs w:val="22"/>
          <w:color w:val="auto"/>
        </w:rPr>
        <w:t>. Notwithstanding that Tenant has elected or is deemed to have elected the option described in Section 7.3 above not to lease any applicable Rejected ROFO Premises:</w:t>
      </w:r>
    </w:p>
    <w:p>
      <w:pPr>
        <w:spacing w:after="0" w:line="158" w:lineRule="exact"/>
        <w:rPr>
          <w:sz w:val="20"/>
          <w:szCs w:val="20"/>
          <w:color w:val="auto"/>
        </w:rPr>
      </w:pPr>
    </w:p>
    <w:p>
      <w:pPr>
        <w:jc w:val="both"/>
        <w:ind w:left="760" w:firstLine="1494"/>
        <w:spacing w:after="0" w:line="235" w:lineRule="auto"/>
        <w:tabs>
          <w:tab w:leader="none" w:pos="2557"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Landlord does not enter into a lease for all or any portion of such applicable Rejected ROFO Premises identified in the ROFO Notice within the period that is two hundred seventy (270) days after the date Landlord delivered such applicable ROFO Notice to Tenant (the "</w:t>
      </w:r>
      <w:r>
        <w:rPr>
          <w:rFonts w:ascii="Times New Roman" w:cs="Times New Roman" w:eastAsia="Times New Roman" w:hAnsi="Times New Roman"/>
          <w:sz w:val="22"/>
          <w:szCs w:val="22"/>
          <w:b w:val="1"/>
          <w:bCs w:val="1"/>
          <w:color w:val="auto"/>
        </w:rPr>
        <w:t>270-Day Lease-Up Period</w:t>
      </w:r>
      <w:r>
        <w:rPr>
          <w:rFonts w:ascii="Times New Roman" w:cs="Times New Roman" w:eastAsia="Times New Roman" w:hAnsi="Times New Roman"/>
          <w:sz w:val="22"/>
          <w:szCs w:val="22"/>
          <w:color w:val="auto"/>
        </w:rPr>
        <w:t>"), then, Landlord shall submit to Tenant a new ROFO Notice in accordance with the provisions of Section 7.2 above for the entire applicable Rejected ROFO Premises prior to the first time after such 270-Day Lease-Up Period, but prior to the expiration of the ROFO Period, that Landlord deems the Rejected ROFO Premises available (</w:t>
      </w:r>
      <w:r>
        <w:rPr>
          <w:rFonts w:ascii="Times New Roman" w:cs="Times New Roman" w:eastAsia="Times New Roman" w:hAnsi="Times New Roman"/>
          <w:sz w:val="22"/>
          <w:szCs w:val="22"/>
          <w:u w:val="single" w:color="auto"/>
          <w:color w:val="auto"/>
        </w:rPr>
        <w:t>i.e.</w:t>
      </w:r>
      <w:r>
        <w:rPr>
          <w:rFonts w:ascii="Times New Roman" w:cs="Times New Roman" w:eastAsia="Times New Roman" w:hAnsi="Times New Roman"/>
          <w:sz w:val="22"/>
          <w:szCs w:val="22"/>
          <w:color w:val="auto"/>
        </w:rPr>
        <w:t>, Landlord may reoffer immediately following the expiration of the 270-Day Lease-Up Period), in which event the procedures set forth in Section 7.3 above shall again apply following Tenant's receipt of such new ROFO Notice; and</w:t>
      </w:r>
    </w:p>
    <w:p>
      <w:pPr>
        <w:spacing w:after="0" w:line="178" w:lineRule="exact"/>
        <w:rPr>
          <w:rFonts w:ascii="Times New Roman" w:cs="Times New Roman" w:eastAsia="Times New Roman" w:hAnsi="Times New Roman"/>
          <w:sz w:val="22"/>
          <w:szCs w:val="22"/>
          <w:color w:val="auto"/>
        </w:rPr>
      </w:pPr>
    </w:p>
    <w:p>
      <w:pPr>
        <w:jc w:val="both"/>
        <w:ind w:left="760" w:firstLine="1494"/>
        <w:spacing w:after="0" w:line="234" w:lineRule="auto"/>
        <w:tabs>
          <w:tab w:leader="none" w:pos="2557"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within the 270-Day Lease-Up Period, (i) Landlord is willing to accept from any third party (excluding existing tenants of the applicable Rejected ROFO Space and/or holders of Superior Rights with respect to the Rejected ROFR Space) a bona fide proposal to lease the entire applicable Rejected ROFO Space, which bona fide proposal has a commencement date scheduled to occur prior to the expiration of the ROFO Period, and (ii) the net effective rental rate within the Economic Terms set forth in such bona fide proposal are Materially More Favorable (as defined below) to such third party than the net effective rental rate within the Economic Terms originally proposed by Landlord in the ROFO Notice for such applicable Rejected ROFO Space, then before entering into such third party lease, Landlord shall deliver to Tenant a new ROFO Notice with such Materially More Favorable Economic Terms and Tenant shall have the right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875665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spacing w:after="0" w:line="185" w:lineRule="exact"/>
        <w:rPr>
          <w:sz w:val="20"/>
          <w:szCs w:val="20"/>
          <w:color w:val="auto"/>
        </w:rPr>
      </w:pPr>
    </w:p>
    <w:p>
      <w:pPr>
        <w:jc w:val="both"/>
        <w:ind w:left="760"/>
        <w:spacing w:after="0" w:line="233" w:lineRule="auto"/>
        <w:rPr>
          <w:sz w:val="20"/>
          <w:szCs w:val="20"/>
          <w:color w:val="auto"/>
        </w:rPr>
      </w:pPr>
      <w:r>
        <w:rPr>
          <w:rFonts w:ascii="Times New Roman" w:cs="Times New Roman" w:eastAsia="Times New Roman" w:hAnsi="Times New Roman"/>
          <w:sz w:val="22"/>
          <w:szCs w:val="22"/>
          <w:color w:val="auto"/>
        </w:rPr>
        <w:t>lease such applicable Rejected ROFO Space upon such Materially More Favorable Economic Terms by delivering a ROFO Exercise Notice to Landlord within five (5) business days after Tenant's receipt of the applicable new ROFO Notice. If Tenant does not deliver the applicable ROFO Exercise Notice to Landlord within such 5-business day period, then Tenant shall be deemed to have elected not to lease the applicable Rejected ROFO Space, in which event (A) Landlord may lease such applicable Rejected ROFO Space (or any portion thereof) to any person or entity on any terms Landlord desires, and (B) Tenant's right to lease such applicable Rejected ROFO Space as provided in this Section 7.5 shall thereupon automatically terminate and be of no further force or effect. As used herein, "</w:t>
      </w:r>
      <w:r>
        <w:rPr>
          <w:rFonts w:ascii="Times New Roman" w:cs="Times New Roman" w:eastAsia="Times New Roman" w:hAnsi="Times New Roman"/>
          <w:sz w:val="22"/>
          <w:szCs w:val="22"/>
          <w:b w:val="1"/>
          <w:bCs w:val="1"/>
          <w:color w:val="auto"/>
        </w:rPr>
        <w:t>Materially More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Favorable</w:t>
      </w:r>
      <w:r>
        <w:rPr>
          <w:rFonts w:ascii="Times New Roman" w:cs="Times New Roman" w:eastAsia="Times New Roman" w:hAnsi="Times New Roman"/>
          <w:sz w:val="22"/>
          <w:szCs w:val="22"/>
          <w:color w:val="auto"/>
        </w:rPr>
        <w:t>" Economic Terms shall mean that the net effective rental rate of the applicable Economic Terms for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applicable Rejected ROFR Space (or Rejected ROFO Space, as applicable) is at least five percent (5%) lower than such applicable net effective rental rate of the Economic Terms originally set forth in Landlord's the applicable ROFR Notice (or ROFO Notice, as applicable) for the applicable Rejected ROFR Space (or ROFO Space, as applicable).</w:t>
      </w:r>
    </w:p>
    <w:p>
      <w:pPr>
        <w:spacing w:after="0" w:line="187" w:lineRule="exact"/>
        <w:rPr>
          <w:sz w:val="20"/>
          <w:szCs w:val="20"/>
          <w:color w:val="auto"/>
        </w:rPr>
      </w:pPr>
    </w:p>
    <w:p>
      <w:pPr>
        <w:jc w:val="both"/>
        <w:ind w:left="760" w:right="20" w:firstLine="1494"/>
        <w:spacing w:after="0" w:line="244" w:lineRule="auto"/>
        <w:tabs>
          <w:tab w:leader="none" w:pos="2557"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Section 7, Tenant shall not be entitled to more than two (2) offers in the aggregate with respect to any particular ROFO Space under this Section 7 (</w:t>
      </w:r>
      <w:r>
        <w:rPr>
          <w:rFonts w:ascii="Times New Roman" w:cs="Times New Roman" w:eastAsia="Times New Roman" w:hAnsi="Times New Roman"/>
          <w:sz w:val="22"/>
          <w:szCs w:val="22"/>
          <w:u w:val="single" w:color="auto"/>
          <w:color w:val="auto"/>
        </w:rPr>
        <w:t>i.e.</w:t>
      </w:r>
      <w:r>
        <w:rPr>
          <w:rFonts w:ascii="Times New Roman" w:cs="Times New Roman" w:eastAsia="Times New Roman" w:hAnsi="Times New Roman"/>
          <w:sz w:val="22"/>
          <w:szCs w:val="22"/>
          <w:color w:val="auto"/>
        </w:rPr>
        <w:t>, one [1] original ROFO Notice, and one (1) ROFO Notice with respect to the same as Rejected ROFO Premises).</w:t>
      </w:r>
    </w:p>
    <w:p>
      <w:pPr>
        <w:spacing w:after="0" w:line="173"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21"/>
          <w:szCs w:val="21"/>
          <w:color w:val="auto"/>
        </w:rPr>
        <w:t xml:space="preserve">7.6 </w:t>
      </w:r>
      <w:r>
        <w:rPr>
          <w:rFonts w:ascii="Times New Roman" w:cs="Times New Roman" w:eastAsia="Times New Roman" w:hAnsi="Times New Roman"/>
          <w:sz w:val="21"/>
          <w:szCs w:val="21"/>
          <w:u w:val="single" w:color="auto"/>
          <w:color w:val="auto"/>
        </w:rPr>
        <w:t>Termination of Right of First Offer</w:t>
      </w:r>
      <w:r>
        <w:rPr>
          <w:rFonts w:ascii="Times New Roman" w:cs="Times New Roman" w:eastAsia="Times New Roman" w:hAnsi="Times New Roman"/>
          <w:sz w:val="21"/>
          <w:szCs w:val="21"/>
          <w:color w:val="auto"/>
        </w:rPr>
        <w:t>. Tenant may only exercise the Right of First Offer if, at the time of Tenant’s delivery of the ROFO Exercise Notice: (a) Tenant is not in default beyond applicable notice and cure periods, and (b) Tenant has not previously been in default beyond applicable notice and cure periods more than once. The Right of First Offer is personal to the Original Tenant and any Permitted Transferee. Tenant’s Right of First Offer shall terminate automatically upon:</w:t>
      </w:r>
    </w:p>
    <w:p>
      <w:pPr>
        <w:spacing w:after="0" w:line="2" w:lineRule="exact"/>
        <w:rPr>
          <w:sz w:val="20"/>
          <w:szCs w:val="20"/>
          <w:color w:val="auto"/>
        </w:rPr>
      </w:pPr>
    </w:p>
    <w:p>
      <w:pPr>
        <w:ind w:firstLine="8"/>
        <w:spacing w:after="0" w:line="237" w:lineRule="auto"/>
        <w:tabs>
          <w:tab w:leader="none" w:pos="272"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assignment of this Lease other than to a Permitted Transferee; (ii) a sublease of fifty percent (50%) or more of the entire then-existing Premises; or (iii) a second default beyond applicable notice and cure periods.</w:t>
      </w:r>
    </w:p>
    <w:p>
      <w:pPr>
        <w:spacing w:after="0" w:line="174"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Early Termination Options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8.1 Tenant shall have the one-time option (the "</w:t>
      </w:r>
      <w:r>
        <w:rPr>
          <w:rFonts w:ascii="Times New Roman" w:cs="Times New Roman" w:eastAsia="Times New Roman" w:hAnsi="Times New Roman"/>
          <w:sz w:val="22"/>
          <w:szCs w:val="22"/>
          <w:b w:val="1"/>
          <w:bCs w:val="1"/>
          <w:color w:val="auto"/>
        </w:rPr>
        <w:t>Early Termination Option</w:t>
      </w:r>
      <w:r>
        <w:rPr>
          <w:rFonts w:ascii="Times New Roman" w:cs="Times New Roman" w:eastAsia="Times New Roman" w:hAnsi="Times New Roman"/>
          <w:sz w:val="22"/>
          <w:szCs w:val="22"/>
          <w:color w:val="auto"/>
        </w:rPr>
        <w:t>") to terminate the Lease, as hereby amended, effective as of March 31, 2031 (the "</w:t>
      </w:r>
      <w:r>
        <w:rPr>
          <w:rFonts w:ascii="Times New Roman" w:cs="Times New Roman" w:eastAsia="Times New Roman" w:hAnsi="Times New Roman"/>
          <w:sz w:val="22"/>
          <w:szCs w:val="22"/>
          <w:b w:val="1"/>
          <w:bCs w:val="1"/>
          <w:color w:val="auto"/>
        </w:rPr>
        <w:t>Termination Date</w:t>
      </w:r>
      <w:r>
        <w:rPr>
          <w:rFonts w:ascii="Times New Roman" w:cs="Times New Roman" w:eastAsia="Times New Roman" w:hAnsi="Times New Roman"/>
          <w:sz w:val="22"/>
          <w:szCs w:val="22"/>
          <w:color w:val="auto"/>
        </w:rPr>
        <w:t>"). To exercise the Early Termination Option, Tenant must deliver to Landlord the following: (i) on or before March 31, 2030, written notice of Tenant's exercise of the Early Termination Option (the "</w:t>
      </w:r>
      <w:r>
        <w:rPr>
          <w:rFonts w:ascii="Times New Roman" w:cs="Times New Roman" w:eastAsia="Times New Roman" w:hAnsi="Times New Roman"/>
          <w:sz w:val="22"/>
          <w:szCs w:val="22"/>
          <w:b w:val="1"/>
          <w:bCs w:val="1"/>
          <w:color w:val="auto"/>
        </w:rPr>
        <w:t>Termination Notice</w:t>
      </w:r>
      <w:r>
        <w:rPr>
          <w:rFonts w:ascii="Times New Roman" w:cs="Times New Roman" w:eastAsia="Times New Roman" w:hAnsi="Times New Roman"/>
          <w:sz w:val="22"/>
          <w:szCs w:val="22"/>
          <w:color w:val="auto"/>
        </w:rPr>
        <w:t>"); and (ii) on or before the Termination Date, cash in the amount equal to $2,476,429.22 (the "</w:t>
      </w:r>
      <w:r>
        <w:rPr>
          <w:rFonts w:ascii="Times New Roman" w:cs="Times New Roman" w:eastAsia="Times New Roman" w:hAnsi="Times New Roman"/>
          <w:sz w:val="22"/>
          <w:szCs w:val="22"/>
          <w:b w:val="1"/>
          <w:bCs w:val="1"/>
          <w:color w:val="auto"/>
        </w:rPr>
        <w:t>Termination Consideration</w:t>
      </w:r>
      <w:r>
        <w:rPr>
          <w:rFonts w:ascii="Times New Roman" w:cs="Times New Roman" w:eastAsia="Times New Roman" w:hAnsi="Times New Roman"/>
          <w:sz w:val="22"/>
          <w:szCs w:val="22"/>
          <w:color w:val="auto"/>
        </w:rPr>
        <w:t>"). If Tenant properly and timely exercises the Early Termination Option in this Section 8.1, the Lease, as hereby amended, shall terminate at 11:59 pm on the Termination Date, and Tenant shall vacate and surrender exclusive possession of the Premises to Landlord on or prior to the Termination Date in accordance with the applicable provisions of the Lease, as hereby amended. Notwithstanding the foregoing provisions of this Section 8.1 to the contrary, at Landlord's option and in addition to any and all remedies available to Landlord, the Early Termination Option shall not be deemed to be properly exercised if as of the date Tenant delivers the Termination Notice to Landlord Tenant is in default under the Lease, as hereby amended, beyond all applicable notice and cure periods. In addition, the Early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Termination Option is personal to the Original Tenant and any Permitted Transferee and may not be assigned to or exercised by any other person or entity.</w:t>
      </w:r>
    </w:p>
    <w:p>
      <w:pPr>
        <w:spacing w:after="0" w:line="154"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8.2 In the event that Landlord and Tenant fully execute and deliver a new lease agreement (the “</w:t>
      </w:r>
      <w:r>
        <w:rPr>
          <w:rFonts w:ascii="Times New Roman" w:cs="Times New Roman" w:eastAsia="Times New Roman" w:hAnsi="Times New Roman"/>
          <w:sz w:val="22"/>
          <w:szCs w:val="22"/>
          <w:b w:val="1"/>
          <w:bCs w:val="1"/>
          <w:color w:val="auto"/>
        </w:rPr>
        <w:t>New Lease</w:t>
      </w:r>
      <w:r>
        <w:rPr>
          <w:rFonts w:ascii="Times New Roman" w:cs="Times New Roman" w:eastAsia="Times New Roman" w:hAnsi="Times New Roman"/>
          <w:sz w:val="22"/>
          <w:szCs w:val="22"/>
          <w:color w:val="auto"/>
        </w:rPr>
        <w:t>”) for other space in the Project or in a project owned by Landlord or an affiliate of Landlord during the Extended Term which New Lease satisfies the following conditions: (i) a term for such New Lease which extends beyond the then-latest Lease Expiration Date of the Lease, as hereby amended, and (ii) the premises under such New Lease contains no less than sixty thousand (60,000) rentable square feet of space, and provided that Tenant is not then in default of the Lease, as hereby amended, beyond the applicable notice and cure periods, then Tenant shall have the right to terminate the Lease, as hereby amended, without the payment of any penalty or termination fee upon not less than thirty (30) days’ prior written notice to Landlord (the “</w:t>
      </w:r>
      <w:r>
        <w:rPr>
          <w:rFonts w:ascii="Times New Roman" w:cs="Times New Roman" w:eastAsia="Times New Roman" w:hAnsi="Times New Roman"/>
          <w:sz w:val="22"/>
          <w:szCs w:val="22"/>
          <w:b w:val="1"/>
          <w:bCs w:val="1"/>
          <w:color w:val="auto"/>
        </w:rPr>
        <w:t>Tenant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Termination Notice</w:t>
      </w:r>
      <w:r>
        <w:rPr>
          <w:rFonts w:ascii="Times New Roman" w:cs="Times New Roman" w:eastAsia="Times New Roman" w:hAnsi="Times New Roman"/>
          <w:sz w:val="22"/>
          <w:szCs w:val="22"/>
          <w:color w:val="auto"/>
        </w:rPr>
        <w:t>”). Such Tenant Termination Notice shall set forth the termination date of the Lease, as hereby amended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Tenant Early Termination Date</w:t>
      </w:r>
      <w:r>
        <w:rPr>
          <w:rFonts w:ascii="Times New Roman" w:cs="Times New Roman" w:eastAsia="Times New Roman" w:hAnsi="Times New Roman"/>
          <w:sz w:val="22"/>
          <w:szCs w:val="22"/>
          <w:color w:val="auto"/>
        </w:rPr>
        <w:t xml:space="preserve">”). To the extent Tenant exercises its right to terminate this Lease, pursuant to the terms of this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then the Lease, as hereby amended, shall terminate effective as of the Tenant Early Termination Date with the same force and effect as if the Lease were scheduled to expire in accordance with its terms as of such Tenant Early Termination Date, subject to the provisions of the Lease, as hereby amended, which expressly survive the expiration or earlier termination of the Lease, as hereby amended.</w:t>
      </w:r>
    </w:p>
    <w:p>
      <w:pPr>
        <w:spacing w:after="0" w:line="182" w:lineRule="exact"/>
        <w:rPr>
          <w:sz w:val="20"/>
          <w:szCs w:val="20"/>
          <w:color w:val="auto"/>
        </w:rPr>
      </w:pPr>
    </w:p>
    <w:p>
      <w:pPr>
        <w:ind w:left="1020" w:hanging="263"/>
        <w:spacing w:after="0"/>
        <w:tabs>
          <w:tab w:leader="none" w:pos="102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Update to Assignment and Subletting Provisions</w:t>
      </w:r>
      <w:r>
        <w:rPr>
          <w:rFonts w:ascii="Times New Roman" w:cs="Times New Roman" w:eastAsia="Times New Roman" w:hAnsi="Times New Roman"/>
          <w:sz w:val="22"/>
          <w:szCs w:val="22"/>
          <w:color w:val="auto"/>
        </w:rPr>
        <w:t>. Effective as of the Effective Date, the first sentence of Section</w:t>
      </w:r>
    </w:p>
    <w:p>
      <w:pPr>
        <w:spacing w:after="0" w:line="18"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14.8 of the Original Lease is hereby deleted and replaced with the following:</w:t>
      </w:r>
    </w:p>
    <w:p>
      <w:pPr>
        <w:spacing w:after="0" w:line="182" w:lineRule="exact"/>
        <w:rPr>
          <w:sz w:val="20"/>
          <w:szCs w:val="20"/>
          <w:color w:val="auto"/>
        </w:rPr>
      </w:pPr>
    </w:p>
    <w:p>
      <w:pPr>
        <w:jc w:val="both"/>
        <w:ind w:left="760"/>
        <w:spacing w:after="0" w:line="232" w:lineRule="auto"/>
        <w:rPr>
          <w:sz w:val="20"/>
          <w:szCs w:val="20"/>
          <w:color w:val="auto"/>
        </w:rPr>
      </w:pPr>
      <w:r>
        <w:rPr>
          <w:rFonts w:ascii="Times New Roman" w:cs="Times New Roman" w:eastAsia="Times New Roman" w:hAnsi="Times New Roman"/>
          <w:sz w:val="22"/>
          <w:szCs w:val="22"/>
          <w:color w:val="auto"/>
        </w:rPr>
        <w:t xml:space="preserve">“Notwithstanding anything to the contrary contained in this Article 14, (i) an assignment or subletting of all or a portion of the Premises to an affiliate of Tenant (an entity which is controlled by, controls, or is under common control with, Tenant), (ii) an assignment of the Premises to an entity which acquires all or substantially all of the assets or interest (partnership, stock or other) of Tenant, or (iii) an assignment of the Lease to an entity which is the resulting entity of a merger or consolidation of Tenant with another entity shall not be deemed a Transfer under this Article 14 (any such assignee or sublessee described in clauses (i) through (iii) of this </w:t>
      </w:r>
      <w:r>
        <w:rPr>
          <w:rFonts w:ascii="Times New Roman" w:cs="Times New Roman" w:eastAsia="Times New Roman" w:hAnsi="Times New Roman"/>
          <w:sz w:val="22"/>
          <w:szCs w:val="22"/>
          <w:u w:val="single" w:color="auto"/>
          <w:color w:val="auto"/>
        </w:rPr>
        <w:t>Section 14.8</w:t>
      </w:r>
      <w:r>
        <w:rPr>
          <w:rFonts w:ascii="Times New Roman" w:cs="Times New Roman" w:eastAsia="Times New Roman" w:hAnsi="Times New Roman"/>
          <w:sz w:val="22"/>
          <w:szCs w:val="22"/>
          <w:color w:val="auto"/>
        </w:rPr>
        <w:t xml:space="preserve">, and any such resulting transferee(s) or remaining Tenant entity under clauses (ii) or (iii) hereinabove, hereinafter referred to as a </w:t>
      </w:r>
      <w:r>
        <w:rPr>
          <w:rFonts w:ascii="Times New Roman" w:cs="Times New Roman" w:eastAsia="Times New Roman" w:hAnsi="Times New Roman"/>
          <w:sz w:val="22"/>
          <w:szCs w:val="22"/>
          <w:b w:val="1"/>
          <w:bCs w:val="1"/>
          <w:color w:val="auto"/>
        </w:rPr>
        <w:t>Permitted Transferee</w:t>
      </w:r>
      <w:r>
        <w:rPr>
          <w:rFonts w:ascii="Times New Roman" w:cs="Times New Roman" w:eastAsia="Times New Roman" w:hAnsi="Times New Roman"/>
          <w:sz w:val="22"/>
          <w:szCs w:val="22"/>
          <w:color w:val="auto"/>
        </w:rPr>
        <w:t xml:space="preserve">"), and for the avoidance of doubt, Sections 14.2, 14.3 and 14.4 shall not apply to such Transfer, provided that (A) Tenant notifies Landlord of any such assignment or sublease and promptly supplies Landlord with any documents or information requested by Landlord regarding such assignment or sublease or such affiliate, (B) such assignment or sublease is not a subterfuge by Tenant to avoid its obligations under this Lease, and (C) such Permitted Transferee described in clauses (ii) or (iii) above shall have a tangible net worth (not including goodwill as an asset) computed in accordance with generally accepted accounting principles (" XE "Net Worth" </w:t>
      </w:r>
      <w:r>
        <w:rPr>
          <w:rFonts w:ascii="Times New Roman" w:cs="Times New Roman" w:eastAsia="Times New Roman" w:hAnsi="Times New Roman"/>
          <w:sz w:val="22"/>
          <w:szCs w:val="22"/>
          <w:b w:val="1"/>
          <w:bCs w:val="1"/>
          <w:color w:val="auto"/>
        </w:rPr>
        <w:t>Net Worth</w:t>
      </w:r>
      <w:r>
        <w:rPr>
          <w:rFonts w:ascii="Times New Roman" w:cs="Times New Roman" w:eastAsia="Times New Roman" w:hAnsi="Times New Roman"/>
          <w:sz w:val="22"/>
          <w:szCs w:val="22"/>
          <w:color w:val="auto"/>
        </w:rPr>
        <w:t>") at least equal to the Net Worth of Tenant on the day immediately preceding the effective date of such assignment or sublease; provided, however, in no event shall Tenant be deemed to have satisfied the Net Worth test set forth hereinabove if Tenant takes any actions prior to the effective date of such assignment or sublease as a subterfuge to intentionally reduce Tenant's Net Worth going forward (</w:t>
      </w:r>
      <w:r>
        <w:rPr>
          <w:rFonts w:ascii="Times New Roman" w:cs="Times New Roman" w:eastAsia="Times New Roman" w:hAnsi="Times New Roman"/>
          <w:sz w:val="22"/>
          <w:szCs w:val="22"/>
          <w:u w:val="single" w:color="auto"/>
          <w:color w:val="auto"/>
        </w:rPr>
        <w:t>e.g.</w:t>
      </w:r>
      <w:r>
        <w:rPr>
          <w:rFonts w:ascii="Times New Roman" w:cs="Times New Roman" w:eastAsia="Times New Roman" w:hAnsi="Times New Roman"/>
          <w:sz w:val="22"/>
          <w:szCs w:val="22"/>
          <w:color w:val="auto"/>
        </w:rPr>
        <w:t>, a series of transactions to reduce Tenant's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879475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line="185" w:lineRule="exact"/>
        <w:rPr>
          <w:sz w:val="20"/>
          <w:szCs w:val="20"/>
          <w:color w:val="auto"/>
        </w:rPr>
      </w:pPr>
    </w:p>
    <w:p>
      <w:pPr>
        <w:ind w:left="760" w:right="20"/>
        <w:spacing w:after="0" w:line="258" w:lineRule="auto"/>
        <w:rPr>
          <w:sz w:val="20"/>
          <w:szCs w:val="20"/>
          <w:color w:val="auto"/>
        </w:rPr>
      </w:pPr>
      <w:r>
        <w:rPr>
          <w:rFonts w:ascii="Times New Roman" w:cs="Times New Roman" w:eastAsia="Times New Roman" w:hAnsi="Times New Roman"/>
          <w:sz w:val="22"/>
          <w:szCs w:val="22"/>
          <w:color w:val="auto"/>
        </w:rPr>
        <w:t>Worth to permit the Permitted Transferee to otherwise satisfy the Net Worth test under clause (C) hereinabove as a newly formed entity and/or shell entity with significantly reduced or deficient assets).”</w:t>
      </w:r>
    </w:p>
    <w:p>
      <w:pPr>
        <w:spacing w:after="0" w:line="154"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1"/>
          <w:szCs w:val="21"/>
          <w:color w:val="auto"/>
        </w:rPr>
        <w:t>10.</w:t>
      </w:r>
      <w:r>
        <w:rPr>
          <w:rFonts w:ascii="Times New Roman" w:cs="Times New Roman" w:eastAsia="Times New Roman" w:hAnsi="Times New Roman"/>
          <w:sz w:val="21"/>
          <w:szCs w:val="21"/>
          <w:b w:val="1"/>
          <w:bCs w:val="1"/>
          <w:u w:val="single" w:color="auto"/>
          <w:color w:val="auto"/>
        </w:rPr>
        <w:t>Judicial Reference</w:t>
      </w:r>
      <w:r>
        <w:rPr>
          <w:rFonts w:ascii="Times New Roman" w:cs="Times New Roman" w:eastAsia="Times New Roman" w:hAnsi="Times New Roman"/>
          <w:sz w:val="21"/>
          <w:szCs w:val="21"/>
          <w:color w:val="auto"/>
        </w:rPr>
        <w:t xml:space="preserve">. Notwithstanding any provision to the contrary contained in the Lease, as hereby amended, the parties hereby waive, to the fullest extent permitted by applicable laws, the right to trial by jury in any litigation arising out of or relating to the Lease (as hereby amended). If the jury waiver provisions of the Lease, as hereby amended, are not enforceable under California law, then the following provisions shall apply. It is the desire and intention of the parties to agree upon a mechanism and procedure under which controversies and disputes arising out of the Lease, as hereby amended, or related to the Premises will be resolved in a prompt and expeditious manner. Accordingly, except with respect to actions for unlawful or forcible detainer or with respect to the prejudgment remedy of attachment, any action, proceeding or counterclaim brought by either party hereto against the other (and/or against its officers, directors, employees, agents or subsidiaries or affiliated entities) on any matters whatsoever arising out of or in any way connected with the Lease, as hereby amended, Tenant's use or occupancy of the Premises and/or any claim of injury or damage, whether sounding in contract, tort, or otherwise, shall be heard and resolved by a referee under the provisions of the California Code of Civil Procedure, </w:t>
      </w:r>
      <w:r>
        <w:rPr>
          <w:rFonts w:ascii="Times New Roman" w:cs="Times New Roman" w:eastAsia="Times New Roman" w:hAnsi="Times New Roman"/>
          <w:sz w:val="21"/>
          <w:szCs w:val="21"/>
          <w:u w:val="single" w:color="auto"/>
          <w:color w:val="auto"/>
        </w:rPr>
        <w:t>Sections 638 — 645.1</w:t>
      </w:r>
      <w:r>
        <w:rPr>
          <w:rFonts w:ascii="Times New Roman" w:cs="Times New Roman" w:eastAsia="Times New Roman" w:hAnsi="Times New Roman"/>
          <w:sz w:val="21"/>
          <w:szCs w:val="21"/>
          <w:color w:val="auto"/>
        </w:rPr>
        <w:t>, inclusive (as same may be amended, or any successor statute(s) thereto) (the "</w:t>
      </w:r>
      <w:r>
        <w:rPr>
          <w:rFonts w:ascii="Times New Roman" w:cs="Times New Roman" w:eastAsia="Times New Roman" w:hAnsi="Times New Roman"/>
          <w:sz w:val="21"/>
          <w:szCs w:val="21"/>
          <w:b w:val="1"/>
          <w:bCs w:val="1"/>
          <w:color w:val="auto"/>
        </w:rPr>
        <w:t>Referee Sections</w:t>
      </w:r>
      <w:r>
        <w:rPr>
          <w:rFonts w:ascii="Times New Roman" w:cs="Times New Roman" w:eastAsia="Times New Roman" w:hAnsi="Times New Roman"/>
          <w:sz w:val="21"/>
          <w:szCs w:val="21"/>
          <w:color w:val="auto"/>
        </w:rPr>
        <w:t>"). Any fee to initiate the judicial reference proceedings and all fees charged and costs incurred by the referee shall be paid by the party initiating such procedure (except that if a reporter is requested by either party, then a reporter shall be present at all proceedings where requested and the fees of such reporter – except for copies ordered by the other parties – shall be borne by the party requesting the reporter); provided however, that allocation of the costs and fees, including any initiation fee, of such proceeding shall be ultimately determined in accordance with the Lease, as hereby amended. The venue of the proceedings shall be in the county in which the Premises are located. Within ten (10) days of receipt by any party of a written request to resolve any dispute or controversy pursuant to this Section 12, the parties shall agree upon a single referee who shall try all issues, whether of fact or law, and report a finding and judgment on such issues as required by the Referee Sections. If the parties are unable to agree upon a referee within such ten (10) day period, then any party may thereafter file a lawsuit in the county in which the Premises are located for the purpose of appointment of a referee under the Referee Sections. If the referee is appointed by the court, the referee shall be a neutral and impartial retired judge with substantial experience in the relevant matters to be determined, from JAMS, the American Arbitration Association or similar mediation/arbitration entity. The proposed referee may be challenged by any party for any of the grounds listed in the Referee Sections. The referee shall have the power to decide all issues of fact and law and report his or her decision on such issues, and to issue all recognized remedies available at law or in equity for any cause of action that is before the referee, including an award of attorneys' fees and costs in accordance with the Lease (as hereby amended). The referee shall not, however, have the power to award punitive damages, nor any other damages which are not permitted by the express provisions of the Lease (as hereby amended), and the parties hereby waive any right to recover any such damages. The parties shall be entitled to conduct all discovery as provided in the California Code of Civil Procedure, and the referee shall oversee discovery and may enforce all discovery orders in the same manner as any trial court judge, with rights to regulate discovery and to issue and enforce subpoenas, protective orders and other limitations on discovery available under California law. The reference proceeding shall be conducted in accordance with California law (including the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1043305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spacing w:after="0" w:line="18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of evidence), and in all regards, the referee shall follow California law applicable at the time of the reference proceeding. The parties shall promptly and diligently cooperate with one another and the referee, and shall perform such acts as may be necessary to obtain a prompt and expeditious resolution of the dispute or controversy in accordance with the terms of this Section 10. In this regard, the parties agree that the parties and the referee shall use best efforts to ensure that (a) discovery be conducted for a period no longer than six (6) months from the date the referee is appointed, excluding motions regarding discovery, and (b) a trial date be set within nine (9) months of the date the referee is appointed. In accordance with </w:t>
      </w:r>
      <w:r>
        <w:rPr>
          <w:rFonts w:ascii="Times New Roman" w:cs="Times New Roman" w:eastAsia="Times New Roman" w:hAnsi="Times New Roman"/>
          <w:sz w:val="22"/>
          <w:szCs w:val="22"/>
          <w:u w:val="single" w:color="auto"/>
          <w:color w:val="auto"/>
        </w:rPr>
        <w:t>Section 644</w:t>
      </w:r>
      <w:r>
        <w:rPr>
          <w:rFonts w:ascii="Times New Roman" w:cs="Times New Roman" w:eastAsia="Times New Roman" w:hAnsi="Times New Roman"/>
          <w:sz w:val="22"/>
          <w:szCs w:val="22"/>
          <w:color w:val="auto"/>
        </w:rPr>
        <w:t xml:space="preserve"> of the California Code of Civil Procedure, the decision of the referee upon the whole issue must stand as the decision of the court, and upon the filing of the statement of decision with the clerk of the court, or with the judge if there is no clerk, judgment may be entered thereon in the same manner as if the action had been tried by the court. Any decision of the referee and/or judgment or other order entered thereon shall be appealable to the same extent and in the same manner that such decision, judgment, or order would be appealable if rendered by a judge of the Superior Court in which venue is proper hereunder. The referee shall in his/her statement of decision set forth his/her findings of fact and conclusions of law. The parties intend this general reference agreement to be specifically enforceable in accordance with the Code of Civil Procedure. Nothing in this Section 10 shall prejudice the right of any party to obtain provisional relief or other equitable remedies from a court of competent jurisdiction as shall otherwise be available under the Code of Civil Procedure and/or applicable court rules.</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b w:val="1"/>
          <w:bCs w:val="1"/>
          <w:u w:val="single" w:color="auto"/>
          <w:color w:val="auto"/>
        </w:rPr>
        <w:t>Operating Expenses</w:t>
      </w:r>
      <w:r>
        <w:rPr>
          <w:rFonts w:ascii="Times New Roman" w:cs="Times New Roman" w:eastAsia="Times New Roman" w:hAnsi="Times New Roman"/>
          <w:sz w:val="22"/>
          <w:szCs w:val="22"/>
          <w:color w:val="auto"/>
        </w:rPr>
        <w:t>. Effective as of the Effective Date:</w:t>
      </w:r>
    </w:p>
    <w:p>
      <w:pPr>
        <w:spacing w:after="0" w:line="21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11.1  Clause (iii) of Section 4.2.4 of the Lease is hereby deleted and replaced with the following:</w:t>
      </w:r>
    </w:p>
    <w:p>
      <w:pPr>
        <w:spacing w:after="0" w:line="206" w:lineRule="exact"/>
        <w:rPr>
          <w:sz w:val="20"/>
          <w:szCs w:val="20"/>
          <w:color w:val="auto"/>
        </w:rPr>
      </w:pPr>
    </w:p>
    <w:p>
      <w:pPr>
        <w:jc w:val="both"/>
        <w:ind w:left="1500"/>
        <w:spacing w:after="0" w:line="258" w:lineRule="auto"/>
        <w:rPr>
          <w:sz w:val="20"/>
          <w:szCs w:val="20"/>
          <w:color w:val="auto"/>
        </w:rPr>
      </w:pPr>
      <w:r>
        <w:rPr>
          <w:rFonts w:ascii="Times New Roman" w:cs="Times New Roman" w:eastAsia="Times New Roman" w:hAnsi="Times New Roman"/>
          <w:sz w:val="22"/>
          <w:szCs w:val="22"/>
          <w:color w:val="auto"/>
        </w:rPr>
        <w:t>“(iii) insurance premiums and any deductibles associated therewith, except that earthquake and flood insurance deductibles shall not exceed $100,000.00 per claim;”</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11.2  Clause (xiii) of Section 4.2.4 of the Lease is hereby deleted and replaced with the following:</w:t>
      </w:r>
    </w:p>
    <w:p>
      <w:pPr>
        <w:spacing w:after="0" w:line="206" w:lineRule="exact"/>
        <w:rPr>
          <w:sz w:val="20"/>
          <w:szCs w:val="20"/>
          <w:color w:val="auto"/>
        </w:rPr>
      </w:pPr>
    </w:p>
    <w:p>
      <w:pPr>
        <w:jc w:val="both"/>
        <w:ind w:left="1500"/>
        <w:spacing w:after="0" w:line="233" w:lineRule="auto"/>
        <w:rPr>
          <w:sz w:val="20"/>
          <w:szCs w:val="20"/>
          <w:color w:val="auto"/>
        </w:rPr>
      </w:pPr>
      <w:r>
        <w:rPr>
          <w:rFonts w:ascii="Times New Roman" w:cs="Times New Roman" w:eastAsia="Times New Roman" w:hAnsi="Times New Roman"/>
          <w:sz w:val="22"/>
          <w:szCs w:val="22"/>
          <w:color w:val="auto"/>
        </w:rPr>
        <w:t xml:space="preserve">“(xiii) costs of capital improvements or other costs incurred in connection with the Project (A) which are intended to (1) improve economies in the operation or maintenance of the Project, or any portion thereof, or to reduce current or future Operating Expenses (but with such permitted passthrough only to the extent and not in excess of reasonably anticipated savings in Operating Expenses on a net basis in connection with such particular capital improvement under this clause (1)) or (2) to enhance the safety or security of the Project or its occupants as reasonably necessary for Landlord to operate the Project in a first-class manner consistent with First Class Life Science Projects, (B) that are required under any applicable laws (provided such applicable law(s) were not enacted or enforced prior to the Lease Commencement Date), or (C) that are replacements or modifications of non-structural items located in or serving the Project required to keep the Project in good order or condition; </w:t>
      </w:r>
      <w:r>
        <w:rPr>
          <w:rFonts w:ascii="Times New Roman" w:cs="Times New Roman" w:eastAsia="Times New Roman" w:hAnsi="Times New Roman"/>
          <w:sz w:val="22"/>
          <w:szCs w:val="22"/>
          <w:b w:val="1"/>
          <w:bCs w:val="1"/>
          <w:u w:val="single" w:color="auto"/>
          <w:color w:val="auto"/>
        </w:rPr>
        <w:t>provided, however</w:t>
      </w:r>
      <w:r>
        <w:rPr>
          <w:rFonts w:ascii="Times New Roman" w:cs="Times New Roman" w:eastAsia="Times New Roman" w:hAnsi="Times New Roman"/>
          <w:sz w:val="22"/>
          <w:szCs w:val="22"/>
          <w:color w:val="auto"/>
        </w:rPr>
        <w:t>: (1) that any capital expenditure shall be amortized on a straight line basis over its useful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life (or recovery period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878205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85" w:lineRule="exact"/>
        <w:rPr>
          <w:sz w:val="20"/>
          <w:szCs w:val="20"/>
          <w:color w:val="auto"/>
        </w:rPr>
      </w:pPr>
    </w:p>
    <w:p>
      <w:pPr>
        <w:jc w:val="both"/>
        <w:ind w:left="1500"/>
        <w:spacing w:after="0" w:line="235" w:lineRule="auto"/>
        <w:rPr>
          <w:sz w:val="20"/>
          <w:szCs w:val="20"/>
          <w:color w:val="auto"/>
        </w:rPr>
      </w:pPr>
      <w:r>
        <w:rPr>
          <w:rFonts w:ascii="Times New Roman" w:cs="Times New Roman" w:eastAsia="Times New Roman" w:hAnsi="Times New Roman"/>
          <w:sz w:val="22"/>
          <w:szCs w:val="22"/>
          <w:color w:val="auto"/>
        </w:rPr>
        <w:t>cost-reducing), together with commercially reasonable interest, on the unamortized cost; (2) in no event shall the terms of clause (C) above permit Landlord to include in overall Operating Expenses for the Project the cost of any capital alterations, capital additions, or capital improvements incurred by Landlord in connection with making unilateral, elective upgrades to the Project (i.e., costs incurred to electively renovate the lobby of the Building, design and construction of new elective buildings or amenities, etc.); and (3) in all events, costs under this clause (xiii) shall otherwise be subject to allocation as provided under Section 4.3 below with respect to costs pertaining to the Building, other buildings and/or the Project, in full;”</w:t>
      </w:r>
    </w:p>
    <w:p>
      <w:pPr>
        <w:spacing w:after="0" w:line="18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11.3  The following shall be added as subclauses (r) and (s) at the end of Section 4.2.4 of the Lease:</w:t>
      </w:r>
    </w:p>
    <w:p>
      <w:pPr>
        <w:spacing w:after="0" w:line="206" w:lineRule="exact"/>
        <w:rPr>
          <w:sz w:val="20"/>
          <w:szCs w:val="20"/>
          <w:color w:val="auto"/>
        </w:rPr>
      </w:pPr>
    </w:p>
    <w:p>
      <w:pPr>
        <w:ind w:left="760" w:right="40"/>
        <w:spacing w:after="0" w:line="258" w:lineRule="auto"/>
        <w:rPr>
          <w:sz w:val="20"/>
          <w:szCs w:val="20"/>
          <w:color w:val="auto"/>
        </w:rPr>
      </w:pPr>
      <w:r>
        <w:rPr>
          <w:rFonts w:ascii="Times New Roman" w:cs="Times New Roman" w:eastAsia="Times New Roman" w:hAnsi="Times New Roman"/>
          <w:sz w:val="22"/>
          <w:szCs w:val="22"/>
          <w:color w:val="auto"/>
        </w:rPr>
        <w:t>“(r) costs and expenses for which Landlord is actually reimbursed by third parties, whether by insurance proceeds, warranty, condemnation proceeds or otherwise; and</w:t>
      </w:r>
    </w:p>
    <w:p>
      <w:pPr>
        <w:spacing w:after="0" w:line="158" w:lineRule="exact"/>
        <w:rPr>
          <w:sz w:val="20"/>
          <w:szCs w:val="20"/>
          <w:color w:val="auto"/>
        </w:rPr>
      </w:pPr>
    </w:p>
    <w:p>
      <w:pPr>
        <w:ind w:left="760" w:right="20" w:hanging="3"/>
        <w:spacing w:after="0" w:line="258" w:lineRule="auto"/>
        <w:tabs>
          <w:tab w:leader="none" w:pos="112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 expenditures, except to the extent expressly permitted to be included in Operating Expenses under Section 4.2.4(xii) and (xiii) above.”</w:t>
      </w:r>
    </w:p>
    <w:p>
      <w:pPr>
        <w:spacing w:after="0" w:line="154"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b w:val="1"/>
          <w:bCs w:val="1"/>
          <w:u w:val="single" w:color="auto"/>
          <w:color w:val="auto"/>
        </w:rPr>
        <w:t>Right to Replace Letter of Credit</w:t>
      </w:r>
      <w:r>
        <w:rPr>
          <w:rFonts w:ascii="Times New Roman" w:cs="Times New Roman" w:eastAsia="Times New Roman" w:hAnsi="Times New Roman"/>
          <w:sz w:val="22"/>
          <w:szCs w:val="22"/>
          <w:color w:val="auto"/>
        </w:rPr>
        <w:t>. Landlord currently holds the L-C under the Lease issued by Wells Fargo (the “</w:t>
      </w:r>
      <w:r>
        <w:rPr>
          <w:rFonts w:ascii="Times New Roman" w:cs="Times New Roman" w:eastAsia="Times New Roman" w:hAnsi="Times New Roman"/>
          <w:sz w:val="22"/>
          <w:szCs w:val="22"/>
          <w:b w:val="1"/>
          <w:bCs w:val="1"/>
          <w:color w:val="auto"/>
        </w:rPr>
        <w:t>Wells Fargo L-C</w:t>
      </w:r>
      <w:r>
        <w:rPr>
          <w:rFonts w:ascii="Times New Roman" w:cs="Times New Roman" w:eastAsia="Times New Roman" w:hAnsi="Times New Roman"/>
          <w:sz w:val="22"/>
          <w:szCs w:val="22"/>
          <w:color w:val="auto"/>
        </w:rPr>
        <w:t>”). Tenant shall have the right to replace such Wells Fargo L-C with a replacement L-C satisfying the requirements of Section 21 of the Lease with First Citizens Bank or Silicon Valley Bank, a division of First Citizens Bank [both referred to herein as "</w:t>
      </w:r>
      <w:r>
        <w:rPr>
          <w:rFonts w:ascii="Times New Roman" w:cs="Times New Roman" w:eastAsia="Times New Roman" w:hAnsi="Times New Roman"/>
          <w:sz w:val="22"/>
          <w:szCs w:val="22"/>
          <w:b w:val="1"/>
          <w:bCs w:val="1"/>
          <w:color w:val="auto"/>
        </w:rPr>
        <w:t>SVB</w:t>
      </w:r>
      <w:r>
        <w:rPr>
          <w:rFonts w:ascii="Times New Roman" w:cs="Times New Roman" w:eastAsia="Times New Roman" w:hAnsi="Times New Roman"/>
          <w:sz w:val="22"/>
          <w:szCs w:val="22"/>
          <w:color w:val="auto"/>
        </w:rPr>
        <w:t>"] as the issuing Bank thereof (the “</w:t>
      </w:r>
      <w:r>
        <w:rPr>
          <w:rFonts w:ascii="Times New Roman" w:cs="Times New Roman" w:eastAsia="Times New Roman" w:hAnsi="Times New Roman"/>
          <w:sz w:val="22"/>
          <w:szCs w:val="22"/>
          <w:b w:val="1"/>
          <w:bCs w:val="1"/>
          <w:color w:val="auto"/>
        </w:rPr>
        <w:t>SVB L-C</w:t>
      </w:r>
      <w:r>
        <w:rPr>
          <w:rFonts w:ascii="Times New Roman" w:cs="Times New Roman" w:eastAsia="Times New Roman" w:hAnsi="Times New Roman"/>
          <w:sz w:val="22"/>
          <w:szCs w:val="22"/>
          <w:color w:val="auto"/>
        </w:rPr>
        <w:t>”). Upon receipt of the SVB L-C, Landlord shall promptly return the Wells Fargo L-C to Tenant and shall execute any documents reasonably required by Wells Fargo for the cancellation thereof. In the second statement under Section 2 of Exhibit F to the Lease (Form of Letter of Credit), the reference to “sixty (60) days” shall be changed to “thirty (30) days” consistent with subclause (E) in the fourth sentence of Section 21.1 of the Lease.</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13.</w:t>
      </w:r>
      <w:r>
        <w:rPr>
          <w:rFonts w:ascii="Times New Roman" w:cs="Times New Roman" w:eastAsia="Times New Roman" w:hAnsi="Times New Roman"/>
          <w:sz w:val="21"/>
          <w:szCs w:val="21"/>
          <w:b w:val="1"/>
          <w:bCs w:val="1"/>
          <w:u w:val="single" w:color="auto"/>
          <w:color w:val="auto"/>
        </w:rPr>
        <w:t>REIT Provision</w:t>
      </w:r>
      <w:r>
        <w:rPr>
          <w:rFonts w:ascii="Times New Roman" w:cs="Times New Roman" w:eastAsia="Times New Roman" w:hAnsi="Times New Roman"/>
          <w:sz w:val="21"/>
          <w:szCs w:val="21"/>
          <w:color w:val="auto"/>
        </w:rPr>
        <w:t>. Notwithstanding anything contained in the Lease, as hereby amended, to the contrary, Tenant shall</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not: (i) make a Transfer to an entity in which, under the Internal Revenue Code of 1986, as amended (the “</w:t>
      </w:r>
      <w:r>
        <w:rPr>
          <w:rFonts w:ascii="Times New Roman" w:cs="Times New Roman" w:eastAsia="Times New Roman" w:hAnsi="Times New Roman"/>
          <w:sz w:val="21"/>
          <w:szCs w:val="21"/>
          <w:b w:val="1"/>
          <w:bCs w:val="1"/>
          <w:color w:val="auto"/>
        </w:rPr>
        <w:t>Code</w:t>
      </w:r>
      <w:r>
        <w:rPr>
          <w:rFonts w:ascii="Times New Roman" w:cs="Times New Roman" w:eastAsia="Times New Roman" w:hAnsi="Times New Roman"/>
          <w:sz w:val="21"/>
          <w:szCs w:val="21"/>
          <w:color w:val="auto"/>
        </w:rPr>
        <w:t>”), any entity that</w:t>
      </w:r>
    </w:p>
    <w:p>
      <w:pPr>
        <w:spacing w:after="0" w:line="231" w:lineRule="auto"/>
        <w:rPr>
          <w:sz w:val="20"/>
          <w:szCs w:val="20"/>
          <w:color w:val="auto"/>
        </w:rPr>
      </w:pPr>
      <w:r>
        <w:rPr>
          <w:rFonts w:ascii="Times New Roman" w:cs="Times New Roman" w:eastAsia="Times New Roman" w:hAnsi="Times New Roman"/>
          <w:sz w:val="22"/>
          <w:szCs w:val="22"/>
          <w:color w:val="auto"/>
        </w:rPr>
        <w:t>directly or indirectly owns Landlord and is qualified as a real estate investment trust (a “</w:t>
      </w:r>
      <w:r>
        <w:rPr>
          <w:rFonts w:ascii="Times New Roman" w:cs="Times New Roman" w:eastAsia="Times New Roman" w:hAnsi="Times New Roman"/>
          <w:sz w:val="22"/>
          <w:szCs w:val="22"/>
          <w:b w:val="1"/>
          <w:bCs w:val="1"/>
          <w:color w:val="auto"/>
        </w:rPr>
        <w:t>REIT Owner</w:t>
      </w:r>
      <w:r>
        <w:rPr>
          <w:rFonts w:ascii="Times New Roman" w:cs="Times New Roman" w:eastAsia="Times New Roman" w:hAnsi="Times New Roman"/>
          <w:sz w:val="22"/>
          <w:szCs w:val="22"/>
          <w:color w:val="auto"/>
        </w:rPr>
        <w:t>”), owns, directly,</w:t>
      </w:r>
    </w:p>
    <w:p>
      <w:pPr>
        <w:spacing w:after="0" w:line="231" w:lineRule="auto"/>
        <w:rPr>
          <w:sz w:val="20"/>
          <w:szCs w:val="20"/>
          <w:color w:val="auto"/>
        </w:rPr>
      </w:pPr>
      <w:r>
        <w:rPr>
          <w:rFonts w:ascii="Times New Roman" w:cs="Times New Roman" w:eastAsia="Times New Roman" w:hAnsi="Times New Roman"/>
          <w:sz w:val="22"/>
          <w:szCs w:val="22"/>
          <w:color w:val="auto"/>
        </w:rPr>
        <w:t>indirectly or by applying constructive ownership rules set forth in Section 856(d)(5) of the Code, a ten percent (10%) or greater</w:t>
      </w:r>
    </w:p>
    <w:p>
      <w:pPr>
        <w:spacing w:after="0" w:line="231" w:lineRule="auto"/>
        <w:rPr>
          <w:sz w:val="20"/>
          <w:szCs w:val="20"/>
          <w:color w:val="auto"/>
        </w:rPr>
      </w:pPr>
      <w:r>
        <w:rPr>
          <w:rFonts w:ascii="Times New Roman" w:cs="Times New Roman" w:eastAsia="Times New Roman" w:hAnsi="Times New Roman"/>
          <w:sz w:val="22"/>
          <w:szCs w:val="22"/>
          <w:color w:val="auto"/>
        </w:rPr>
        <w:t>interest; or (ii) make any Transfer or other action under Article 14 of the Original Lease, in a manner that would cause any</w:t>
      </w:r>
    </w:p>
    <w:p>
      <w:pPr>
        <w:spacing w:after="0" w:line="230" w:lineRule="auto"/>
        <w:rPr>
          <w:sz w:val="20"/>
          <w:szCs w:val="20"/>
          <w:color w:val="auto"/>
        </w:rPr>
      </w:pPr>
      <w:r>
        <w:rPr>
          <w:rFonts w:ascii="Times New Roman" w:cs="Times New Roman" w:eastAsia="Times New Roman" w:hAnsi="Times New Roman"/>
          <w:sz w:val="22"/>
          <w:szCs w:val="22"/>
          <w:color w:val="auto"/>
        </w:rPr>
        <w:t>portion of the amounts received by Landlord pursuant to the Lease, as hereby amended, to fail to qualify as “rents from real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property” within the meaning of Section 856(d) of the Code.</w:t>
      </w:r>
    </w:p>
    <w:p>
      <w:pPr>
        <w:spacing w:after="0" w:line="178"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14.</w:t>
      </w:r>
      <w:r>
        <w:rPr>
          <w:rFonts w:ascii="Times New Roman" w:cs="Times New Roman" w:eastAsia="Times New Roman" w:hAnsi="Times New Roman"/>
          <w:sz w:val="22"/>
          <w:szCs w:val="22"/>
          <w:b w:val="1"/>
          <w:bCs w:val="1"/>
          <w:u w:val="single" w:color="auto"/>
          <w:color w:val="auto"/>
        </w:rPr>
        <w:t>Brokers</w:t>
      </w:r>
      <w:r>
        <w:rPr>
          <w:rFonts w:ascii="Times New Roman" w:cs="Times New Roman" w:eastAsia="Times New Roman" w:hAnsi="Times New Roman"/>
          <w:sz w:val="22"/>
          <w:szCs w:val="22"/>
          <w:color w:val="auto"/>
        </w:rPr>
        <w:t>. Landlord and Tenant hereby warrant to each other that they have had no dealings with any real estate broker or agent in connection with the negotiation of this First Amendment, other than CBRE, Inc., representing Landlord and Tenant (collectively, the “</w:t>
      </w:r>
      <w:r>
        <w:rPr>
          <w:rFonts w:ascii="Times New Roman" w:cs="Times New Roman" w:eastAsia="Times New Roman" w:hAnsi="Times New Roman"/>
          <w:sz w:val="22"/>
          <w:szCs w:val="22"/>
          <w:b w:val="1"/>
          <w:bCs w:val="1"/>
          <w:color w:val="auto"/>
        </w:rPr>
        <w:t>Brokers</w:t>
      </w:r>
      <w:r>
        <w:rPr>
          <w:rFonts w:ascii="Times New Roman" w:cs="Times New Roman" w:eastAsia="Times New Roman" w:hAnsi="Times New Roman"/>
          <w:sz w:val="22"/>
          <w:szCs w:val="22"/>
          <w:color w:val="auto"/>
        </w:rPr>
        <w:t>”), and that they know of no other real estate broker or agent who is entitled to a commission in connection with this First Amendment. Each party agrees to indemnify and defend the other party against and hold the other party harmless from any and all claims, demands, losses, liabilities, lawsuits, judgments, costs and expenses (including without limitation reasonable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attorneys' fees) with respect to any leasing commission or equivalent compensation alleged to be owing on account of any dealings with any real estate broker or agent, other than the Brokers, occurring by, through, or under the indemnifying party. The terms of this Section 12 shall survive the expiration or earlier termination of the term of the Lease, as hereby amended.</w:t>
      </w:r>
    </w:p>
    <w:p>
      <w:pPr>
        <w:spacing w:after="0" w:line="169"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15.</w:t>
      </w:r>
      <w:r>
        <w:rPr>
          <w:rFonts w:ascii="Times New Roman" w:cs="Times New Roman" w:eastAsia="Times New Roman" w:hAnsi="Times New Roman"/>
          <w:sz w:val="22"/>
          <w:szCs w:val="22"/>
          <w:b w:val="1"/>
          <w:bCs w:val="1"/>
          <w:u w:val="single" w:color="auto"/>
          <w:color w:val="auto"/>
        </w:rPr>
        <w:t>Electronic Signatures</w:t>
      </w:r>
      <w:r>
        <w:rPr>
          <w:rFonts w:ascii="Times New Roman" w:cs="Times New Roman" w:eastAsia="Times New Roman" w:hAnsi="Times New Roman"/>
          <w:sz w:val="22"/>
          <w:szCs w:val="22"/>
          <w:color w:val="auto"/>
        </w:rPr>
        <w:t>. The parties agree that this First Amendment may be signed and/or transmitted by electronic mail of a .PDF document or electronic signature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DocuSign or similar electronic signature technology) and thereafter maintained in electronic form, and that such electronic record shall be valid and effective to bind the party so signing as a paper copy bearing such party's hand-written signature. The parties further consent and agree that the electronic signatures appearing on this First Amendment shall be treated, for purpose of validity, enforceability and admissibility, the same as hand-written signatures.</w:t>
      </w:r>
    </w:p>
    <w:p>
      <w:pPr>
        <w:spacing w:after="0" w:line="17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16.</w:t>
      </w:r>
      <w:r>
        <w:rPr>
          <w:rFonts w:ascii="Times New Roman" w:cs="Times New Roman" w:eastAsia="Times New Roman" w:hAnsi="Times New Roman"/>
          <w:sz w:val="22"/>
          <w:szCs w:val="22"/>
          <w:b w:val="1"/>
          <w:bCs w:val="1"/>
          <w:u w:val="single" w:color="auto"/>
          <w:color w:val="auto"/>
        </w:rPr>
        <w:t>No Further Modification; Conflict</w:t>
      </w:r>
      <w:r>
        <w:rPr>
          <w:rFonts w:ascii="Times New Roman" w:cs="Times New Roman" w:eastAsia="Times New Roman" w:hAnsi="Times New Roman"/>
          <w:sz w:val="22"/>
          <w:szCs w:val="22"/>
          <w:color w:val="auto"/>
        </w:rPr>
        <w:t>. Except as specifically set forth in this First Amendment, all of the terms and provisions of the Lease shall remain unmodified and in full force and effect. In the event of a conflict between the terms of the Lease and this First Amendment, the terms of this First Amendment shall prevail.</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[SIGNATURES FOLLOW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960755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IN WITNESS WHEREOF, this First Amendment has been executed as of the day and year first above written.</w:t>
      </w:r>
    </w:p>
    <w:p>
      <w:pPr>
        <w:spacing w:after="0" w:line="21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u w:val="single" w:color="auto"/>
          <w:color w:val="auto"/>
        </w:rPr>
        <w:t>LANDLORD</w:t>
      </w:r>
      <w:r>
        <w:rPr>
          <w:rFonts w:ascii="Times New Roman" w:cs="Times New Roman" w:eastAsia="Times New Roman" w:hAnsi="Times New Roman"/>
          <w:sz w:val="22"/>
          <w:szCs w:val="22"/>
          <w:color w:val="auto"/>
        </w:rPr>
        <w:t>:</w:t>
      </w:r>
    </w:p>
    <w:p>
      <w:pPr>
        <w:spacing w:after="0" w:line="202" w:lineRule="exact"/>
        <w:rPr>
          <w:sz w:val="20"/>
          <w:szCs w:val="20"/>
          <w:color w:val="auto"/>
        </w:rPr>
      </w:pPr>
    </w:p>
    <w:p>
      <w:pPr>
        <w:ind w:left="100" w:right="4060"/>
        <w:spacing w:after="0" w:line="262" w:lineRule="auto"/>
        <w:rPr>
          <w:sz w:val="20"/>
          <w:szCs w:val="20"/>
          <w:color w:val="auto"/>
        </w:rPr>
      </w:pPr>
      <w:r>
        <w:rPr>
          <w:rFonts w:ascii="Times New Roman" w:cs="Times New Roman" w:eastAsia="Times New Roman" w:hAnsi="Times New Roman"/>
          <w:sz w:val="22"/>
          <w:szCs w:val="22"/>
          <w:b w:val="1"/>
          <w:bCs w:val="1"/>
          <w:color w:val="auto"/>
        </w:rPr>
        <w:t>BRITANNIA BIOTECH GATEWAY LIMITED PARTNERSHIP, a Delaware limited partnership</w:t>
      </w:r>
    </w:p>
    <w:p>
      <w:pPr>
        <w:spacing w:after="0" w:line="1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By: HCP Biotech Gateway Incorporated,</w:t>
      </w:r>
    </w:p>
    <w:p>
      <w:pPr>
        <w:spacing w:after="0" w:line="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a Delaware corporation,</w:t>
      </w:r>
    </w:p>
    <w:p>
      <w:pPr>
        <w:ind w:left="62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18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By: ___________________________</w:t>
      </w:r>
    </w:p>
    <w:p>
      <w:pPr>
        <w:spacing w:after="0" w:line="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Name: Scott R. Bohn</w:t>
      </w:r>
    </w:p>
    <w:p>
      <w:pPr>
        <w:ind w:left="1580"/>
        <w:spacing w:after="0"/>
        <w:rPr>
          <w:sz w:val="20"/>
          <w:szCs w:val="20"/>
          <w:color w:val="auto"/>
        </w:rPr>
      </w:pPr>
      <w:r>
        <w:rPr>
          <w:rFonts w:ascii="Times New Roman" w:cs="Times New Roman" w:eastAsia="Times New Roman" w:hAnsi="Times New Roman"/>
          <w:sz w:val="22"/>
          <w:szCs w:val="22"/>
          <w:color w:val="auto"/>
        </w:rPr>
        <w:t>Title: Chief Development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TENANT</w:t>
      </w:r>
      <w:r>
        <w:rPr>
          <w:rFonts w:ascii="Times New Roman" w:cs="Times New Roman" w:eastAsia="Times New Roman" w:hAnsi="Times New Roman"/>
          <w:sz w:val="22"/>
          <w:szCs w:val="22"/>
          <w:color w:val="auto"/>
        </w:rPr>
        <w: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ALIGOS THERAPEUTICS,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 Delaware corporation</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Lesley Ann Calhoun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EVP, COO &amp; CFO, on behalf of the Board of Directors of Aligos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1026795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20"/>
          </w:cols>
          <w:pgMar w:left="320" w:top="1440" w:right="125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Lawrence Blatt, certify that:</w:t>
      </w:r>
    </w:p>
    <w:p>
      <w:pPr>
        <w:spacing w:after="0" w:line="117" w:lineRule="exact"/>
        <w:rPr>
          <w:sz w:val="20"/>
          <w:szCs w:val="20"/>
          <w:color w:val="auto"/>
        </w:rPr>
      </w:pPr>
    </w:p>
    <w:p>
      <w:pPr>
        <w:ind w:left="520" w:hanging="512"/>
        <w:spacing w:after="0"/>
        <w:tabs>
          <w:tab w:leader="none" w:pos="5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Aligos Therapeutics, Inc.;</w:t>
      </w:r>
    </w:p>
    <w:p>
      <w:pPr>
        <w:spacing w:after="0" w:line="117" w:lineRule="exact"/>
        <w:rPr>
          <w:rFonts w:ascii="Times New Roman" w:cs="Times New Roman" w:eastAsia="Times New Roman" w:hAnsi="Times New Roman"/>
          <w:sz w:val="18"/>
          <w:szCs w:val="18"/>
          <w:color w:val="auto"/>
        </w:rPr>
      </w:pPr>
    </w:p>
    <w:p>
      <w:pPr>
        <w:jc w:val="both"/>
        <w:ind w:left="520" w:right="220" w:hanging="512"/>
        <w:spacing w:after="0" w:line="266" w:lineRule="auto"/>
        <w:tabs>
          <w:tab w:leader="none" w:pos="5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180" w:hanging="512"/>
        <w:spacing w:after="0" w:line="282" w:lineRule="auto"/>
        <w:tabs>
          <w:tab w:leader="none" w:pos="5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00" w:hanging="512"/>
        <w:spacing w:after="0" w:line="266" w:lineRule="auto"/>
        <w:tabs>
          <w:tab w:leader="none" w:pos="5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140" w:right="40" w:hanging="504"/>
        <w:spacing w:after="0" w:line="266" w:lineRule="auto"/>
        <w:tabs>
          <w:tab w:leader="none" w:pos="114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140" w:right="160" w:hanging="504"/>
        <w:spacing w:after="0" w:line="266" w:lineRule="auto"/>
        <w:tabs>
          <w:tab w:leader="none" w:pos="114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140" w:right="320" w:hanging="504"/>
        <w:spacing w:after="0" w:line="282" w:lineRule="auto"/>
        <w:tabs>
          <w:tab w:leader="none" w:pos="114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140" w:right="20" w:hanging="504"/>
        <w:spacing w:after="0" w:line="266" w:lineRule="auto"/>
        <w:tabs>
          <w:tab w:leader="none" w:pos="114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140" w:right="580" w:hanging="504"/>
        <w:spacing w:after="0" w:line="282" w:lineRule="auto"/>
        <w:tabs>
          <w:tab w:leader="none" w:pos="114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140" w:right="260" w:hanging="504"/>
        <w:spacing w:after="0" w:line="282" w:lineRule="auto"/>
        <w:tabs>
          <w:tab w:leader="none" w:pos="114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620" w:val="left"/>
          <w:tab w:leader="none" w:pos="7920" w:val="left"/>
        </w:tabs>
        <w:rPr>
          <w:sz w:val="20"/>
          <w:szCs w:val="20"/>
          <w:color w:val="auto"/>
        </w:rPr>
      </w:pPr>
      <w:r>
        <w:rPr>
          <w:rFonts w:ascii="Times New Roman" w:cs="Times New Roman" w:eastAsia="Times New Roman" w:hAnsi="Times New Roman"/>
          <w:sz w:val="18"/>
          <w:szCs w:val="18"/>
          <w:color w:val="auto"/>
        </w:rPr>
        <w:t>Date: November 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Lawrence Blatt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18"/>
          <w:szCs w:val="18"/>
          <w:b w:val="1"/>
          <w:bCs w:val="1"/>
          <w:color w:val="auto"/>
        </w:rPr>
        <w:t>Lawrence Blatt</w:t>
      </w:r>
    </w:p>
    <w:p>
      <w:pPr>
        <w:spacing w:after="0" w:line="23"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18"/>
          <w:szCs w:val="18"/>
          <w:b w:val="1"/>
          <w:bCs w:val="1"/>
          <w:color w:val="auto"/>
        </w:rPr>
        <w:t>President, 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833120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Lesley Ann Calhoun, certify that:</w:t>
      </w:r>
    </w:p>
    <w:p>
      <w:pPr>
        <w:spacing w:after="0" w:line="117" w:lineRule="exact"/>
        <w:rPr>
          <w:sz w:val="20"/>
          <w:szCs w:val="20"/>
          <w:color w:val="auto"/>
        </w:rPr>
      </w:pPr>
    </w:p>
    <w:p>
      <w:pPr>
        <w:ind w:left="520" w:hanging="512"/>
        <w:spacing w:after="0"/>
        <w:tabs>
          <w:tab w:leader="none" w:pos="5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Aligos Therapeutics, Inc.;</w:t>
      </w:r>
    </w:p>
    <w:p>
      <w:pPr>
        <w:spacing w:after="0" w:line="117" w:lineRule="exact"/>
        <w:rPr>
          <w:rFonts w:ascii="Times New Roman" w:cs="Times New Roman" w:eastAsia="Times New Roman" w:hAnsi="Times New Roman"/>
          <w:sz w:val="18"/>
          <w:szCs w:val="18"/>
          <w:color w:val="auto"/>
        </w:rPr>
      </w:pPr>
    </w:p>
    <w:p>
      <w:pPr>
        <w:jc w:val="both"/>
        <w:ind w:left="520" w:right="220" w:hanging="512"/>
        <w:spacing w:after="0" w:line="266" w:lineRule="auto"/>
        <w:tabs>
          <w:tab w:leader="none" w:pos="5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180" w:hanging="512"/>
        <w:spacing w:after="0" w:line="282" w:lineRule="auto"/>
        <w:tabs>
          <w:tab w:leader="none" w:pos="5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00" w:hanging="512"/>
        <w:spacing w:after="0" w:line="266" w:lineRule="auto"/>
        <w:tabs>
          <w:tab w:leader="none" w:pos="5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140" w:right="40" w:hanging="504"/>
        <w:spacing w:after="0" w:line="266" w:lineRule="auto"/>
        <w:tabs>
          <w:tab w:leader="none" w:pos="114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140" w:right="160" w:hanging="504"/>
        <w:spacing w:after="0" w:line="266" w:lineRule="auto"/>
        <w:tabs>
          <w:tab w:leader="none" w:pos="114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140" w:right="320" w:hanging="504"/>
        <w:spacing w:after="0" w:line="282" w:lineRule="auto"/>
        <w:tabs>
          <w:tab w:leader="none" w:pos="114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140" w:right="20" w:hanging="504"/>
        <w:spacing w:after="0" w:line="266" w:lineRule="auto"/>
        <w:tabs>
          <w:tab w:leader="none" w:pos="114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140" w:right="580" w:hanging="504"/>
        <w:spacing w:after="0" w:line="282" w:lineRule="auto"/>
        <w:tabs>
          <w:tab w:leader="none" w:pos="114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140" w:right="260" w:hanging="504"/>
        <w:spacing w:after="0" w:line="282" w:lineRule="auto"/>
        <w:tabs>
          <w:tab w:leader="none" w:pos="114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620" w:val="left"/>
          <w:tab w:leader="none" w:pos="7720" w:val="left"/>
        </w:tabs>
        <w:rPr>
          <w:sz w:val="20"/>
          <w:szCs w:val="20"/>
          <w:color w:val="auto"/>
        </w:rPr>
      </w:pPr>
      <w:r>
        <w:rPr>
          <w:rFonts w:ascii="Times New Roman" w:cs="Times New Roman" w:eastAsia="Times New Roman" w:hAnsi="Times New Roman"/>
          <w:sz w:val="18"/>
          <w:szCs w:val="18"/>
          <w:color w:val="auto"/>
        </w:rPr>
        <w:t>Date: November 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Lesley Ann Calhoun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18"/>
          <w:szCs w:val="18"/>
          <w:b w:val="1"/>
          <w:bCs w:val="1"/>
          <w:color w:val="auto"/>
        </w:rPr>
        <w:t>Lesley Ann Calhoun</w:t>
      </w:r>
    </w:p>
    <w:p>
      <w:pPr>
        <w:spacing w:after="0" w:line="23"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18"/>
          <w:szCs w:val="18"/>
          <w:b w:val="1"/>
          <w:bCs w:val="1"/>
          <w:color w:val="auto"/>
        </w:rPr>
        <w:t>Executive Vice President, Chief Operational Officer &amp; Chief</w:t>
      </w:r>
    </w:p>
    <w:p>
      <w:pPr>
        <w:spacing w:after="0" w:line="9"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18"/>
          <w:szCs w:val="18"/>
          <w:b w:val="1"/>
          <w:bCs w:val="1"/>
          <w:color w:val="auto"/>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833120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Aligos Therapeutics, Inc. (the “Company”) on Form 10-Q for the period ended September 30, 2026 as filed with the Securities and Exchange Commission on the date hereof (the “Report”), I certify, pursuant to 18 U.S.C. § 1350, as adopted pursuant to § 906 of the Sarbanes-Oxley Act of 2002, that:</w:t>
      </w:r>
    </w:p>
    <w:p>
      <w:pPr>
        <w:spacing w:after="0" w:line="68" w:lineRule="exact"/>
        <w:rPr>
          <w:sz w:val="20"/>
          <w:szCs w:val="20"/>
          <w:color w:val="auto"/>
        </w:rPr>
      </w:pPr>
    </w:p>
    <w:p>
      <w:pPr>
        <w:ind w:left="1140" w:hanging="504"/>
        <w:spacing w:after="0"/>
        <w:tabs>
          <w:tab w:leader="none" w:pos="11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140" w:right="460" w:hanging="504"/>
        <w:spacing w:after="0" w:line="282" w:lineRule="auto"/>
        <w:tabs>
          <w:tab w:leader="none" w:pos="11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p>
      <w:pPr>
        <w:spacing w:after="0"/>
        <w:tabs>
          <w:tab w:leader="none" w:pos="5920" w:val="left"/>
          <w:tab w:leader="none" w:pos="8080" w:val="left"/>
        </w:tabs>
        <w:rPr>
          <w:sz w:val="20"/>
          <w:szCs w:val="20"/>
          <w:color w:val="auto"/>
        </w:rPr>
      </w:pPr>
      <w:r>
        <w:rPr>
          <w:rFonts w:ascii="Times New Roman" w:cs="Times New Roman" w:eastAsia="Times New Roman" w:hAnsi="Times New Roman"/>
          <w:sz w:val="18"/>
          <w:szCs w:val="18"/>
          <w:color w:val="auto"/>
        </w:rPr>
        <w:t>Date: November 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Lawrence Blatt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17145</wp:posOffset>
            </wp:positionV>
            <wp:extent cx="314579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8"/>
          <w:szCs w:val="18"/>
          <w:b w:val="1"/>
          <w:bCs w:val="1"/>
          <w:color w:val="auto"/>
        </w:rPr>
        <w:t>Lawrence Blatt</w:t>
      </w:r>
    </w:p>
    <w:p>
      <w:pPr>
        <w:spacing w:after="0" w:line="23"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8"/>
          <w:szCs w:val="18"/>
          <w:b w:val="1"/>
          <w:bCs w:val="1"/>
          <w:color w:val="auto"/>
        </w:rPr>
        <w:t>President, 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833120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Aligos Therapeutics, Inc. (the “Company”) on Form 10-Q for the period ended September 30, 2026 as filed with the Securities and Exchange Commission on the date hereof (the “Report”), I certify, pursuant to 18 U.S.C. § 1350, as adopted pursuant to § 906 of the Sarbanes-Oxley Act of 2002, that:</w:t>
      </w:r>
    </w:p>
    <w:p>
      <w:pPr>
        <w:spacing w:after="0" w:line="68" w:lineRule="exact"/>
        <w:rPr>
          <w:sz w:val="20"/>
          <w:szCs w:val="20"/>
          <w:color w:val="auto"/>
        </w:rPr>
      </w:pPr>
    </w:p>
    <w:p>
      <w:pPr>
        <w:ind w:left="1140" w:hanging="504"/>
        <w:spacing w:after="0"/>
        <w:tabs>
          <w:tab w:leader="none" w:pos="11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140" w:right="460" w:hanging="504"/>
        <w:spacing w:after="0" w:line="282" w:lineRule="auto"/>
        <w:tabs>
          <w:tab w:leader="none" w:pos="11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p>
      <w:pPr>
        <w:spacing w:after="0"/>
        <w:tabs>
          <w:tab w:leader="none" w:pos="5920" w:val="left"/>
          <w:tab w:leader="none" w:pos="7900" w:val="left"/>
        </w:tabs>
        <w:rPr>
          <w:sz w:val="20"/>
          <w:szCs w:val="20"/>
          <w:color w:val="auto"/>
        </w:rPr>
      </w:pPr>
      <w:r>
        <w:rPr>
          <w:rFonts w:ascii="Times New Roman" w:cs="Times New Roman" w:eastAsia="Times New Roman" w:hAnsi="Times New Roman"/>
          <w:sz w:val="18"/>
          <w:szCs w:val="18"/>
          <w:color w:val="auto"/>
        </w:rPr>
        <w:t>Date: November 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Lesley Ann Calhoun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17145</wp:posOffset>
            </wp:positionV>
            <wp:extent cx="314579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8"/>
          <w:szCs w:val="18"/>
          <w:b w:val="1"/>
          <w:bCs w:val="1"/>
          <w:color w:val="auto"/>
        </w:rPr>
        <w:t>Lesley Ann Calhoun</w:t>
      </w:r>
    </w:p>
    <w:p>
      <w:pPr>
        <w:spacing w:after="0" w:line="23"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8"/>
          <w:szCs w:val="18"/>
          <w:b w:val="1"/>
          <w:bCs w:val="1"/>
          <w:color w:val="auto"/>
        </w:rPr>
        <w:t>Executive Vice President, Chief Operating Officer &amp; Chief</w:t>
      </w:r>
    </w:p>
    <w:p>
      <w:pPr>
        <w:spacing w:after="0" w:line="9"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8"/>
          <w:szCs w:val="18"/>
          <w:b w:val="1"/>
          <w:bCs w:val="1"/>
          <w:color w:val="auto"/>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833120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107" w:name="page108"/>
    <w:bookmarkEnd w:id="10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1."/>
      <w:numFmt w:val="decimal"/>
      <w:start w:val="1"/>
    </w:lvl>
  </w:abstractNum>
  <w:abstractNum w:abstractNumId="3">
    <w:nsid w:val="51EAD36B"/>
    <w:multiLevelType w:val="hybridMultilevel"/>
    <w:lvl w:ilvl="0">
      <w:lvlJc w:val="left"/>
      <w:lvlText w:val="%1."/>
      <w:numFmt w:val="decimal"/>
      <w:start w:val="2"/>
    </w:lvl>
  </w:abstractNum>
  <w:abstractNum w:abstractNumId="4">
    <w:nsid w:val="2D517796"/>
    <w:multiLevelType w:val="hybridMultilevel"/>
    <w:lvl w:ilvl="0">
      <w:lvlJc w:val="left"/>
      <w:lvlText w:val="%1."/>
      <w:numFmt w:val="decimal"/>
      <w:start w:val="3"/>
    </w:lvl>
  </w:abstractNum>
  <w:abstractNum w:abstractNumId="5">
    <w:nsid w:val="580BD78F"/>
    <w:multiLevelType w:val="hybridMultilevel"/>
    <w:lvl w:ilvl="0">
      <w:lvlJc w:val="left"/>
      <w:lvlText w:val="%1."/>
      <w:numFmt w:val="decimal"/>
      <w:start w:val="4"/>
    </w:lvl>
  </w:abstractNum>
  <w:abstractNum w:abstractNumId="6">
    <w:nsid w:val="153EA438"/>
    <w:multiLevelType w:val="hybridMultilevel"/>
    <w:lvl w:ilvl="0">
      <w:lvlJc w:val="left"/>
      <w:lvlText w:val="%1."/>
      <w:numFmt w:val="decimal"/>
      <w:start w:val="5"/>
    </w:lvl>
  </w:abstractNum>
  <w:abstractNum w:abstractNumId="7">
    <w:nsid w:val="3855585C"/>
    <w:multiLevelType w:val="hybridMultilevel"/>
    <w:lvl w:ilvl="0">
      <w:lvlJc w:val="left"/>
      <w:lvlText w:val="%1."/>
      <w:numFmt w:val="decimal"/>
      <w:start w:val="6"/>
    </w:lvl>
  </w:abstractNum>
  <w:abstractNum w:abstractNumId="8">
    <w:nsid w:val="70A64E2A"/>
    <w:multiLevelType w:val="hybridMultilevel"/>
    <w:lvl w:ilvl="0">
      <w:lvlJc w:val="left"/>
      <w:lvlText w:val="%1."/>
      <w:numFmt w:val="decimal"/>
      <w:start w:val="7"/>
    </w:lvl>
  </w:abstractNum>
  <w:abstractNum w:abstractNumId="9">
    <w:nsid w:val="6A2342EC"/>
    <w:multiLevelType w:val="hybridMultilevel"/>
    <w:lvl w:ilvl="0">
      <w:lvlJc w:val="left"/>
      <w:lvlText w:val="%1."/>
      <w:numFmt w:val="decimal"/>
      <w:start w:val="8"/>
    </w:lvl>
  </w:abstractNum>
  <w:abstractNum w:abstractNumId="10">
    <w:nsid w:val="2A487CB0"/>
    <w:multiLevelType w:val="hybridMultilevel"/>
    <w:lvl w:ilvl="0">
      <w:lvlJc w:val="left"/>
      <w:lvlText w:val="%1."/>
      <w:numFmt w:val="decimal"/>
      <w:start w:val="9"/>
    </w:lvl>
  </w:abstractNum>
  <w:abstractNum w:abstractNumId="11">
    <w:nsid w:val="1D4ED43B"/>
    <w:multiLevelType w:val="hybridMultilevel"/>
    <w:lvl w:ilvl="0">
      <w:lvlJc w:val="left"/>
      <w:lvlText w:val="%1."/>
      <w:numFmt w:val="decimal"/>
      <w:start w:val="10"/>
    </w:lvl>
  </w:abstractNum>
  <w:abstractNum w:abstractNumId="12">
    <w:nsid w:val="725A06FB"/>
    <w:multiLevelType w:val="hybridMultilevel"/>
    <w:lvl w:ilvl="0">
      <w:lvlJc w:val="left"/>
      <w:lvlText w:val="%1."/>
      <w:numFmt w:val="decimal"/>
      <w:start w:val="11"/>
    </w:lvl>
  </w:abstractNum>
  <w:abstractNum w:abstractNumId="13">
    <w:nsid w:val="2CD89A32"/>
    <w:multiLevelType w:val="hybridMultilevel"/>
    <w:lvl w:ilvl="0">
      <w:lvlJc w:val="left"/>
      <w:lvlText w:val="%1."/>
      <w:numFmt w:val="decimal"/>
      <w:start w:val="12"/>
    </w:lvl>
  </w:abstractNum>
  <w:abstractNum w:abstractNumId="14">
    <w:nsid w:val="57E4CCAF"/>
    <w:multiLevelType w:val="hybridMultilevel"/>
    <w:lvl w:ilvl="0">
      <w:lvlJc w:val="left"/>
      <w:lvlText w:val="%1."/>
      <w:numFmt w:val="decimal"/>
      <w:start w:val="13"/>
    </w:lvl>
  </w:abstractNum>
  <w:abstractNum w:abstractNumId="15">
    <w:nsid w:val="7A6D8D3C"/>
    <w:multiLevelType w:val="hybridMultilevel"/>
    <w:lvl w:ilvl="0">
      <w:lvlJc w:val="left"/>
      <w:lvlText w:val="%1."/>
      <w:numFmt w:val="decimal"/>
      <w:start w:val="14"/>
    </w:lvl>
  </w:abstractNum>
  <w:abstractNum w:abstractNumId="16">
    <w:nsid w:val="4B588F54"/>
    <w:multiLevelType w:val="hybridMultilevel"/>
    <w:lvl w:ilvl="0">
      <w:lvlJc w:val="left"/>
      <w:lvlText w:val="(%1)"/>
      <w:numFmt w:val="decimal"/>
      <w:start w:val="1"/>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
      <w:numFmt w:val="bullet"/>
      <w:start w:val="1"/>
    </w:lvl>
  </w:abstractNum>
  <w:abstractNum w:abstractNumId="19">
    <w:nsid w:val="38437FDB"/>
    <w:multiLevelType w:val="hybridMultilevel"/>
    <w:lvl w:ilvl="0">
      <w:lvlJc w:val="left"/>
      <w:lvlText w:val="•"/>
      <w:numFmt w:val="bullet"/>
      <w:start w:val="1"/>
    </w:lvl>
  </w:abstractNum>
  <w:abstractNum w:abstractNumId="20">
    <w:nsid w:val="7644A45C"/>
    <w:multiLevelType w:val="hybridMultilevel"/>
    <w:lvl w:ilvl="0">
      <w:lvlJc w:val="left"/>
      <w:lvlText w:val="•"/>
      <w:numFmt w:val="bullet"/>
      <w:start w:val="1"/>
    </w:lvl>
  </w:abstractNum>
  <w:abstractNum w:abstractNumId="21">
    <w:nsid w:val="32FFF902"/>
    <w:multiLevelType w:val="hybridMultilevel"/>
    <w:lvl w:ilvl="0">
      <w:lvlJc w:val="left"/>
      <w:lvlText w:val="•"/>
      <w:numFmt w:val="bullet"/>
      <w:start w:val="1"/>
    </w:lvl>
  </w:abstractNum>
  <w:abstractNum w:abstractNumId="22">
    <w:nsid w:val="684A481A"/>
    <w:multiLevelType w:val="hybridMultilevel"/>
    <w:lvl w:ilvl="0">
      <w:lvlJc w:val="left"/>
      <w:lvlText w:val="•"/>
      <w:numFmt w:val="bullet"/>
      <w:start w:val="1"/>
    </w:lvl>
  </w:abstractNum>
  <w:abstractNum w:abstractNumId="23">
    <w:nsid w:val="579478FE"/>
    <w:multiLevelType w:val="hybridMultilevel"/>
    <w:lvl w:ilvl="0">
      <w:lvlJc w:val="left"/>
      <w:lvlText w:val="•"/>
      <w:numFmt w:val="bullet"/>
      <w:start w:val="1"/>
    </w:lvl>
  </w:abstractNum>
  <w:abstractNum w:abstractNumId="24">
    <w:nsid w:val="749ABB43"/>
    <w:multiLevelType w:val="hybridMultilevel"/>
    <w:lvl w:ilvl="0">
      <w:lvlJc w:val="left"/>
      <w:lvlText w:val="•"/>
      <w:numFmt w:val="bullet"/>
      <w:start w:val="1"/>
    </w:lvl>
  </w:abstractNum>
  <w:abstractNum w:abstractNumId="25">
    <w:nsid w:val="3DC240FB"/>
    <w:multiLevelType w:val="hybridMultilevel"/>
    <w:lvl w:ilvl="0">
      <w:lvlJc w:val="left"/>
      <w:lvlText w:val="•"/>
      <w:numFmt w:val="bullet"/>
      <w:start w:val="1"/>
    </w:lvl>
  </w:abstractNum>
  <w:abstractNum w:abstractNumId="26">
    <w:nsid w:val="1BA026FA"/>
    <w:multiLevelType w:val="hybridMultilevel"/>
    <w:lvl w:ilvl="0">
      <w:lvlJc w:val="left"/>
      <w:lvlText w:val="•"/>
      <w:numFmt w:val="bullet"/>
      <w:start w:val="1"/>
    </w:lvl>
  </w:abstractNum>
  <w:abstractNum w:abstractNumId="27">
    <w:nsid w:val="79A1DEAA"/>
    <w:multiLevelType w:val="hybridMultilevel"/>
    <w:lvl w:ilvl="0">
      <w:lvlJc w:val="left"/>
      <w:lvlText w:val="•"/>
      <w:numFmt w:val="bullet"/>
      <w:start w:val="1"/>
    </w:lvl>
  </w:abstractNum>
  <w:abstractNum w:abstractNumId="28">
    <w:nsid w:val="75C6C33A"/>
    <w:multiLevelType w:val="hybridMultilevel"/>
    <w:lvl w:ilvl="0">
      <w:lvlJc w:val="left"/>
      <w:lvlText w:val="•"/>
      <w:numFmt w:val="bullet"/>
      <w:start w:val="1"/>
    </w:lvl>
  </w:abstractNum>
  <w:abstractNum w:abstractNumId="29">
    <w:nsid w:val="12E685FB"/>
    <w:multiLevelType w:val="hybridMultilevel"/>
    <w:lvl w:ilvl="0">
      <w:lvlJc w:val="left"/>
      <w:lvlText w:val="•"/>
      <w:numFmt w:val="bullet"/>
      <w:start w:val="1"/>
    </w:lvl>
  </w:abstractNum>
  <w:abstractNum w:abstractNumId="30">
    <w:nsid w:val="70C6A529"/>
    <w:multiLevelType w:val="hybridMultilevel"/>
    <w:lvl w:ilvl="0">
      <w:lvlJc w:val="left"/>
      <w:lvlText w:val="•"/>
      <w:numFmt w:val="bullet"/>
      <w:start w:val="1"/>
    </w:lvl>
  </w:abstractNum>
  <w:abstractNum w:abstractNumId="31">
    <w:nsid w:val="520EEDD1"/>
    <w:multiLevelType w:val="hybridMultilevel"/>
    <w:lvl w:ilvl="0">
      <w:lvlJc w:val="left"/>
      <w:lvlText w:val="•"/>
      <w:numFmt w:val="bullet"/>
      <w:start w:val="1"/>
    </w:lvl>
  </w:abstractNum>
  <w:abstractNum w:abstractNumId="32">
    <w:nsid w:val="374A3FE6"/>
    <w:multiLevelType w:val="hybridMultilevel"/>
    <w:lvl w:ilvl="0">
      <w:lvlJc w:val="left"/>
      <w:lvlText w:val="•"/>
      <w:numFmt w:val="bullet"/>
      <w:start w:val="1"/>
    </w:lvl>
  </w:abstractNum>
  <w:abstractNum w:abstractNumId="33">
    <w:nsid w:val="4F4EF005"/>
    <w:multiLevelType w:val="hybridMultilevel"/>
    <w:lvl w:ilvl="0">
      <w:lvlJc w:val="left"/>
      <w:lvlText w:val="•"/>
      <w:numFmt w:val="bullet"/>
      <w:start w:val="1"/>
    </w:lvl>
  </w:abstractNum>
  <w:abstractNum w:abstractNumId="34">
    <w:nsid w:val="23F9C13C"/>
    <w:multiLevelType w:val="hybridMultilevel"/>
    <w:lvl w:ilvl="0">
      <w:lvlJc w:val="left"/>
      <w:lvlText w:val="•"/>
      <w:numFmt w:val="bullet"/>
      <w:start w:val="1"/>
    </w:lvl>
  </w:abstractNum>
  <w:abstractNum w:abstractNumId="35">
    <w:nsid w:val="649BB77C"/>
    <w:multiLevelType w:val="hybridMultilevel"/>
    <w:lvl w:ilvl="0">
      <w:lvlJc w:val="left"/>
      <w:lvlText w:val="•"/>
      <w:numFmt w:val="bullet"/>
      <w:start w:val="1"/>
    </w:lvl>
  </w:abstractNum>
  <w:abstractNum w:abstractNumId="36">
    <w:nsid w:val="275AC794"/>
    <w:multiLevelType w:val="hybridMultilevel"/>
    <w:lvl w:ilvl="0">
      <w:lvlJc w:val="left"/>
      <w:lvlText w:val="•"/>
      <w:numFmt w:val="bullet"/>
      <w:start w:val="1"/>
    </w:lvl>
  </w:abstractNum>
  <w:abstractNum w:abstractNumId="37">
    <w:nsid w:val="39386575"/>
    <w:multiLevelType w:val="hybridMultilevel"/>
    <w:lvl w:ilvl="0">
      <w:lvlJc w:val="left"/>
      <w:lvlText w:val="•"/>
      <w:numFmt w:val="bullet"/>
      <w:start w:val="1"/>
    </w:lvl>
  </w:abstractNum>
  <w:abstractNum w:abstractNumId="38">
    <w:nsid w:val="1CF10FD8"/>
    <w:multiLevelType w:val="hybridMultilevel"/>
    <w:lvl w:ilvl="0">
      <w:lvlJc w:val="left"/>
      <w:lvlText w:val="•"/>
      <w:numFmt w:val="bullet"/>
      <w:start w:val="1"/>
    </w:lvl>
  </w:abstractNum>
  <w:abstractNum w:abstractNumId="39">
    <w:nsid w:val="180115BE"/>
    <w:multiLevelType w:val="hybridMultilevel"/>
    <w:lvl w:ilvl="0">
      <w:lvlJc w:val="left"/>
      <w:lvlText w:val="•"/>
      <w:numFmt w:val="bullet"/>
      <w:start w:val="1"/>
    </w:lvl>
  </w:abstractNum>
  <w:abstractNum w:abstractNumId="40">
    <w:nsid w:val="235BA861"/>
    <w:multiLevelType w:val="hybridMultilevel"/>
    <w:lvl w:ilvl="0">
      <w:lvlJc w:val="left"/>
      <w:lvlText w:val="•"/>
      <w:numFmt w:val="bullet"/>
      <w:start w:val="1"/>
    </w:lvl>
  </w:abstractNum>
  <w:abstractNum w:abstractNumId="41">
    <w:nsid w:val="47398C89"/>
    <w:multiLevelType w:val="hybridMultilevel"/>
    <w:lvl w:ilvl="0">
      <w:lvlJc w:val="left"/>
      <w:lvlText w:val="•"/>
      <w:numFmt w:val="bullet"/>
      <w:start w:val="1"/>
    </w:lvl>
  </w:abstractNum>
  <w:abstractNum w:abstractNumId="42">
    <w:nsid w:val="354FE9F9"/>
    <w:multiLevelType w:val="hybridMultilevel"/>
    <w:lvl w:ilvl="0">
      <w:lvlJc w:val="left"/>
      <w:lvlText w:val="•"/>
      <w:numFmt w:val="bullet"/>
      <w:start w:val="1"/>
    </w:lvl>
  </w:abstractNum>
  <w:abstractNum w:abstractNumId="43">
    <w:nsid w:val="15B5AF5C"/>
    <w:multiLevelType w:val="hybridMultilevel"/>
    <w:lvl w:ilvl="0">
      <w:lvlJc w:val="left"/>
      <w:lvlText w:val="•"/>
      <w:numFmt w:val="bullet"/>
      <w:start w:val="1"/>
    </w:lvl>
  </w:abstractNum>
  <w:abstractNum w:abstractNumId="44">
    <w:nsid w:val="741226BB"/>
    <w:multiLevelType w:val="hybridMultilevel"/>
    <w:lvl w:ilvl="0">
      <w:lvlJc w:val="left"/>
      <w:lvlText w:val="•"/>
      <w:numFmt w:val="bullet"/>
      <w:start w:val="1"/>
    </w:lvl>
  </w:abstractNum>
  <w:abstractNum w:abstractNumId="45">
    <w:nsid w:val="D34B6A8"/>
    <w:multiLevelType w:val="hybridMultilevel"/>
    <w:lvl w:ilvl="0">
      <w:lvlJc w:val="left"/>
      <w:lvlText w:val="•"/>
      <w:numFmt w:val="bullet"/>
      <w:start w:val="1"/>
    </w:lvl>
  </w:abstractNum>
  <w:abstractNum w:abstractNumId="46">
    <w:nsid w:val="10233C99"/>
    <w:multiLevelType w:val="hybridMultilevel"/>
    <w:lvl w:ilvl="0">
      <w:lvlJc w:val="left"/>
      <w:lvlText w:val="•"/>
      <w:numFmt w:val="bullet"/>
      <w:start w:val="1"/>
    </w:lvl>
  </w:abstractNum>
  <w:abstractNum w:abstractNumId="47">
    <w:nsid w:val="3F6AB60F"/>
    <w:multiLevelType w:val="hybridMultilevel"/>
    <w:lvl w:ilvl="0">
      <w:lvlJc w:val="left"/>
      <w:lvlText w:val="•"/>
      <w:numFmt w:val="bullet"/>
      <w:start w:val="1"/>
    </w:lvl>
  </w:abstractNum>
  <w:abstractNum w:abstractNumId="48">
    <w:nsid w:val="61574095"/>
    <w:multiLevelType w:val="hybridMultilevel"/>
    <w:lvl w:ilvl="0">
      <w:lvlJc w:val="left"/>
      <w:lvlText w:val="•"/>
      <w:numFmt w:val="bullet"/>
      <w:start w:val="1"/>
    </w:lvl>
  </w:abstractNum>
  <w:abstractNum w:abstractNumId="49">
    <w:nsid w:val="7E0C57B1"/>
    <w:multiLevelType w:val="hybridMultilevel"/>
    <w:lvl w:ilvl="0">
      <w:lvlJc w:val="left"/>
      <w:lvlText w:val="•"/>
      <w:numFmt w:val="bullet"/>
      <w:start w:val="1"/>
    </w:lvl>
  </w:abstractNum>
  <w:abstractNum w:abstractNumId="50">
    <w:nsid w:val="77AE35EB"/>
    <w:multiLevelType w:val="hybridMultilevel"/>
    <w:lvl w:ilvl="0">
      <w:lvlJc w:val="left"/>
      <w:lvlText w:val="•"/>
      <w:numFmt w:val="bullet"/>
      <w:start w:val="1"/>
    </w:lvl>
  </w:abstractNum>
  <w:abstractNum w:abstractNumId="51">
    <w:nsid w:val="579BE4F1"/>
    <w:multiLevelType w:val="hybridMultilevel"/>
    <w:lvl w:ilvl="0">
      <w:lvlJc w:val="left"/>
      <w:lvlText w:val="•"/>
      <w:numFmt w:val="bullet"/>
      <w:start w:val="1"/>
    </w:lvl>
  </w:abstractNum>
  <w:abstractNum w:abstractNumId="52">
    <w:nsid w:val="310C50B3"/>
    <w:multiLevelType w:val="hybridMultilevel"/>
    <w:lvl w:ilvl="0">
      <w:lvlJc w:val="left"/>
      <w:lvlText w:val="•"/>
      <w:numFmt w:val="bullet"/>
      <w:start w:val="1"/>
    </w:lvl>
  </w:abstractNum>
  <w:abstractNum w:abstractNumId="53">
    <w:nsid w:val="5FF87E05"/>
    <w:multiLevelType w:val="hybridMultilevel"/>
    <w:lvl w:ilvl="0">
      <w:lvlJc w:val="left"/>
      <w:lvlText w:val="•"/>
      <w:numFmt w:val="bullet"/>
      <w:start w:val="1"/>
    </w:lvl>
  </w:abstractNum>
  <w:abstractNum w:abstractNumId="54">
    <w:nsid w:val="2F305DEF"/>
    <w:multiLevelType w:val="hybridMultilevel"/>
    <w:lvl w:ilvl="0">
      <w:lvlJc w:val="left"/>
      <w:lvlText w:val="•"/>
      <w:numFmt w:val="bullet"/>
      <w:start w:val="1"/>
    </w:lvl>
  </w:abstractNum>
  <w:abstractNum w:abstractNumId="55">
    <w:nsid w:val="25A70BF7"/>
    <w:multiLevelType w:val="hybridMultilevel"/>
    <w:lvl w:ilvl="0">
      <w:lvlJc w:val="left"/>
      <w:lvlText w:val="%1"/>
      <w:numFmt w:val="decimal"/>
      <w:start w:val="104"/>
    </w:lvl>
  </w:abstractNum>
  <w:abstractNum w:abstractNumId="56">
    <w:nsid w:val="1DBABF00"/>
    <w:multiLevelType w:val="hybridMultilevel"/>
    <w:lvl w:ilvl="0">
      <w:lvlJc w:val="left"/>
      <w:lvlText w:val="†"/>
      <w:numFmt w:val="bullet"/>
      <w:start w:val="1"/>
    </w:lvl>
  </w:abstractNum>
  <w:abstractNum w:abstractNumId="57">
    <w:nsid w:val="4AD084E9"/>
    <w:multiLevelType w:val="hybridMultilevel"/>
    <w:lvl w:ilvl="0">
      <w:lvlJc w:val="left"/>
      <w:lvlText w:val="*"/>
      <w:numFmt w:val="bullet"/>
      <w:start w:val="1"/>
    </w:lvl>
  </w:abstractNum>
  <w:abstractNum w:abstractNumId="58">
    <w:nsid w:val="1F48EAA1"/>
    <w:multiLevelType w:val="hybridMultilevel"/>
    <w:lvl w:ilvl="0">
      <w:lvlJc w:val="left"/>
      <w:lvlText w:val="%1."/>
      <w:numFmt w:val="decimal"/>
      <w:start w:val="1"/>
    </w:lvl>
  </w:abstractNum>
  <w:abstractNum w:abstractNumId="59">
    <w:nsid w:val="1381823A"/>
    <w:multiLevelType w:val="hybridMultilevel"/>
    <w:lvl w:ilvl="0">
      <w:lvlJc w:val="left"/>
      <w:lvlText w:val="%1."/>
      <w:numFmt w:val="decimal"/>
      <w:start w:val="4"/>
    </w:lvl>
  </w:abstractNum>
  <w:abstractNum w:abstractNumId="60">
    <w:nsid w:val="5DB70AE5"/>
    <w:multiLevelType w:val="hybridMultilevel"/>
    <w:lvl w:ilvl="0">
      <w:lvlJc w:val="left"/>
      <w:lvlText w:val="(%1)"/>
      <w:numFmt w:val="lowerLetter"/>
      <w:start w:val="1"/>
    </w:lvl>
  </w:abstractNum>
  <w:abstractNum w:abstractNumId="61">
    <w:nsid w:val="100F8FCA"/>
    <w:multiLevelType w:val="hybridMultilevel"/>
    <w:lvl w:ilvl="0">
      <w:lvlJc w:val="left"/>
      <w:lvlText w:val="(%1)"/>
      <w:numFmt w:val="lowerLetter"/>
      <w:start w:val="2"/>
    </w:lvl>
  </w:abstractNum>
  <w:abstractNum w:abstractNumId="62">
    <w:nsid w:val="6590700B"/>
    <w:multiLevelType w:val="hybridMultilevel"/>
    <w:lvl w:ilvl="0">
      <w:lvlJc w:val="left"/>
      <w:lvlText w:val="(%1)"/>
      <w:numFmt w:val="lowerLetter"/>
      <w:start w:val="4"/>
    </w:lvl>
  </w:abstractNum>
  <w:abstractNum w:abstractNumId="63">
    <w:nsid w:val="15014ACB"/>
    <w:multiLevelType w:val="hybridMultilevel"/>
    <w:lvl w:ilvl="0">
      <w:lvlJc w:val="left"/>
      <w:lvlText w:val="%1."/>
      <w:numFmt w:val="decimal"/>
      <w:start w:val="5"/>
    </w:lvl>
  </w:abstractNum>
  <w:abstractNum w:abstractNumId="64">
    <w:nsid w:val="5F5E7FD0"/>
    <w:multiLevelType w:val="hybridMultilevel"/>
    <w:lvl w:ilvl="0">
      <w:lvlJc w:val="left"/>
      <w:lvlText w:val="(%1)"/>
      <w:numFmt w:val="lowerLetter"/>
      <w:start w:val="1"/>
    </w:lvl>
  </w:abstractNum>
  <w:abstractNum w:abstractNumId="65">
    <w:nsid w:val="98A3148"/>
    <w:multiLevelType w:val="hybridMultilevel"/>
    <w:lvl w:ilvl="0">
      <w:lvlJc w:val="left"/>
      <w:lvlText w:val="%1."/>
      <w:numFmt w:val="decimal"/>
      <w:start w:val="7"/>
    </w:lvl>
  </w:abstractNum>
  <w:abstractNum w:abstractNumId="66">
    <w:nsid w:val="799D0247"/>
    <w:multiLevelType w:val="hybridMultilevel"/>
    <w:lvl w:ilvl="0">
      <w:lvlJc w:val="left"/>
      <w:lvlText w:val="(%1)"/>
      <w:numFmt w:val="lowerLetter"/>
      <w:start w:val="1"/>
    </w:lvl>
  </w:abstractNum>
  <w:abstractNum w:abstractNumId="67">
    <w:nsid w:val="6B94764"/>
    <w:multiLevelType w:val="hybridMultilevel"/>
    <w:lvl w:ilvl="0">
      <w:lvlJc w:val="left"/>
      <w:lvlText w:val="(%1)"/>
      <w:numFmt w:val="lowerLetter"/>
      <w:start w:val="3"/>
    </w:lvl>
  </w:abstractNum>
  <w:abstractNum w:abstractNumId="68">
    <w:nsid w:val="42C296BD"/>
    <w:multiLevelType w:val="hybridMultilevel"/>
    <w:lvl w:ilvl="0">
      <w:lvlJc w:val="left"/>
      <w:lvlText w:val="(%1)"/>
      <w:numFmt w:val="lowerRoman"/>
      <w:start w:val="1"/>
    </w:lvl>
    <w:lvl w:ilvl="1">
      <w:lvlJc w:val="left"/>
      <w:lvlText w:val="%2."/>
      <w:numFmt w:val="decimal"/>
      <w:start w:val="8"/>
    </w:lvl>
  </w:abstractNum>
  <w:abstractNum w:abstractNumId="69">
    <w:nsid w:val="168E121F"/>
    <w:multiLevelType w:val="hybridMultilevel"/>
    <w:lvl w:ilvl="0">
      <w:lvlJc w:val="left"/>
      <w:lvlText w:val="%1."/>
      <w:numFmt w:val="decimal"/>
      <w:start w:val="9"/>
    </w:lvl>
  </w:abstractNum>
  <w:abstractNum w:abstractNumId="70">
    <w:nsid w:val="1EBA5D23"/>
    <w:multiLevelType w:val="hybridMultilevel"/>
    <w:lvl w:ilvl="0">
      <w:lvlJc w:val="left"/>
      <w:lvlText w:val="(%1)"/>
      <w:numFmt w:val="lowerLetter"/>
      <w:start w:val="19"/>
    </w:lvl>
  </w:abstractNum>
  <w:abstractNum w:abstractNumId="71">
    <w:nsid w:val="661E3F1E"/>
    <w:multiLevelType w:val="hybridMultilevel"/>
    <w:lvl w:ilvl="0">
      <w:lvlJc w:val="left"/>
      <w:lvlText w:val="%1."/>
      <w:numFmt w:val="decimal"/>
      <w:start w:val="1"/>
    </w:lvl>
    <w:lvl w:ilvl="1">
      <w:lvlJc w:val="left"/>
      <w:lvlText w:val="(%2)"/>
      <w:numFmt w:val="lowerLetter"/>
      <w:start w:val="1"/>
    </w:lvl>
  </w:abstractNum>
  <w:abstractNum w:abstractNumId="72">
    <w:nsid w:val="5DC79EA8"/>
    <w:multiLevelType w:val="hybridMultilevel"/>
    <w:lvl w:ilvl="0">
      <w:lvlJc w:val="left"/>
      <w:lvlText w:val="%1."/>
      <w:numFmt w:val="decimal"/>
      <w:start w:val="1"/>
    </w:lvl>
    <w:lvl w:ilvl="1">
      <w:lvlJc w:val="left"/>
      <w:lvlText w:val="(%2)"/>
      <w:numFmt w:val="lowerLetter"/>
      <w:start w:val="1"/>
    </w:lvl>
  </w:abstractNum>
  <w:abstractNum w:abstractNumId="73">
    <w:nsid w:val="540A471C"/>
    <w:multiLevelType w:val="hybridMultilevel"/>
    <w:lvl w:ilvl="0">
      <w:lvlJc w:val="left"/>
      <w:lvlText w:val="(%1)"/>
      <w:numFmt w:val="decimal"/>
      <w:start w:val="1"/>
    </w:lvl>
  </w:abstractNum>
  <w:abstractNum w:abstractNumId="74">
    <w:nsid w:val="7BD3EE7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67" Type="http://schemas.openxmlformats.org/officeDocument/2006/relationships/image" Target="media/image249.png"/><Relationship Id="rId268" Type="http://schemas.openxmlformats.org/officeDocument/2006/relationships/image" Target="media/image250.png"/><Relationship Id="rId269" Type="http://schemas.openxmlformats.org/officeDocument/2006/relationships/image" Target="media/image251.png"/><Relationship Id="rId270" Type="http://schemas.openxmlformats.org/officeDocument/2006/relationships/image" Target="media/image252.png"/><Relationship Id="rId271" Type="http://schemas.openxmlformats.org/officeDocument/2006/relationships/image" Target="media/image253.png"/><Relationship Id="rId272" Type="http://schemas.openxmlformats.org/officeDocument/2006/relationships/image" Target="media/image254.png"/><Relationship Id="rId273" Type="http://schemas.openxmlformats.org/officeDocument/2006/relationships/image" Target="media/image255.png"/><Relationship Id="rId274" Type="http://schemas.openxmlformats.org/officeDocument/2006/relationships/image" Target="media/image256.png"/><Relationship Id="rId275" Type="http://schemas.openxmlformats.org/officeDocument/2006/relationships/image" Target="media/image257.png"/><Relationship Id="rId276" Type="http://schemas.openxmlformats.org/officeDocument/2006/relationships/image" Target="media/image258.png"/><Relationship Id="rId277" Type="http://schemas.openxmlformats.org/officeDocument/2006/relationships/image" Target="media/image259.png"/><Relationship Id="rId278" Type="http://schemas.openxmlformats.org/officeDocument/2006/relationships/image" Target="media/image260.png"/><Relationship Id="rId279" Type="http://schemas.openxmlformats.org/officeDocument/2006/relationships/image" Target="media/image261.png"/><Relationship Id="rId280" Type="http://schemas.openxmlformats.org/officeDocument/2006/relationships/image" Target="media/image262.png"/><Relationship Id="rId281" Type="http://schemas.openxmlformats.org/officeDocument/2006/relationships/image" Target="media/image263.png"/><Relationship Id="rId282" Type="http://schemas.openxmlformats.org/officeDocument/2006/relationships/image" Target="media/image264.png"/><Relationship Id="rId283" Type="http://schemas.openxmlformats.org/officeDocument/2006/relationships/image" Target="media/image265.png"/><Relationship Id="rId284" Type="http://schemas.openxmlformats.org/officeDocument/2006/relationships/image" Target="media/image266.png"/><Relationship Id="rId285" Type="http://schemas.openxmlformats.org/officeDocument/2006/relationships/image" Target="media/image267.png"/><Relationship Id="rId286" Type="http://schemas.openxmlformats.org/officeDocument/2006/relationships/image" Target="media/image268.png"/><Relationship Id="rId287" Type="http://schemas.openxmlformats.org/officeDocument/2006/relationships/image" Target="media/image269.png"/><Relationship Id="rId288" Type="http://schemas.openxmlformats.org/officeDocument/2006/relationships/image" Target="media/image270.png"/><Relationship Id="rId289" Type="http://schemas.openxmlformats.org/officeDocument/2006/relationships/image" Target="media/image271.png"/><Relationship Id="rId290" Type="http://schemas.openxmlformats.org/officeDocument/2006/relationships/image" Target="media/image272.png"/><Relationship Id="rId291" Type="http://schemas.openxmlformats.org/officeDocument/2006/relationships/image" Target="media/image273.png"/><Relationship Id="rId292" Type="http://schemas.openxmlformats.org/officeDocument/2006/relationships/image" Target="media/image274.png"/><Relationship Id="rId293" Type="http://schemas.openxmlformats.org/officeDocument/2006/relationships/image" Target="media/image275.png"/><Relationship Id="rId294" Type="http://schemas.openxmlformats.org/officeDocument/2006/relationships/image" Target="media/image276.png"/><Relationship Id="rId295" Type="http://schemas.openxmlformats.org/officeDocument/2006/relationships/image" Target="media/image277.png"/><Relationship Id="rId296" Type="http://schemas.openxmlformats.org/officeDocument/2006/relationships/image" Target="media/image278.png"/><Relationship Id="rId297" Type="http://schemas.openxmlformats.org/officeDocument/2006/relationships/image" Target="media/image279.png"/><Relationship Id="rId256" Type="http://schemas.openxmlformats.org/officeDocument/2006/relationships/hyperlink" Target="https://www.sec.gov/Archives/edgar/data/1799448/000119312520272852/d46540dex31.htm" TargetMode="External"/><Relationship Id="rId257" Type="http://schemas.openxmlformats.org/officeDocument/2006/relationships/hyperlink" Target="https://www.sec.gov/Archives/edgar/data/1799448/000119312524172218/d129014dex31.htm" TargetMode="External"/><Relationship Id="rId258" Type="http://schemas.openxmlformats.org/officeDocument/2006/relationships/hyperlink" Target="https://www.sec.gov/Archives/edgar/data/1799448/000119312524202813/d882619dex31.htm" TargetMode="External"/><Relationship Id="rId259" Type="http://schemas.openxmlformats.org/officeDocument/2006/relationships/hyperlink" Target="https://www.sec.gov/Archives/edgar/data/1799448/000119312525148905/d98914dex31.htm" TargetMode="External"/><Relationship Id="rId260" Type="http://schemas.openxmlformats.org/officeDocument/2006/relationships/hyperlink" Target="https://www.sec.gov/Archives/edgar/data/1799448/000119312520272852/d46540dex32.htm" TargetMode="External"/><Relationship Id="rId261" Type="http://schemas.openxmlformats.org/officeDocument/2006/relationships/hyperlink" Target="https://www.sec.gov/Archives/edgar/data/1799448/000095017024122371/algs-ex4_2.htm" TargetMode="External"/><Relationship Id="rId262" Type="http://schemas.openxmlformats.org/officeDocument/2006/relationships/hyperlink" Target="https://www.sec.gov/Archives/edgar/data/1799448/000119312523263158/d533607dex42.htm" TargetMode="External"/><Relationship Id="rId263" Type="http://schemas.openxmlformats.org/officeDocument/2006/relationships/hyperlink" Target="https://www.sec.gov/Archives/edgar/data/1799448/000119312523263158/d533607dex41.htm" TargetMode="External"/><Relationship Id="rId264" Type="http://schemas.openxmlformats.org/officeDocument/2006/relationships/hyperlink" Target="https://www.sec.gov/Archives/edgar/data/1799448/000119312525024838/d901857dex42.htm" TargetMode="External"/><Relationship Id="rId265" Type="http://schemas.openxmlformats.org/officeDocument/2006/relationships/hyperlink" Target="https://www.sec.gov/Archives/edgar/data/1799448/000119312525024838/d901857dex41.htm" TargetMode="External"/><Relationship Id="rId266" Type="http://schemas.openxmlformats.org/officeDocument/2006/relationships/hyperlink" Target="https://www.sec.gov/Archives/edgar/data/1799448/000119312526336851/algs-ex10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2026-11-06T07:11:42Z</dcterms:created>
  <dcterms:modified xsi:type="dcterms:W3CDTF">2026-11-06T07:11:42Z</dcterms:modified>
</cp:coreProperties>
</file>