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Chavez Margarita</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Aligos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ALIGOS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06/25/2026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CORPORATE DRIVE, 2ND FLOOR</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124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94080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2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gridSpan w:val="2"/>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100" w:type="dxa"/>
            <w:vAlign w:val="bottom"/>
            <w:tcBorders>
              <w:top w:val="single" w:sz="8" w:color="2C2C2C"/>
            </w:tcBorders>
            <w:gridSpan w:val="18"/>
          </w:tcPr>
          <w:p>
            <w:pPr>
              <w:ind w:left="6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100" w:type="dxa"/>
            <w:vAlign w:val="bottom"/>
            <w:tcBorders>
              <w:top w:val="single" w:sz="8" w:color="2C2C2C"/>
            </w:tcBorders>
            <w:gridSpan w:val="18"/>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5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116"/>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5,860</w:t>
            </w:r>
          </w:p>
        </w:tc>
        <w:tc>
          <w:tcPr>
            <w:tcW w:w="340" w:type="dxa"/>
            <w:vAlign w:val="bottom"/>
          </w:tcPr>
          <w:p>
            <w:pPr>
              <w:spacing w:after="0"/>
              <w:rPr>
                <w:sz w:val="12"/>
                <w:szCs w:val="12"/>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06/25/2036</w:t>
            </w: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5,860</w:t>
            </w:r>
          </w:p>
        </w:tc>
        <w:tc>
          <w:tcPr>
            <w:tcW w:w="2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5,860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and become exercisable as to 100% of the total number of shares subject to the option on the earlier of the first anniversary of the grant date or immediately prior to the annual meeting in 2027 of the Issuer's stockholders, subject to continuous service to the Issuer through such vesting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Lesley Ann Calhoun,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158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 fact for Margarita</w:t>
      </w:r>
      <w:r>
        <w:rPr>
          <w:sz w:val="20"/>
          <w:szCs w:val="20"/>
          <w:color w:val="auto"/>
        </w:rPr>
        <w:tab/>
      </w:r>
      <w:r>
        <w:rPr>
          <w:rFonts w:ascii="Times New Roman" w:cs="Times New Roman" w:eastAsia="Times New Roman" w:hAnsi="Times New Roman"/>
          <w:sz w:val="16"/>
          <w:szCs w:val="16"/>
          <w:color w:val="0000FF"/>
        </w:rPr>
        <w:t>06/29/2026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Chavez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213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21310"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32496" TargetMode="External"/><Relationship Id="rId14" Type="http://schemas.openxmlformats.org/officeDocument/2006/relationships/hyperlink" Target="http://www.sec.gov/cgi-bin/browse-edgar?action=getcompany&amp;CIK=00017994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2026-06-29T16:14:19Z</dcterms:created>
  <dcterms:modified xsi:type="dcterms:W3CDTF">2026-06-29T16:14:19Z</dcterms:modified>
</cp:coreProperties>
</file>