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Aligos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0"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001-39617</w:t>
            </w:r>
          </w:p>
        </w:tc>
        <w:tc>
          <w:tcPr>
            <w:tcW w:w="2940" w:type="dxa"/>
            <w:vAlign w:val="bottom"/>
          </w:tcPr>
          <w:p>
            <w:pPr>
              <w:jc w:val="center"/>
              <w:ind w:left="1441"/>
              <w:spacing w:after="0"/>
              <w:rPr>
                <w:sz w:val="20"/>
                <w:szCs w:val="20"/>
                <w:color w:val="auto"/>
              </w:rPr>
            </w:pPr>
            <w:r>
              <w:rPr>
                <w:rFonts w:ascii="Times New Roman" w:cs="Times New Roman" w:eastAsia="Times New Roman" w:hAnsi="Times New Roman"/>
                <w:sz w:val="18"/>
                <w:szCs w:val="18"/>
                <w:b w:val="1"/>
                <w:bCs w:val="1"/>
                <w:color w:val="auto"/>
                <w:w w:val="98"/>
              </w:rPr>
              <w:t>82-4724808</w:t>
            </w:r>
          </w:p>
        </w:tc>
      </w:tr>
      <w:tr>
        <w:trPr>
          <w:trHeight w:val="149"/>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940" w:type="dxa"/>
            <w:vAlign w:val="bottom"/>
          </w:tcPr>
          <w:p>
            <w:pPr>
              <w:jc w:val="center"/>
              <w:ind w:left="14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94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33"/>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One Corporate Dr., 2nd Floor</w:t>
            </w:r>
          </w:p>
        </w:tc>
        <w:tc>
          <w:tcPr>
            <w:tcW w:w="244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South San Francisco, CA</w:t>
            </w:r>
          </w:p>
        </w:tc>
        <w:tc>
          <w:tcPr>
            <w:tcW w:w="2440" w:type="dxa"/>
            <w:vAlign w:val="bottom"/>
          </w:tcPr>
          <w:p>
            <w:pPr>
              <w:spacing w:after="0"/>
              <w:rPr>
                <w:sz w:val="19"/>
                <w:szCs w:val="19"/>
                <w:color w:val="auto"/>
              </w:rPr>
            </w:pPr>
          </w:p>
        </w:tc>
        <w:tc>
          <w:tcPr>
            <w:tcW w:w="29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94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466-6059</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ind w:left="1520"/>
              <w:spacing w:after="0" w:line="191" w:lineRule="exact"/>
              <w:rPr>
                <w:sz w:val="20"/>
                <w:szCs w:val="20"/>
                <w:color w:val="auto"/>
              </w:rPr>
            </w:pPr>
            <w:r>
              <w:rPr>
                <w:rFonts w:ascii="Times New Roman" w:cs="Times New Roman" w:eastAsia="Times New Roman" w:hAnsi="Times New Roman"/>
                <w:sz w:val="18"/>
                <w:szCs w:val="18"/>
                <w:color w:val="auto"/>
              </w:rPr>
              <w:t>ALGS</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0" w:space="500"/>
            <w:col w:w="9800"/>
          </w:cols>
          <w:pgMar w:left="440" w:top="293" w:right="459" w:bottom="1440" w:gutter="0" w:footer="0" w:header="0"/>
        </w:sect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June 25, 2026, Aligos Therapeutics, Inc. (the “Company”) held its Annual Meeting of Stockholders (the “Annual Meeting”). As further described in Item 5.07 of this Current Report on Form 8-K, at the Annual Meeting, the Company’s stockholders approved an amendment (the “ESPP Amendment”) to the Company’s 2020 Employee Stock Purchase Plan (the “ESPP”), which was approved by the Board of Directors (the “Board”) on April 22, 2026 and became effective upon stockholder approval at the Annual Meeting.</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ESPP Amendment amends the ESPP (as amended, the “Amended ESPP”) to (i) reserve an additional 500,000 shares for issuance under the Amended ESPP and make them available for purchase under the Amended ESPP’s offering periods, including the offering period that commenced under the ESPP on November 15, 2025, and (ii) eliminate the “evergreen” provision in the ESPP, which currently provides for automatic annual increases to the share reserve through 2030, such that the share reserve under the Amended ESPP will be a fixed number of shares not subject to any further automatic increases.</w:t>
      </w:r>
    </w:p>
    <w:p>
      <w:pPr>
        <w:spacing w:after="0" w:line="18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terms and conditions of the Amended ESPP are described in the section entitled “Proposal 3 – Approval of Amendment to our 2020 Employee Stock Purchase Plan” included in the Company’s definitive proxy statement on Schedule 14A filed with the Securities and Exchange Commission on April 29, 2026 (the “Proxy Statement”). This description is incorporated by reference into Item 5.02 of this Current Report on Form 8-K.</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above and the incorporated descriptions of the Amended ESPP are qualified in their entirety by reference to the ESPP Amendment, a copy of which is filed as Exhibit 10.1 to this Current Report on Form 8-K and incorporated by reference herein.</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At the Annual Meeting, the Company’s stockholders voted on five proposals, each of which is described in more detail in the Proxy Statement. Only stockholders of record as of the close of business on April 27, 2026, the record date for the Annual Meeting, were entitled to vote at the Annual Meeting. As of the record date, 5,388,223 shares of the Company’s voting common stock were outstanding and entitled to vote at the Annual Meeting. The tabulation of the stockholder votes on each proposal brought before the Annual Meeting is as follows:</w:t>
      </w:r>
    </w:p>
    <w:p>
      <w:pPr>
        <w:spacing w:after="0" w:line="178"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Proposal 1</w:t>
      </w:r>
      <w:r>
        <w:rPr>
          <w:rFonts w:ascii="Times New Roman" w:cs="Times New Roman" w:eastAsia="Times New Roman" w:hAnsi="Times New Roman"/>
          <w:sz w:val="18"/>
          <w:szCs w:val="18"/>
          <w:color w:val="auto"/>
        </w:rPr>
        <w:t>. The election of two Class III directors to hold office until the 2029 annual meeting of stockholders or until their respective successors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duly elected and qualified. The results of the vote were as follows:</w:t>
      </w:r>
    </w:p>
    <w:p>
      <w:pPr>
        <w:spacing w:after="0" w:line="181" w:lineRule="exact"/>
        <w:rPr>
          <w:sz w:val="20"/>
          <w:szCs w:val="20"/>
          <w:color w:val="auto"/>
        </w:rPr>
      </w:pPr>
    </w:p>
    <w:tbl>
      <w:tblPr>
        <w:tblLayout w:type="fixed"/>
        <w:tblInd w:w="880" w:type="dxa"/>
        <w:tblCellMar>
          <w:top w:w="0" w:type="dxa"/>
          <w:left w:w="0" w:type="dxa"/>
          <w:bottom w:w="0" w:type="dxa"/>
          <w:right w:w="0" w:type="dxa"/>
        </w:tblCellMar>
      </w:tblPr>
      <w:tr>
        <w:trPr>
          <w:trHeight w:val="187"/>
        </w:trPr>
        <w:tc>
          <w:tcPr>
            <w:tcW w:w="5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1580" w:type="dxa"/>
            <w:vAlign w:val="bottom"/>
            <w:gridSpan w:val="2"/>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9"/>
        </w:trPr>
        <w:tc>
          <w:tcPr>
            <w:tcW w:w="5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Bridget Martell, M.A., M.D.</w:t>
            </w:r>
          </w:p>
        </w:tc>
        <w:tc>
          <w:tcPr>
            <w:tcW w:w="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2,092,164</w:t>
            </w:r>
          </w:p>
        </w:tc>
        <w:tc>
          <w:tcPr>
            <w:tcW w:w="4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88,707</w:t>
            </w:r>
          </w:p>
        </w:tc>
        <w:tc>
          <w:tcPr>
            <w:tcW w:w="4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1,613,003</w:t>
            </w:r>
          </w:p>
        </w:tc>
      </w:tr>
      <w:tr>
        <w:trPr>
          <w:trHeight w:val="234"/>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Carole Nuechterlein, J.D.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2,086,481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94,390</w:t>
            </w:r>
          </w:p>
        </w:tc>
        <w:tc>
          <w:tcPr>
            <w:tcW w:w="1580" w:type="dxa"/>
            <w:vAlign w:val="bottom"/>
            <w:gridSpan w:val="2"/>
          </w:tcPr>
          <w:p>
            <w:pPr>
              <w:jc w:val="center"/>
              <w:ind w:left="379"/>
              <w:spacing w:after="0"/>
              <w:rPr>
                <w:sz w:val="20"/>
                <w:szCs w:val="20"/>
                <w:color w:val="auto"/>
              </w:rPr>
            </w:pPr>
            <w:r>
              <w:rPr>
                <w:rFonts w:ascii="Times New Roman" w:cs="Times New Roman" w:eastAsia="Times New Roman" w:hAnsi="Times New Roman"/>
                <w:sz w:val="18"/>
                <w:szCs w:val="18"/>
                <w:color w:val="auto"/>
                <w:w w:val="99"/>
              </w:rPr>
              <w:t>1,613,003</w:t>
            </w:r>
          </w:p>
        </w:tc>
      </w:tr>
    </w:tbl>
    <w:p>
      <w:pPr>
        <w:spacing w:after="0" w:line="177"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Proposal 2</w:t>
      </w:r>
      <w:r>
        <w:rPr>
          <w:rFonts w:ascii="Times New Roman" w:cs="Times New Roman" w:eastAsia="Times New Roman" w:hAnsi="Times New Roman"/>
          <w:sz w:val="18"/>
          <w:szCs w:val="18"/>
          <w:color w:val="auto"/>
        </w:rPr>
        <w:t>. The ratification of the selection by the audit committee of the Board of Ernst &amp; Young LLP as the independent registered public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firm of the Company for the fiscal year ending December 31, 2026. The results of the vote were as follows:</w:t>
      </w:r>
    </w:p>
    <w:p>
      <w:pPr>
        <w:spacing w:after="0" w:line="181" w:lineRule="exact"/>
        <w:rPr>
          <w:sz w:val="20"/>
          <w:szCs w:val="20"/>
          <w:color w:val="auto"/>
        </w:rPr>
      </w:pPr>
    </w:p>
    <w:tbl>
      <w:tblPr>
        <w:tblLayout w:type="fixed"/>
        <w:tblInd w:w="1100" w:type="dxa"/>
        <w:tblCellMar>
          <w:top w:w="0" w:type="dxa"/>
          <w:left w:w="0" w:type="dxa"/>
          <w:bottom w:w="0" w:type="dxa"/>
          <w:right w:w="0" w:type="dxa"/>
        </w:tblCellMar>
      </w:tblPr>
      <w:tr>
        <w:trPr>
          <w:trHeight w:val="187"/>
        </w:trPr>
        <w:tc>
          <w:tcPr>
            <w:tcW w:w="3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10"/>
        </w:trPr>
        <w:tc>
          <w:tcPr>
            <w:tcW w:w="2980" w:type="dxa"/>
            <w:vAlign w:val="bottom"/>
            <w:tcBorders>
              <w:top w:val="single" w:sz="8" w:color="auto"/>
            </w:tcBorders>
            <w:shd w:val="clear" w:color="auto" w:fill="CCEEFF"/>
          </w:tcPr>
          <w:p>
            <w:pPr>
              <w:jc w:val="right"/>
              <w:ind w:right="1039"/>
              <w:spacing w:after="0"/>
              <w:rPr>
                <w:sz w:val="20"/>
                <w:szCs w:val="20"/>
                <w:color w:val="auto"/>
              </w:rPr>
            </w:pPr>
            <w:r>
              <w:rPr>
                <w:rFonts w:ascii="Times New Roman" w:cs="Times New Roman" w:eastAsia="Times New Roman" w:hAnsi="Times New Roman"/>
                <w:sz w:val="18"/>
                <w:szCs w:val="18"/>
                <w:color w:val="auto"/>
              </w:rPr>
              <w:t>3,786,255</w:t>
            </w:r>
          </w:p>
        </w:tc>
        <w:tc>
          <w:tcPr>
            <w:tcW w:w="12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jc w:val="right"/>
              <w:ind w:right="1119"/>
              <w:spacing w:after="0"/>
              <w:rPr>
                <w:sz w:val="20"/>
                <w:szCs w:val="20"/>
                <w:color w:val="auto"/>
              </w:rPr>
            </w:pPr>
            <w:r>
              <w:rPr>
                <w:rFonts w:ascii="Times New Roman" w:cs="Times New Roman" w:eastAsia="Times New Roman" w:hAnsi="Times New Roman"/>
                <w:sz w:val="18"/>
                <w:szCs w:val="18"/>
                <w:color w:val="auto"/>
              </w:rPr>
              <w:t>7,484</w:t>
            </w:r>
          </w:p>
        </w:tc>
        <w:tc>
          <w:tcPr>
            <w:tcW w:w="8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1179"/>
              <w:spacing w:after="0"/>
              <w:rPr>
                <w:sz w:val="20"/>
                <w:szCs w:val="20"/>
                <w:color w:val="auto"/>
              </w:rPr>
            </w:pPr>
            <w:r>
              <w:rPr>
                <w:rFonts w:ascii="Times New Roman" w:cs="Times New Roman" w:eastAsia="Times New Roman" w:hAnsi="Times New Roman"/>
                <w:sz w:val="18"/>
                <w:szCs w:val="18"/>
                <w:color w:val="auto"/>
              </w:rPr>
              <w:t>135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routine proposal under applicable rules, no broker non-votes were recorded in connection with this proposal.</w:t>
      </w:r>
    </w:p>
    <w:p>
      <w:pPr>
        <w:spacing w:after="0" w:line="223" w:lineRule="exact"/>
        <w:rPr>
          <w:sz w:val="20"/>
          <w:szCs w:val="20"/>
          <w:color w:val="auto"/>
        </w:rPr>
      </w:pPr>
    </w:p>
    <w:p>
      <w:pPr>
        <w:jc w:val="both"/>
        <w:ind w:right="320"/>
        <w:spacing w:after="0" w:line="267" w:lineRule="auto"/>
        <w:rPr>
          <w:sz w:val="20"/>
          <w:szCs w:val="20"/>
          <w:color w:val="auto"/>
        </w:rPr>
      </w:pPr>
      <w:r>
        <w:rPr>
          <w:rFonts w:ascii="Times New Roman" w:cs="Times New Roman" w:eastAsia="Times New Roman" w:hAnsi="Times New Roman"/>
          <w:sz w:val="18"/>
          <w:szCs w:val="18"/>
          <w:i w:val="1"/>
          <w:iCs w:val="1"/>
          <w:color w:val="auto"/>
        </w:rPr>
        <w:t>Proposal 3</w:t>
      </w:r>
      <w:r>
        <w:rPr>
          <w:rFonts w:ascii="Times New Roman" w:cs="Times New Roman" w:eastAsia="Times New Roman" w:hAnsi="Times New Roman"/>
          <w:sz w:val="18"/>
          <w:szCs w:val="18"/>
          <w:color w:val="auto"/>
        </w:rPr>
        <w:t>. The approval of an amendment to the ESPP to (i) reserve an additional 500,000 shares for issuance under the Amended ESPP and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them available for purchase under the Amended ESPP’s offering periods, and (ii) eliminate the “evergreen” provision in the ESPP. The results of the vote were as follows:</w:t>
      </w:r>
    </w:p>
    <w:p>
      <w:pPr>
        <w:spacing w:after="0" w:line="183"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23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7"/>
        </w:trPr>
        <w:tc>
          <w:tcPr>
            <w:tcW w:w="2360" w:type="dxa"/>
            <w:vAlign w:val="bottom"/>
            <w:gridSpan w:val="2"/>
            <w:vMerge w:val="continue"/>
          </w:tcPr>
          <w:p>
            <w:pPr>
              <w:spacing w:after="0"/>
              <w:rPr>
                <w:sz w:val="16"/>
                <w:szCs w:val="16"/>
                <w:color w:val="auto"/>
              </w:rPr>
            </w:pPr>
          </w:p>
        </w:tc>
        <w:tc>
          <w:tcPr>
            <w:tcW w:w="2340" w:type="dxa"/>
            <w:vAlign w:val="bottom"/>
            <w:gridSpan w:val="2"/>
            <w:vMerge w:val="continue"/>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10"/>
        </w:trPr>
        <w:tc>
          <w:tcPr>
            <w:tcW w:w="2240" w:type="dxa"/>
            <w:vAlign w:val="bottom"/>
            <w:tcBorders>
              <w:top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2,161,966</w:t>
            </w:r>
          </w:p>
        </w:tc>
        <w:tc>
          <w:tcPr>
            <w:tcW w:w="1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17,797</w:t>
            </w:r>
          </w:p>
        </w:tc>
        <w:tc>
          <w:tcPr>
            <w:tcW w:w="10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1,108</w:t>
            </w:r>
          </w:p>
        </w:tc>
        <w:tc>
          <w:tcPr>
            <w:tcW w:w="8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1,613,003</w:t>
            </w:r>
          </w:p>
        </w:tc>
        <w:tc>
          <w:tcPr>
            <w:tcW w:w="0" w:type="dxa"/>
            <w:vAlign w:val="bottom"/>
          </w:tcPr>
          <w:p>
            <w:pPr>
              <w:spacing w:after="0"/>
              <w:rPr>
                <w:sz w:val="1"/>
                <w:szCs w:val="1"/>
                <w:color w:val="auto"/>
              </w:rPr>
            </w:pPr>
          </w:p>
        </w:tc>
      </w:tr>
    </w:tbl>
    <w:p>
      <w:pPr>
        <w:sectPr>
          <w:pgSz w:w="11900" w:h="16838" w:orient="portrait"/>
          <w:cols w:equalWidth="0" w:num="1">
            <w:col w:w="11000"/>
          </w:cols>
          <w:pgMar w:left="440" w:top="293" w:right="459" w:bottom="1440" w:gutter="0" w:footer="0" w:header="0"/>
          <w:type w:val="continuous"/>
        </w:sectPr>
      </w:pPr>
    </w:p>
    <w:bookmarkStart w:id="2" w:name="page3"/>
    <w:bookmarkEnd w:id="2"/>
    <w:p>
      <w:pPr>
        <w:ind w:left="4" w:right="28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4</w:t>
      </w:r>
      <w:r>
        <w:rPr>
          <w:rFonts w:ascii="Times New Roman" w:cs="Times New Roman" w:eastAsia="Times New Roman" w:hAnsi="Times New Roman"/>
          <w:sz w:val="18"/>
          <w:szCs w:val="18"/>
          <w:color w:val="auto"/>
        </w:rPr>
        <w:t>. The approval, on a non-binding, advisory basis, of the compensation of the Company’s named executive officers. The results of the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as follows:</w:t>
      </w:r>
    </w:p>
    <w:p>
      <w:pPr>
        <w:spacing w:after="0" w:line="168" w:lineRule="exact"/>
        <w:rPr>
          <w:sz w:val="20"/>
          <w:szCs w:val="20"/>
          <w:color w:val="auto"/>
        </w:rPr>
      </w:pPr>
    </w:p>
    <w:tbl>
      <w:tblPr>
        <w:tblLayout w:type="fixed"/>
        <w:tblInd w:w="1104" w:type="dxa"/>
        <w:tblCellMar>
          <w:top w:w="0" w:type="dxa"/>
          <w:left w:w="0" w:type="dxa"/>
          <w:bottom w:w="0" w:type="dxa"/>
          <w:right w:w="0" w:type="dxa"/>
        </w:tblCellMar>
      </w:tblPr>
      <w:tr>
        <w:trPr>
          <w:trHeight w:val="161"/>
        </w:trPr>
        <w:tc>
          <w:tcPr>
            <w:tcW w:w="2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7"/>
        </w:trPr>
        <w:tc>
          <w:tcPr>
            <w:tcW w:w="2240" w:type="dxa"/>
            <w:vAlign w:val="bottom"/>
            <w:gridSpan w:val="2"/>
            <w:vMerge w:val="continue"/>
          </w:tcPr>
          <w:p>
            <w:pPr>
              <w:spacing w:after="0"/>
              <w:rPr>
                <w:sz w:val="16"/>
                <w:szCs w:val="16"/>
                <w:color w:val="auto"/>
              </w:rPr>
            </w:pPr>
          </w:p>
        </w:tc>
        <w:tc>
          <w:tcPr>
            <w:tcW w:w="2180" w:type="dxa"/>
            <w:vAlign w:val="bottom"/>
            <w:gridSpan w:val="2"/>
            <w:vMerge w:val="continue"/>
          </w:tcPr>
          <w:p>
            <w:pPr>
              <w:spacing w:after="0"/>
              <w:rPr>
                <w:sz w:val="16"/>
                <w:szCs w:val="16"/>
                <w:color w:val="auto"/>
              </w:rPr>
            </w:pPr>
          </w:p>
        </w:tc>
        <w:tc>
          <w:tcPr>
            <w:tcW w:w="2280" w:type="dxa"/>
            <w:vAlign w:val="bottom"/>
            <w:gridSpan w:val="2"/>
            <w:vMerge w:val="continue"/>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Non-Votes</w:t>
            </w:r>
          </w:p>
        </w:tc>
        <w:tc>
          <w:tcPr>
            <w:tcW w:w="0" w:type="dxa"/>
            <w:vAlign w:val="bottom"/>
          </w:tcPr>
          <w:p>
            <w:pPr>
              <w:spacing w:after="0"/>
              <w:rPr>
                <w:sz w:val="1"/>
                <w:szCs w:val="1"/>
                <w:color w:val="auto"/>
              </w:rPr>
            </w:pPr>
          </w:p>
        </w:tc>
      </w:tr>
      <w:tr>
        <w:trPr>
          <w:trHeight w:val="209"/>
        </w:trPr>
        <w:tc>
          <w:tcPr>
            <w:tcW w:w="2100" w:type="dxa"/>
            <w:vAlign w:val="bottom"/>
            <w:tcBorders>
              <w:top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2,074,434</w:t>
            </w:r>
          </w:p>
        </w:tc>
        <w:tc>
          <w:tcPr>
            <w:tcW w:w="14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98,358</w:t>
            </w:r>
          </w:p>
        </w:tc>
        <w:tc>
          <w:tcPr>
            <w:tcW w:w="8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8,079</w:t>
            </w:r>
          </w:p>
        </w:tc>
        <w:tc>
          <w:tcPr>
            <w:tcW w:w="8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1,613,003</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 w:right="280"/>
        <w:spacing w:after="0" w:line="284" w:lineRule="auto"/>
        <w:rPr>
          <w:sz w:val="20"/>
          <w:szCs w:val="20"/>
          <w:color w:val="auto"/>
        </w:rPr>
      </w:pPr>
      <w:r>
        <w:rPr>
          <w:rFonts w:ascii="Times New Roman" w:cs="Times New Roman" w:eastAsia="Times New Roman" w:hAnsi="Times New Roman"/>
          <w:sz w:val="18"/>
          <w:szCs w:val="18"/>
          <w:i w:val="1"/>
          <w:iCs w:val="1"/>
          <w:color w:val="auto"/>
        </w:rPr>
        <w:t>Proposal 5</w:t>
      </w:r>
      <w:r>
        <w:rPr>
          <w:rFonts w:ascii="Times New Roman" w:cs="Times New Roman" w:eastAsia="Times New Roman" w:hAnsi="Times New Roman"/>
          <w:sz w:val="18"/>
          <w:szCs w:val="18"/>
          <w:color w:val="auto"/>
        </w:rPr>
        <w:t>. The approval, on a non-binding, advisory basis, of the frequency of future advisory votes on the compensation of the Company’s named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The results of the vote were as follows:</w:t>
      </w:r>
    </w:p>
    <w:p>
      <w:pPr>
        <w:spacing w:after="0" w:line="168" w:lineRule="exact"/>
        <w:rPr>
          <w:sz w:val="20"/>
          <w:szCs w:val="20"/>
          <w:color w:val="auto"/>
        </w:rPr>
      </w:pPr>
    </w:p>
    <w:tbl>
      <w:tblPr>
        <w:tblLayout w:type="fixed"/>
        <w:tblInd w:w="844" w:type="dxa"/>
        <w:tblCellMar>
          <w:top w:w="0" w:type="dxa"/>
          <w:left w:w="0" w:type="dxa"/>
          <w:bottom w:w="0" w:type="dxa"/>
          <w:right w:w="0" w:type="dxa"/>
        </w:tblCellMar>
      </w:tblPr>
      <w:tr>
        <w:trPr>
          <w:trHeight w:val="161"/>
        </w:trPr>
        <w:tc>
          <w:tcPr>
            <w:tcW w:w="1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Two Years</w:t>
            </w:r>
          </w:p>
        </w:tc>
        <w:tc>
          <w:tcPr>
            <w:tcW w:w="1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Three Years</w:t>
            </w:r>
          </w:p>
        </w:tc>
        <w:tc>
          <w:tcPr>
            <w:tcW w:w="1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7"/>
        </w:trPr>
        <w:tc>
          <w:tcPr>
            <w:tcW w:w="1840" w:type="dxa"/>
            <w:vAlign w:val="bottom"/>
            <w:gridSpan w:val="2"/>
            <w:vMerge w:val="continue"/>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09"/>
        </w:trPr>
        <w:tc>
          <w:tcPr>
            <w:tcW w:w="1660" w:type="dxa"/>
            <w:vAlign w:val="bottom"/>
            <w:tcBorders>
              <w:top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2,077,884</w:t>
            </w:r>
          </w:p>
        </w:tc>
        <w:tc>
          <w:tcPr>
            <w:tcW w:w="18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2,947</w:t>
            </w:r>
          </w:p>
        </w:tc>
        <w:tc>
          <w:tcPr>
            <w:tcW w:w="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97,350</w:t>
            </w:r>
          </w:p>
        </w:tc>
        <w:tc>
          <w:tcPr>
            <w:tcW w:w="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2,690</w:t>
            </w:r>
          </w:p>
        </w:tc>
        <w:tc>
          <w:tcPr>
            <w:tcW w:w="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1,613,003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Based on these voting results, and the recommendation of the Company’s Board that was included in the Proxy Statement, the Company has determined that it will hold future advisory votes on the compensation of the Company’s named executive officers on an annual basis until the next stockholder advisory vote on the frequency of future advisory votes on the compensation of the Company’s named executive officers.</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7" w:lineRule="exact"/>
        <w:rPr>
          <w:sz w:val="20"/>
          <w:szCs w:val="20"/>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Exhibits</w:t>
      </w:r>
    </w:p>
    <w:p>
      <w:pPr>
        <w:spacing w:after="0" w:line="2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ind w:left="12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Amendment to the Aligos Therapeutics, Inc. 2020 Employee Stock Purchase Plan.</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64"/>
          </w:cols>
          <w:pgMar w:left="436" w:top="295" w:right="49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ALIGOS THERAPEUTICS,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Lesley Ann Calhoun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Chief Operating Officer and Chief</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Financial Officer</w:t>
      </w:r>
    </w:p>
    <w:p>
      <w:pPr>
        <w:sectPr>
          <w:pgSz w:w="11900" w:h="16838" w:orient="portrait"/>
          <w:cols w:equalWidth="0" w:num="1">
            <w:col w:w="10940"/>
          </w:cols>
          <w:pgMar w:left="440" w:top="293" w:right="5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ALIGOS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EMPLOYEE STOCK PURCHASE PLAN</w:t>
      </w:r>
    </w:p>
    <w:p>
      <w:pPr>
        <w:spacing w:after="0" w:line="22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THIS AMENDMENT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Aligos Therapeutics, Inc. 2020 Employee Stock Purchase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made and adopted by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Aligos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subject to, and effective upon, the approval of the Company’s stockholders (the date of such approval,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All capitalized terms used but not otherwise defined herein shall have the respective meanings ascribed to such terms in the Plan.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400" w:firstLine="440"/>
        <w:spacing w:after="0" w:line="312" w:lineRule="auto"/>
        <w:rPr>
          <w:sz w:val="20"/>
          <w:szCs w:val="20"/>
          <w:color w:val="auto"/>
        </w:rPr>
      </w:pPr>
      <w:r>
        <w:rPr>
          <w:rFonts w:ascii="Times New Roman" w:cs="Times New Roman" w:eastAsia="Times New Roman" w:hAnsi="Times New Roman"/>
          <w:sz w:val="17"/>
          <w:szCs w:val="17"/>
          <w:color w:val="auto"/>
        </w:rPr>
        <w:t>WHEREAS, pursuant to Section 7.5 of the Plan, the Board has the authority to amend the Plan from time to time, including to increase the maximum aggregate number of shares of Common Stock available for issuance thereunder, subject to approval of the Company’s stockholders; and</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Board believes it is in the best interests of the Company and its stockholders to amend the Plan as set forth herein.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BE IT RESOLVED, that the Plan is hereby amended as follows, subject to approval of the increase in reserved shares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provided by this Amendment by the Company’s stockholders: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256" w:lineRule="exact"/>
        <w:rPr>
          <w:sz w:val="20"/>
          <w:szCs w:val="20"/>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Article V, Section 5.1</w:t>
      </w:r>
      <w:r>
        <w:rPr>
          <w:rFonts w:ascii="Times New Roman" w:cs="Times New Roman" w:eastAsia="Times New Roman" w:hAnsi="Times New Roman"/>
          <w:sz w:val="18"/>
          <w:szCs w:val="18"/>
          <w:color w:val="auto"/>
        </w:rPr>
        <w:t>. Article V, Section 5.1 of the Plan is hereby amended and restated in its entirety to read as follows:</w:t>
      </w:r>
    </w:p>
    <w:p>
      <w:pPr>
        <w:spacing w:after="0" w:line="27" w:lineRule="exact"/>
        <w:rPr>
          <w:rFonts w:ascii="Times New Roman" w:cs="Times New Roman" w:eastAsia="Times New Roman" w:hAnsi="Times New Roman"/>
          <w:sz w:val="18"/>
          <w:szCs w:val="18"/>
          <w:color w:val="auto"/>
        </w:rPr>
      </w:pPr>
    </w:p>
    <w:p>
      <w:pPr>
        <w:ind w:left="96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Reserved</w:t>
      </w:r>
      <w:r>
        <w:rPr>
          <w:rFonts w:ascii="Times New Roman" w:cs="Times New Roman" w:eastAsia="Times New Roman" w:hAnsi="Times New Roman"/>
          <w:sz w:val="18"/>
          <w:szCs w:val="18"/>
          <w:color w:val="auto"/>
        </w:rPr>
        <w:t>. Subject to adjustment as provided in Section 5.2 hereof, the maximum number of shares of Common Stock that shall be made available for sale under the Plan shall be 694,714 shares. Shares made available for sale under the Plan may be authorized but unissued shares, treasury shares of Common Stock, or reacquired shares reserved for issuance under the Plan.”</w:t>
      </w:r>
    </w:p>
    <w:p>
      <w:pPr>
        <w:spacing w:after="0" w:line="9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and is hereby incorporated into and forms a part of the Plan.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herein, all terms and conditions of the Plan shall remain in full force and effect.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ectPr>
          <w:pgSz w:w="11900" w:h="16838" w:orient="portrait"/>
          <w:cols w:equalWidth="0" w:num="1">
            <w:col w:w="11020"/>
          </w:cols>
          <w:pgMar w:left="440" w:top="117" w:right="439" w:bottom="1440" w:gutter="0" w:footer="0" w:header="0"/>
        </w:sectPr>
      </w:pPr>
    </w:p>
    <w:bookmarkStart w:id="5" w:name="page6"/>
    <w:bookmarkEnd w:id="5"/>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being the duly appointed and acting Assistant Secretary of Aligos Therapeutics, Inc., hereby certifies that the foregoing amendment was duly approved and adopted by the Board of Directors of the Company and the stockholders of the Company effective as of the Effective Date.</w:t>
      </w:r>
    </w:p>
    <w:p>
      <w:pPr>
        <w:spacing w:after="0" w:line="17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Lesley Ann Calhoun</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13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i w:val="1"/>
          <w:iCs w:val="1"/>
          <w:color w:val="auto"/>
        </w:rPr>
        <w:t>[Signature Page to Amendment to the Aligos Therapeutics, Inc. 2020 Employee Stock Purchase Plan]</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2026-06-26T15:54:52Z</dcterms:created>
  <dcterms:modified xsi:type="dcterms:W3CDTF">2026-06-26T15:54:52Z</dcterms:modified>
</cp:coreProperties>
</file>