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3820" w:right="1620" w:hanging="3812"/>
        <w:spacing w:after="0" w:line="224" w:lineRule="auto"/>
        <w:tabs>
          <w:tab w:leader="none" w:pos="475"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69"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74295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Aligos Therapeutics,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Delaware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0" w:type="dxa"/>
            <w:vAlign w:val="bottom"/>
          </w:tcPr>
          <w:p>
            <w:pPr>
              <w:jc w:val="right"/>
              <w:ind w:right="2304"/>
              <w:spacing w:after="0"/>
              <w:rPr>
                <w:sz w:val="20"/>
                <w:szCs w:val="20"/>
                <w:color w:val="auto"/>
              </w:rPr>
            </w:pPr>
            <w:r>
              <w:rPr>
                <w:rFonts w:ascii="Arial" w:cs="Arial" w:eastAsia="Arial" w:hAnsi="Arial"/>
                <w:sz w:val="18"/>
                <w:szCs w:val="18"/>
                <w:b w:val="1"/>
                <w:bCs w:val="1"/>
                <w:color w:val="auto"/>
              </w:rPr>
              <w:t>82-4724808</w:t>
            </w:r>
          </w:p>
        </w:tc>
      </w:tr>
      <w:tr>
        <w:trPr>
          <w:trHeight w:val="135"/>
        </w:trPr>
        <w:tc>
          <w:tcPr>
            <w:tcW w:w="4240" w:type="dxa"/>
            <w:vAlign w:val="bottom"/>
          </w:tcPr>
          <w:p>
            <w:pPr>
              <w:jc w:val="center"/>
              <w:ind w:left="1301"/>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0" w:type="dxa"/>
            <w:vAlign w:val="bottom"/>
          </w:tcPr>
          <w:p>
            <w:pPr>
              <w:jc w:val="center"/>
              <w:ind w:right="214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240" w:type="dxa"/>
            <w:vAlign w:val="bottom"/>
          </w:tcPr>
          <w:p>
            <w:pPr>
              <w:jc w:val="center"/>
              <w:ind w:left="1321"/>
              <w:spacing w:after="0"/>
              <w:rPr>
                <w:sz w:val="20"/>
                <w:szCs w:val="20"/>
                <w:color w:val="auto"/>
              </w:rPr>
            </w:pPr>
            <w:r>
              <w:rPr>
                <w:rFonts w:ascii="Arial" w:cs="Arial" w:eastAsia="Arial" w:hAnsi="Arial"/>
                <w:sz w:val="13"/>
                <w:szCs w:val="13"/>
                <w:b w:val="1"/>
                <w:bCs w:val="1"/>
                <w:color w:val="auto"/>
                <w:w w:val="88"/>
              </w:rPr>
              <w:t>incorporation or organization)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0" w:type="dxa"/>
            <w:vAlign w:val="bottom"/>
          </w:tcPr>
          <w:p>
            <w:pPr>
              <w:jc w:val="center"/>
              <w:ind w:right="2144"/>
              <w:spacing w:after="0"/>
              <w:rPr>
                <w:sz w:val="20"/>
                <w:szCs w:val="20"/>
                <w:color w:val="auto"/>
              </w:rPr>
            </w:pPr>
            <w:r>
              <w:rPr>
                <w:rFonts w:ascii="Arial" w:cs="Arial" w:eastAsia="Arial" w:hAnsi="Arial"/>
                <w:sz w:val="13"/>
                <w:szCs w:val="13"/>
                <w:b w:val="1"/>
                <w:bCs w:val="1"/>
                <w:color w:val="auto"/>
                <w:w w:val="89"/>
              </w:rPr>
              <w:t>Identification No.)</w:t>
            </w:r>
          </w:p>
        </w:tc>
      </w:tr>
      <w:tr>
        <w:trPr>
          <w:trHeight w:val="268"/>
        </w:trPr>
        <w:tc>
          <w:tcPr>
            <w:tcW w:w="4240" w:type="dxa"/>
            <w:vAlign w:val="bottom"/>
          </w:tcPr>
          <w:p>
            <w:pPr>
              <w:jc w:val="center"/>
              <w:ind w:left="1321"/>
              <w:spacing w:after="0"/>
              <w:rPr>
                <w:sz w:val="20"/>
                <w:szCs w:val="20"/>
                <w:color w:val="auto"/>
              </w:rPr>
            </w:pPr>
            <w:r>
              <w:rPr>
                <w:rFonts w:ascii="Arial" w:cs="Arial" w:eastAsia="Arial" w:hAnsi="Arial"/>
                <w:sz w:val="18"/>
                <w:szCs w:val="18"/>
                <w:b w:val="1"/>
                <w:bCs w:val="1"/>
                <w:color w:val="auto"/>
                <w:w w:val="92"/>
              </w:rPr>
              <w:t>One Corporate Drive, 2nd Floor</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30"/>
        </w:trPr>
        <w:tc>
          <w:tcPr>
            <w:tcW w:w="4240" w:type="dxa"/>
            <w:vAlign w:val="bottom"/>
          </w:tcPr>
          <w:p>
            <w:pPr>
              <w:jc w:val="center"/>
              <w:ind w:left="1301"/>
              <w:spacing w:after="0"/>
              <w:rPr>
                <w:sz w:val="20"/>
                <w:szCs w:val="20"/>
                <w:color w:val="auto"/>
              </w:rPr>
            </w:pPr>
            <w:r>
              <w:rPr>
                <w:rFonts w:ascii="Arial" w:cs="Arial" w:eastAsia="Arial" w:hAnsi="Arial"/>
                <w:sz w:val="18"/>
                <w:szCs w:val="18"/>
                <w:b w:val="1"/>
                <w:bCs w:val="1"/>
                <w:color w:val="auto"/>
                <w:w w:val="90"/>
              </w:rPr>
              <w:t>South San Francisco, California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0" w:type="dxa"/>
            <w:vAlign w:val="bottom"/>
          </w:tcPr>
          <w:p>
            <w:pPr>
              <w:jc w:val="right"/>
              <w:ind w:right="2504"/>
              <w:spacing w:after="0"/>
              <w:rPr>
                <w:sz w:val="20"/>
                <w:szCs w:val="20"/>
                <w:color w:val="auto"/>
              </w:rPr>
            </w:pPr>
            <w:r>
              <w:rPr>
                <w:rFonts w:ascii="Arial" w:cs="Arial" w:eastAsia="Arial" w:hAnsi="Arial"/>
                <w:sz w:val="18"/>
                <w:szCs w:val="18"/>
                <w:b w:val="1"/>
                <w:bCs w:val="1"/>
                <w:color w:val="auto"/>
              </w:rPr>
              <w:t>94080</w:t>
            </w:r>
          </w:p>
        </w:tc>
      </w:tr>
      <w:tr>
        <w:trPr>
          <w:trHeight w:val="164"/>
        </w:trPr>
        <w:tc>
          <w:tcPr>
            <w:tcW w:w="4240" w:type="dxa"/>
            <w:vAlign w:val="bottom"/>
          </w:tcPr>
          <w:p>
            <w:pPr>
              <w:jc w:val="center"/>
              <w:ind w:left="132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0" w:type="dxa"/>
            <w:vAlign w:val="bottom"/>
          </w:tcPr>
          <w:p>
            <w:pPr>
              <w:jc w:val="center"/>
              <w:ind w:right="2144"/>
              <w:spacing w:after="0"/>
              <w:rPr>
                <w:sz w:val="20"/>
                <w:szCs w:val="20"/>
                <w:color w:val="auto"/>
              </w:rPr>
            </w:pPr>
            <w:r>
              <w:rPr>
                <w:rFonts w:ascii="Arial" w:cs="Arial" w:eastAsia="Arial" w:hAnsi="Arial"/>
                <w:sz w:val="13"/>
                <w:szCs w:val="13"/>
                <w:b w:val="1"/>
                <w:bCs w:val="1"/>
                <w:color w:val="auto"/>
                <w:w w:val="90"/>
              </w:rPr>
              <w:t>(Zip Code)</w:t>
            </w:r>
          </w:p>
        </w:tc>
      </w:tr>
      <w:tr>
        <w:trPr>
          <w:trHeight w:val="286"/>
        </w:trPr>
        <w:tc>
          <w:tcPr>
            <w:tcW w:w="112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(800) 466-6059</w:t>
            </w:r>
          </w:p>
        </w:tc>
      </w:tr>
      <w:tr>
        <w:trPr>
          <w:trHeight w:val="135"/>
        </w:trPr>
        <w:tc>
          <w:tcPr>
            <w:tcW w:w="4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400" w:type="dxa"/>
            <w:vAlign w:val="bottom"/>
          </w:tcPr>
          <w:p>
            <w:pPr>
              <w:spacing w:after="0"/>
              <w:rPr>
                <w:sz w:val="11"/>
                <w:szCs w:val="11"/>
                <w:color w:val="auto"/>
              </w:rPr>
            </w:pPr>
          </w:p>
        </w:tc>
      </w:tr>
      <w:tr>
        <w:trPr>
          <w:trHeight w:val="277"/>
        </w:trPr>
        <w:tc>
          <w:tcPr>
            <w:tcW w:w="7840" w:type="dxa"/>
            <w:vAlign w:val="bottom"/>
            <w:gridSpan w:val="7"/>
          </w:tcPr>
          <w:p>
            <w:pPr>
              <w:jc w:val="center"/>
              <w:ind w:left="332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400" w:type="dxa"/>
            <w:vAlign w:val="bottom"/>
          </w:tcPr>
          <w:p>
            <w:pPr>
              <w:spacing w:after="0"/>
              <w:rPr>
                <w:sz w:val="24"/>
                <w:szCs w:val="24"/>
                <w:color w:val="auto"/>
              </w:rPr>
            </w:pPr>
          </w:p>
        </w:tc>
      </w:tr>
      <w:tr>
        <w:trPr>
          <w:trHeight w:val="216"/>
        </w:trPr>
        <w:tc>
          <w:tcPr>
            <w:tcW w:w="4240" w:type="dxa"/>
            <w:vAlign w:val="bottom"/>
          </w:tcPr>
          <w:p>
            <w:pPr>
              <w:jc w:val="center"/>
              <w:ind w:left="81"/>
              <w:spacing w:after="0"/>
              <w:rPr>
                <w:sz w:val="20"/>
                <w:szCs w:val="20"/>
                <w:color w:val="auto"/>
              </w:rPr>
            </w:pPr>
            <w:r>
              <w:rPr>
                <w:rFonts w:ascii="Arial" w:cs="Arial" w:eastAsia="Arial" w:hAnsi="Arial"/>
                <w:sz w:val="13"/>
                <w:szCs w:val="13"/>
                <w:b w:val="1"/>
                <w:bCs w:val="1"/>
                <w:color w:val="auto"/>
                <w:w w:val="85"/>
              </w:rPr>
              <w:t>Title of each class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Arial" w:cs="Arial" w:eastAsia="Arial" w:hAnsi="Arial"/>
                <w:sz w:val="13"/>
                <w:szCs w:val="13"/>
                <w:b w:val="1"/>
                <w:bCs w:val="1"/>
                <w:color w:val="auto"/>
              </w:rPr>
              <w:t>Trading Symbol(s)</w:t>
            </w:r>
          </w:p>
        </w:tc>
        <w:tc>
          <w:tcPr>
            <w:tcW w:w="3400" w:type="dxa"/>
            <w:vAlign w:val="bottom"/>
          </w:tcPr>
          <w:p>
            <w:pPr>
              <w:jc w:val="right"/>
              <w:ind w:right="884"/>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91"/>
        </w:trPr>
        <w:tc>
          <w:tcPr>
            <w:tcW w:w="4240" w:type="dxa"/>
            <w:vAlign w:val="bottom"/>
            <w:tcBorders>
              <w:top w:val="single" w:sz="8" w:color="auto"/>
            </w:tcBorders>
          </w:tcPr>
          <w:p>
            <w:pPr>
              <w:jc w:val="center"/>
              <w:ind w:left="81"/>
              <w:spacing w:after="0" w:line="191" w:lineRule="exact"/>
              <w:rPr>
                <w:sz w:val="20"/>
                <w:szCs w:val="20"/>
                <w:color w:val="auto"/>
              </w:rPr>
            </w:pPr>
            <w:r>
              <w:rPr>
                <w:rFonts w:ascii="Arial" w:cs="Arial" w:eastAsia="Arial" w:hAnsi="Arial"/>
                <w:sz w:val="18"/>
                <w:szCs w:val="18"/>
                <w:b w:val="1"/>
                <w:bCs w:val="1"/>
                <w:color w:val="auto"/>
                <w:w w:val="90"/>
              </w:rPr>
              <w:t>Common Stock, par value, $0.0001 per share</w:t>
            </w: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ALGS</w:t>
            </w:r>
          </w:p>
        </w:tc>
        <w:tc>
          <w:tcPr>
            <w:tcW w:w="100" w:type="dxa"/>
            <w:vAlign w:val="bottom"/>
          </w:tcPr>
          <w:p>
            <w:pPr>
              <w:spacing w:after="0"/>
              <w:rPr>
                <w:sz w:val="16"/>
                <w:szCs w:val="16"/>
                <w:color w:val="auto"/>
              </w:rPr>
            </w:pPr>
          </w:p>
        </w:tc>
        <w:tc>
          <w:tcPr>
            <w:tcW w:w="960" w:type="dxa"/>
            <w:vAlign w:val="bottom"/>
            <w:tcBorders>
              <w:top w:val="single" w:sz="8" w:color="auto"/>
            </w:tcBorders>
            <w:gridSpan w:val="2"/>
          </w:tcPr>
          <w:p>
            <w:pPr>
              <w:spacing w:after="0"/>
              <w:rPr>
                <w:sz w:val="16"/>
                <w:szCs w:val="16"/>
                <w:color w:val="auto"/>
              </w:rPr>
            </w:pPr>
          </w:p>
        </w:tc>
        <w:tc>
          <w:tcPr>
            <w:tcW w:w="3400" w:type="dxa"/>
            <w:vAlign w:val="bottom"/>
            <w:tcBorders>
              <w:top w:val="single" w:sz="8" w:color="auto"/>
            </w:tcBorders>
          </w:tcPr>
          <w:p>
            <w:pPr>
              <w:jc w:val="right"/>
              <w:ind w:right="884"/>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0" w:type="dxa"/>
            <w:vAlign w:val="bottom"/>
          </w:tcPr>
          <w:p>
            <w:pPr>
              <w:jc w:val="right"/>
              <w:ind w:right="904"/>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6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8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jc w:val="both"/>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spacing w:after="0" w:line="207" w:lineRule="exact"/>
        <w:tabs>
          <w:tab w:leader="none" w:pos="8900" w:val="left"/>
          <w:tab w:leader="none" w:pos="95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9" w:lineRule="exact"/>
        <w:rPr>
          <w:sz w:val="24"/>
          <w:szCs w:val="24"/>
          <w:color w:val="auto"/>
        </w:rPr>
      </w:pPr>
    </w:p>
    <w:p>
      <w:pPr>
        <w:ind w:right="480" w:firstLine="510"/>
        <w:spacing w:after="0" w:line="342" w:lineRule="auto"/>
        <w:rPr>
          <w:sz w:val="20"/>
          <w:szCs w:val="20"/>
          <w:color w:val="auto"/>
        </w:rPr>
      </w:pPr>
      <w:r>
        <w:rPr>
          <w:rFonts w:ascii="Arial" w:cs="Arial" w:eastAsia="Arial" w:hAnsi="Arial"/>
          <w:sz w:val="16"/>
          <w:szCs w:val="16"/>
          <w:color w:val="auto"/>
        </w:rPr>
        <w:t>As of May 7, 2021, the registrant had 38,153,690 shares of common stock, $0.0001 par value per share, outstanding, comprised of 35,061,352 shares of voting common stock, $0.0001 par value per share and 3,092,338 shares of non-voting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63" w:lineRule="exact"/>
        <w:rPr>
          <w:sz w:val="20"/>
          <w:szCs w:val="20"/>
          <w:color w:val="auto"/>
        </w:rPr>
      </w:pPr>
    </w:p>
    <w:p>
      <w:pPr>
        <w:ind w:left="1000" w:right="460" w:hanging="493"/>
        <w:spacing w:after="0" w:line="223" w:lineRule="exact"/>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drug candidates or any other future drug candidates, and conducting nonclinical studies and clinical trials, including our ALG</w:t>
      </w:r>
      <w:r>
        <w:rPr>
          <w:rFonts w:ascii="MS PGothic" w:cs="MS PGothic" w:eastAsia="MS PGothic" w:hAnsi="MS PGothic"/>
          <w:sz w:val="18"/>
          <w:szCs w:val="18"/>
          <w:color w:val="auto"/>
        </w:rPr>
        <w:t>‑</w:t>
      </w:r>
      <w:r>
        <w:rPr>
          <w:rFonts w:ascii="Arial" w:cs="Arial" w:eastAsia="Arial" w:hAnsi="Arial"/>
          <w:sz w:val="18"/>
          <w:szCs w:val="18"/>
          <w:color w:val="auto"/>
        </w:rPr>
        <w:t>010133 and ALG</w:t>
      </w:r>
      <w:r>
        <w:rPr>
          <w:rFonts w:ascii="MS PGothic" w:cs="MS PGothic" w:eastAsia="MS PGothic" w:hAnsi="MS PGothic"/>
          <w:sz w:val="18"/>
          <w:szCs w:val="18"/>
          <w:color w:val="auto"/>
        </w:rPr>
        <w:t>‑</w:t>
      </w:r>
      <w:r>
        <w:rPr>
          <w:rFonts w:ascii="Arial" w:cs="Arial" w:eastAsia="Arial" w:hAnsi="Arial"/>
          <w:sz w:val="18"/>
          <w:szCs w:val="18"/>
          <w:color w:val="auto"/>
        </w:rPr>
        <w:t>000184 Phase 1 clinical trials;</w:t>
      </w:r>
    </w:p>
    <w:p>
      <w:pPr>
        <w:spacing w:after="0" w:line="9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our current or future drug candidates, and any related restrictions or limitations;</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 including clinical trials, manufacturing suppliers, collaborators, use of contract research organizations and employees;</w:t>
      </w:r>
    </w:p>
    <w:p>
      <w:pPr>
        <w:spacing w:after="0" w:line="62" w:lineRule="exact"/>
        <w:rPr>
          <w:rFonts w:ascii="Arial" w:cs="Arial" w:eastAsia="Arial" w:hAnsi="Arial"/>
          <w:sz w:val="18"/>
          <w:szCs w:val="18"/>
          <w:color w:val="auto"/>
        </w:rPr>
      </w:pPr>
    </w:p>
    <w:p>
      <w:pPr>
        <w:ind w:left="1000" w:right="380" w:hanging="493"/>
        <w:spacing w:after="0" w:line="223" w:lineRule="exact"/>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ALG</w:t>
      </w:r>
      <w:r>
        <w:rPr>
          <w:rFonts w:ascii="MS PGothic" w:cs="MS PGothic" w:eastAsia="MS PGothic" w:hAnsi="MS PGothic"/>
          <w:sz w:val="18"/>
          <w:szCs w:val="18"/>
          <w:color w:val="auto"/>
        </w:rPr>
        <w:t>‑</w:t>
      </w:r>
      <w:r>
        <w:rPr>
          <w:rFonts w:ascii="Arial" w:cs="Arial" w:eastAsia="Arial" w:hAnsi="Arial"/>
          <w:sz w:val="18"/>
          <w:szCs w:val="18"/>
          <w:color w:val="auto"/>
        </w:rPr>
        <w:t>010133 and ALG</w:t>
      </w:r>
      <w:r>
        <w:rPr>
          <w:rFonts w:ascii="MS PGothic" w:cs="MS PGothic" w:eastAsia="MS PGothic" w:hAnsi="MS PGothic"/>
          <w:sz w:val="18"/>
          <w:szCs w:val="18"/>
          <w:color w:val="auto"/>
        </w:rPr>
        <w:t>‑</w:t>
      </w:r>
      <w:r>
        <w:rPr>
          <w:rFonts w:ascii="Arial" w:cs="Arial" w:eastAsia="Arial" w:hAnsi="Arial"/>
          <w:sz w:val="18"/>
          <w:szCs w:val="18"/>
          <w:color w:val="auto"/>
        </w:rPr>
        <w:t>000184, our other drug candidates and any future drug candidates, if approved for commercial use;</w:t>
      </w:r>
    </w:p>
    <w:p>
      <w:pPr>
        <w:spacing w:after="0" w:line="94"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44"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drug candidates, as well as the pricing and reimbursement of our drug candidates, if approved;</w:t>
      </w:r>
    </w:p>
    <w:p>
      <w:pPr>
        <w:spacing w:after="0" w:line="62"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 candidates and technology, including additional indications for which we may pursue;</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including the projected term of patent protection;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management, scientific and medical personnel;</w:t>
      </w:r>
    </w:p>
    <w:p>
      <w:pPr>
        <w:spacing w:after="0" w:line="144"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drug candidates; and</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5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right="20" w:firstLine="51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225" w:lineRule="exact"/>
        <w:rPr>
          <w:sz w:val="20"/>
          <w:szCs w:val="20"/>
          <w:color w:val="auto"/>
        </w:rPr>
      </w:pPr>
    </w:p>
    <w:p>
      <w:pPr>
        <w:ind w:left="1500" w:hanging="750"/>
        <w:spacing w:after="0" w:line="311" w:lineRule="auto"/>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148" w:lineRule="exact"/>
        <w:rPr>
          <w:rFonts w:ascii="Arial" w:cs="Arial" w:eastAsia="Arial" w:hAnsi="Arial"/>
          <w:sz w:val="16"/>
          <w:szCs w:val="16"/>
          <w:color w:val="auto"/>
        </w:rPr>
      </w:pPr>
    </w:p>
    <w:p>
      <w:pPr>
        <w:ind w:left="1500" w:hanging="750"/>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252" w:lineRule="exact"/>
        <w:rPr>
          <w:rFonts w:ascii="Arial" w:cs="Arial" w:eastAsia="Arial" w:hAnsi="Arial"/>
          <w:sz w:val="18"/>
          <w:szCs w:val="18"/>
          <w:color w:val="auto"/>
        </w:rPr>
      </w:pPr>
    </w:p>
    <w:p>
      <w:pPr>
        <w:jc w:val="both"/>
        <w:ind w:left="1500" w:right="380" w:hanging="750"/>
        <w:spacing w:after="0" w:line="263"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83" w:lineRule="exact"/>
        <w:rPr>
          <w:rFonts w:ascii="Arial" w:cs="Arial" w:eastAsia="Arial" w:hAnsi="Arial"/>
          <w:sz w:val="18"/>
          <w:szCs w:val="18"/>
          <w:color w:val="auto"/>
        </w:rPr>
      </w:pPr>
    </w:p>
    <w:p>
      <w:pPr>
        <w:ind w:left="1500" w:right="20" w:hanging="750"/>
        <w:spacing w:after="0" w:line="259"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186" w:lineRule="exact"/>
        <w:rPr>
          <w:rFonts w:ascii="Arial" w:cs="Arial" w:eastAsia="Arial" w:hAnsi="Arial"/>
          <w:sz w:val="18"/>
          <w:szCs w:val="18"/>
          <w:color w:val="auto"/>
        </w:rPr>
      </w:pPr>
    </w:p>
    <w:p>
      <w:pPr>
        <w:ind w:left="1500" w:right="120" w:hanging="750"/>
        <w:spacing w:after="0" w:line="286" w:lineRule="auto"/>
        <w:tabs>
          <w:tab w:leader="none" w:pos="1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165" w:lineRule="exact"/>
        <w:rPr>
          <w:rFonts w:ascii="Arial" w:cs="Arial" w:eastAsia="Arial" w:hAnsi="Arial"/>
          <w:sz w:val="17"/>
          <w:szCs w:val="17"/>
          <w:color w:val="auto"/>
        </w:rPr>
      </w:pPr>
    </w:p>
    <w:p>
      <w:pPr>
        <w:ind w:left="1500" w:right="60" w:hanging="750"/>
        <w:spacing w:after="0" w:line="311" w:lineRule="auto"/>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148" w:lineRule="exact"/>
        <w:rPr>
          <w:rFonts w:ascii="Arial" w:cs="Arial" w:eastAsia="Arial" w:hAnsi="Arial"/>
          <w:sz w:val="16"/>
          <w:szCs w:val="16"/>
          <w:color w:val="auto"/>
        </w:rPr>
      </w:pPr>
    </w:p>
    <w:p>
      <w:pPr>
        <w:ind w:left="1500" w:right="500" w:hanging="750"/>
        <w:spacing w:after="0" w:line="277"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intend to develop our current drug candidates, and expect to develop other future drug candidates, in combination with other therapies, which exposes us to additional risks.</w:t>
      </w:r>
    </w:p>
    <w:p>
      <w:pPr>
        <w:spacing w:after="0" w:line="170" w:lineRule="exact"/>
        <w:rPr>
          <w:rFonts w:ascii="Arial" w:cs="Arial" w:eastAsia="Arial" w:hAnsi="Arial"/>
          <w:sz w:val="18"/>
          <w:szCs w:val="18"/>
          <w:color w:val="auto"/>
        </w:rPr>
      </w:pPr>
    </w:p>
    <w:p>
      <w:pPr>
        <w:ind w:left="1500" w:right="240" w:hanging="750"/>
        <w:spacing w:after="0" w:line="277" w:lineRule="auto"/>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170" w:lineRule="exact"/>
        <w:rPr>
          <w:rFonts w:ascii="Arial" w:cs="Arial" w:eastAsia="Arial" w:hAnsi="Arial"/>
          <w:sz w:val="18"/>
          <w:szCs w:val="18"/>
          <w:color w:val="auto"/>
        </w:rPr>
      </w:pPr>
    </w:p>
    <w:p>
      <w:pPr>
        <w:ind w:left="1500" w:right="40" w:hanging="750"/>
        <w:spacing w:after="0" w:line="311" w:lineRule="auto"/>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and our collaborators are unable to obtain and maintain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148" w:lineRule="exact"/>
        <w:rPr>
          <w:rFonts w:ascii="Arial" w:cs="Arial" w:eastAsia="Arial" w:hAnsi="Arial"/>
          <w:sz w:val="16"/>
          <w:szCs w:val="16"/>
          <w:color w:val="auto"/>
        </w:rPr>
      </w:pPr>
    </w:p>
    <w:p>
      <w:pPr>
        <w:ind w:left="1500" w:right="200" w:hanging="750"/>
        <w:spacing w:after="0" w:line="308" w:lineRule="auto"/>
        <w:tabs>
          <w:tab w:leader="none" w:pos="1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ind w:left="1500" w:right="380" w:hanging="750"/>
        <w:spacing w:after="0" w:line="279" w:lineRule="auto"/>
        <w:tabs>
          <w:tab w:leader="none" w:pos="1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171" w:lineRule="exact"/>
        <w:rPr>
          <w:rFonts w:ascii="Arial" w:cs="Arial" w:eastAsia="Arial" w:hAnsi="Arial"/>
          <w:sz w:val="17"/>
          <w:szCs w:val="17"/>
          <w:color w:val="auto"/>
        </w:rPr>
      </w:pPr>
    </w:p>
    <w:p>
      <w:pPr>
        <w:ind w:left="1500" w:right="280" w:hanging="750"/>
        <w:spacing w:after="0" w:line="277"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FINANCIAL INFORMATION</w:t>
              </w:r>
            </w:hyperlink>
          </w:p>
        </w:tc>
        <w:tc>
          <w:tcPr>
            <w:tcW w:w="7040" w:type="dxa"/>
            <w:vAlign w:val="bottom"/>
            <w:gridSpan w:val="12"/>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Balance Sheets as of March 31, 2021 and December 31, 2020</w:t>
              </w:r>
            </w:hyperlink>
          </w:p>
        </w:tc>
        <w:tc>
          <w:tcPr>
            <w:tcW w:w="302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00" w:type="dxa"/>
            <w:vAlign w:val="bottom"/>
            <w:gridSpan w:val="22"/>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Operations and Comprehensive Loss for the three months ended March 31, 2021 and</w:t>
              </w:r>
            </w:hyperlink>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2020</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Redeemable Convertible Preferred Stock and Stockholders’ Equity (Deficit) for the three months</w:t>
              </w:r>
            </w:hyperlink>
          </w:p>
        </w:tc>
        <w:tc>
          <w:tcPr>
            <w:tcW w:w="2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8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ended March 31, 2021 and 2020</w:t>
              </w:r>
            </w:hyperlink>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00" w:type="dxa"/>
            <w:vAlign w:val="bottom"/>
            <w:gridSpan w:val="2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for the three months ended March 31, 2021 and 2020</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80" w:type="dxa"/>
            <w:vAlign w:val="bottom"/>
            <w:tcBorders>
              <w:top w:val="single" w:sz="8" w:color="0000EE"/>
            </w:tcBorders>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Unaudited Condensed Consolidated Financial Statements</w:t>
              </w:r>
            </w:hyperlink>
          </w:p>
        </w:tc>
        <w:tc>
          <w:tcPr>
            <w:tcW w:w="17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Controls and Procedures</w:t>
              </w:r>
            </w:hyperlink>
          </w:p>
        </w:tc>
        <w:tc>
          <w:tcPr>
            <w:tcW w:w="750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742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Defaults Upon Senior Securities</w:t>
              </w:r>
            </w:hyperlink>
          </w:p>
        </w:tc>
        <w:tc>
          <w:tcPr>
            <w:tcW w:w="496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24"/>
                <w:szCs w:val="24"/>
                <w:color w:val="auto"/>
              </w:rPr>
            </w:pPr>
          </w:p>
        </w:tc>
        <w:tc>
          <w:tcPr>
            <w:tcW w:w="698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Other Information</w:t>
              </w:r>
            </w:hyperlink>
          </w:p>
        </w:tc>
        <w:tc>
          <w:tcPr>
            <w:tcW w:w="798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7"/>
        </w:trPr>
        <w:tc>
          <w:tcPr>
            <w:tcW w:w="1140" w:type="dxa"/>
            <w:vAlign w:val="bottom"/>
            <w:gridSpan w:val="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ALIGOS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6"/>
        </w:trPr>
        <w:tc>
          <w:tcPr>
            <w:tcW w:w="7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200,362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220,383</w:t>
            </w:r>
          </w:p>
        </w:tc>
        <w:tc>
          <w:tcPr>
            <w:tcW w:w="12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r>
      <w:tr>
        <w:trPr>
          <w:trHeight w:val="229"/>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23,130</w:t>
            </w: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Borders>
              <w:bottom w:val="single" w:sz="8" w:color="CFF0FC"/>
            </w:tcBorders>
          </w:tcPr>
          <w:p>
            <w:pPr>
              <w:spacing w:after="0"/>
              <w:rPr>
                <w:sz w:val="19"/>
                <w:szCs w:val="19"/>
                <w:color w:val="auto"/>
              </w:rPr>
            </w:pPr>
          </w:p>
        </w:tc>
      </w:tr>
      <w:tr>
        <w:trPr>
          <w:trHeight w:val="223"/>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219,826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250,017</w:t>
            </w:r>
          </w:p>
        </w:tc>
        <w:tc>
          <w:tcPr>
            <w:tcW w:w="120" w:type="dxa"/>
            <w:vAlign w:val="bottom"/>
            <w:shd w:val="clear" w:color="auto" w:fill="CFF0FC"/>
          </w:tcPr>
          <w:p>
            <w:pPr>
              <w:spacing w:after="0"/>
              <w:rPr>
                <w:sz w:val="19"/>
                <w:szCs w:val="19"/>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6,901</w:t>
            </w: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FF0FC"/>
            </w:tcBorders>
          </w:tcPr>
          <w:p>
            <w:pPr>
              <w:spacing w:after="0"/>
              <w:rPr>
                <w:sz w:val="19"/>
                <w:szCs w:val="19"/>
                <w:color w:val="auto"/>
              </w:rPr>
            </w:pPr>
          </w:p>
        </w:tc>
      </w:tr>
      <w:tr>
        <w:trPr>
          <w:trHeight w:val="223"/>
        </w:trPr>
        <w:tc>
          <w:tcPr>
            <w:tcW w:w="7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234,540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265,302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840" w:type="dxa"/>
            <w:vAlign w:val="bottom"/>
            <w:shd w:val="clear" w:color="auto" w:fill="CFF0FC"/>
          </w:tcPr>
          <w:p>
            <w:pPr>
              <w:ind w:left="2320"/>
              <w:spacing w:after="0"/>
              <w:rPr>
                <w:sz w:val="20"/>
                <w:szCs w:val="20"/>
                <w:color w:val="auto"/>
              </w:rPr>
            </w:pPr>
            <w:r>
              <w:rPr>
                <w:rFonts w:ascii="Arial" w:cs="Arial" w:eastAsia="Arial" w:hAnsi="Arial"/>
                <w:sz w:val="18"/>
                <w:szCs w:val="18"/>
                <w:b w:val="1"/>
                <w:bCs w:val="1"/>
                <w:color w:val="auto"/>
              </w:rPr>
              <w:t>LIABILITIES, PREFERRED STOCK,</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Pr>
          <w:p>
            <w:pPr>
              <w:ind w:left="2460"/>
              <w:spacing w:after="0"/>
              <w:rPr>
                <w:sz w:val="20"/>
                <w:szCs w:val="20"/>
                <w:color w:val="auto"/>
              </w:rPr>
            </w:pPr>
            <w:r>
              <w:rPr>
                <w:rFonts w:ascii="Arial" w:cs="Arial" w:eastAsia="Arial" w:hAnsi="Arial"/>
                <w:sz w:val="18"/>
                <w:szCs w:val="18"/>
                <w:b w:val="1"/>
                <w:bCs w:val="1"/>
                <w:color w:val="auto"/>
              </w:rPr>
              <w:t>AND 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2,810</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16,564</w:t>
            </w:r>
          </w:p>
        </w:tc>
        <w:tc>
          <w:tcPr>
            <w:tcW w:w="120" w:type="dxa"/>
            <w:vAlign w:val="bottom"/>
            <w:shd w:val="clear" w:color="auto" w:fill="CFF0FC"/>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liabilities, current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r>
      <w:tr>
        <w:trPr>
          <w:trHeight w:val="230"/>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revenue from collaborations, current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7,891</w:t>
            </w:r>
          </w:p>
        </w:tc>
        <w:tc>
          <w:tcPr>
            <w:tcW w:w="120" w:type="dxa"/>
            <w:vAlign w:val="bottom"/>
            <w:tcBorders>
              <w:bottom w:val="single" w:sz="8" w:color="CFF0FC"/>
            </w:tcBorders>
          </w:tcPr>
          <w:p>
            <w:pPr>
              <w:spacing w:after="0"/>
              <w:rPr>
                <w:sz w:val="19"/>
                <w:szCs w:val="19"/>
                <w:color w:val="auto"/>
              </w:rPr>
            </w:pPr>
          </w:p>
        </w:tc>
      </w:tr>
      <w:tr>
        <w:trPr>
          <w:trHeight w:val="223"/>
        </w:trPr>
        <w:tc>
          <w:tcPr>
            <w:tcW w:w="7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30,274</w:t>
            </w:r>
          </w:p>
        </w:tc>
        <w:tc>
          <w:tcPr>
            <w:tcW w:w="120" w:type="dxa"/>
            <w:vAlign w:val="bottom"/>
            <w:shd w:val="clear" w:color="auto" w:fill="CFF0FC"/>
          </w:tcPr>
          <w:p>
            <w:pPr>
              <w:spacing w:after="0"/>
              <w:rPr>
                <w:sz w:val="19"/>
                <w:szCs w:val="19"/>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10,183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 net of current portion</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from collaborations, net of current portion</w:t>
            </w: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w:t>
            </w:r>
          </w:p>
        </w:tc>
        <w:tc>
          <w:tcPr>
            <w:tcW w:w="120" w:type="dxa"/>
            <w:vAlign w:val="bottom"/>
            <w:shd w:val="clear" w:color="auto" w:fill="CFF0FC"/>
          </w:tcPr>
          <w:p>
            <w:pPr>
              <w:spacing w:after="0"/>
              <w:rPr>
                <w:sz w:val="19"/>
                <w:szCs w:val="19"/>
                <w:color w:val="auto"/>
              </w:rPr>
            </w:pPr>
          </w:p>
        </w:tc>
      </w:tr>
      <w:tr>
        <w:trPr>
          <w:trHeight w:val="223"/>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45,263</w:t>
            </w:r>
          </w:p>
        </w:tc>
        <w:tc>
          <w:tcPr>
            <w:tcW w:w="120" w:type="dxa"/>
            <w:vAlign w:val="bottom"/>
            <w:tcBorders>
              <w:bottom w:val="single" w:sz="8" w:color="CFF0FC"/>
            </w:tcBorders>
          </w:tcPr>
          <w:p>
            <w:pPr>
              <w:spacing w:after="0"/>
              <w:rPr>
                <w:sz w:val="19"/>
                <w:szCs w:val="19"/>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w w:val="94"/>
              </w:rPr>
              <w:t>Preferred Stock, $0.0001 par value; 10,000,000 shares authorized as of March 31, 2021 and December</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31, 2020; no shares issued and outstanding as of March 31, 2021 and December 31, 2020</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29"/>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840" w:type="dxa"/>
            <w:vAlign w:val="bottom"/>
          </w:tcPr>
          <w:p>
            <w:pPr>
              <w:ind w:left="260"/>
              <w:spacing w:after="0"/>
              <w:rPr>
                <w:sz w:val="20"/>
                <w:szCs w:val="20"/>
                <w:color w:val="auto"/>
              </w:rPr>
            </w:pPr>
            <w:r>
              <w:rPr>
                <w:rFonts w:ascii="Arial" w:cs="Arial" w:eastAsia="Arial" w:hAnsi="Arial"/>
                <w:sz w:val="18"/>
                <w:szCs w:val="18"/>
                <w:color w:val="auto"/>
                <w:w w:val="94"/>
              </w:rPr>
              <w:t>Common stock, $0.0001 par value; 320,000,000 shares authorized as of March 31, 2021 (unaudited)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tcPr>
          <w:p>
            <w:pPr>
              <w:ind w:left="260"/>
              <w:spacing w:after="0"/>
              <w:rPr>
                <w:sz w:val="20"/>
                <w:szCs w:val="20"/>
                <w:color w:val="auto"/>
              </w:rPr>
            </w:pPr>
            <w:r>
              <w:rPr>
                <w:rFonts w:ascii="Arial" w:cs="Arial" w:eastAsia="Arial" w:hAnsi="Arial"/>
                <w:sz w:val="18"/>
                <w:szCs w:val="18"/>
                <w:color w:val="auto"/>
                <w:w w:val="92"/>
              </w:rPr>
              <w:t>and December 31, 2020, respectively; 38,147,205 and 38,120,606 shares issued and outstanding as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March 31, 2021 (unaudited) and December 31, 2020, respectively</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397,857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394,963</w:t>
            </w: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(202,414)</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(174,740)</w:t>
            </w:r>
          </w:p>
        </w:tc>
      </w:tr>
      <w:tr>
        <w:trPr>
          <w:trHeight w:val="230"/>
        </w:trPr>
        <w:tc>
          <w:tcPr>
            <w:tcW w:w="7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w:t>
            </w:r>
          </w:p>
        </w:tc>
      </w:tr>
      <w:tr>
        <w:trPr>
          <w:trHeight w:val="223"/>
        </w:trPr>
        <w:tc>
          <w:tcPr>
            <w:tcW w:w="7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195,220</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220,039</w:t>
            </w:r>
          </w:p>
        </w:tc>
        <w:tc>
          <w:tcPr>
            <w:tcW w:w="120" w:type="dxa"/>
            <w:vAlign w:val="bottom"/>
            <w:tcBorders>
              <w:bottom w:val="single" w:sz="8" w:color="CFF0FC"/>
            </w:tcBorders>
          </w:tcPr>
          <w:p>
            <w:pPr>
              <w:spacing w:after="0"/>
              <w:rPr>
                <w:sz w:val="19"/>
                <w:szCs w:val="19"/>
                <w:color w:val="auto"/>
              </w:rPr>
            </w:pPr>
          </w:p>
        </w:tc>
      </w:tr>
      <w:tr>
        <w:trPr>
          <w:trHeight w:val="223"/>
        </w:trPr>
        <w:tc>
          <w:tcPr>
            <w:tcW w:w="7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preferred stock, and stockholders’ equity (deficit)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234,540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265,302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 from collaborations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Loss before income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(27,674)</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gain (loss):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Unrealized gain (loss) on available-for-sale securities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pension plans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basic and diluted</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37,434,261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CHANGES IN REDEEMABLE CONVERTIBLE PREFERRED STOCK AND STOCKHOLDERS’ EQUITY (DEFICIT)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8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w w:val="94"/>
              </w:rPr>
              <w:t>Three Months Ended March 31, 2021</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272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Paid-in</w:t>
            </w:r>
          </w:p>
        </w:tc>
        <w:tc>
          <w:tcPr>
            <w:tcW w:w="300" w:type="dxa"/>
            <w:vAlign w:val="bottom"/>
          </w:tcPr>
          <w:p>
            <w:pPr>
              <w:spacing w:after="0"/>
              <w:rPr>
                <w:sz w:val="13"/>
                <w:szCs w:val="13"/>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2720" w:type="dxa"/>
            <w:vAlign w:val="bottom"/>
            <w:tcBorders>
              <w:bottom w:val="single" w:sz="8" w:color="CFF0FC"/>
            </w:tcBorders>
          </w:tcPr>
          <w:p>
            <w:pPr>
              <w:spacing w:after="0"/>
              <w:rPr>
                <w:sz w:val="12"/>
                <w:szCs w:val="12"/>
                <w:color w:val="auto"/>
              </w:rPr>
            </w:pPr>
          </w:p>
        </w:tc>
        <w:tc>
          <w:tcPr>
            <w:tcW w:w="1180" w:type="dxa"/>
            <w:vAlign w:val="bottom"/>
            <w:tcBorders>
              <w:bottom w:val="single" w:sz="8" w:color="auto"/>
            </w:tcBorders>
          </w:tcPr>
          <w:p>
            <w:pPr>
              <w:jc w:val="right"/>
              <w:ind w:right="343"/>
              <w:spacing w:after="0" w:line="142" w:lineRule="exact"/>
              <w:rPr>
                <w:sz w:val="20"/>
                <w:szCs w:val="20"/>
                <w:color w:val="auto"/>
              </w:rPr>
            </w:pPr>
            <w:r>
              <w:rPr>
                <w:rFonts w:ascii="Arial" w:cs="Arial" w:eastAsia="Arial" w:hAnsi="Arial"/>
                <w:sz w:val="13"/>
                <w:szCs w:val="13"/>
                <w:b w:val="1"/>
                <w:bCs w:val="1"/>
                <w:color w:val="auto"/>
              </w:rPr>
              <w:t>Shares</w:t>
            </w:r>
          </w:p>
        </w:tc>
        <w:tc>
          <w:tcPr>
            <w:tcW w:w="26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26"/>
              <w:spacing w:after="0" w:line="142"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3"/>
              <w:spacing w:after="0" w:line="142" w:lineRule="exact"/>
              <w:rPr>
                <w:sz w:val="20"/>
                <w:szCs w:val="20"/>
                <w:color w:val="auto"/>
              </w:rPr>
            </w:pPr>
            <w:r>
              <w:rPr>
                <w:rFonts w:ascii="Arial" w:cs="Arial" w:eastAsia="Arial" w:hAnsi="Arial"/>
                <w:sz w:val="13"/>
                <w:szCs w:val="13"/>
                <w:b w:val="1"/>
                <w:bCs w:val="1"/>
                <w:color w:val="auto"/>
              </w:rPr>
              <w:t>Deficit</w:t>
            </w:r>
          </w:p>
        </w:tc>
        <w:tc>
          <w:tcPr>
            <w:tcW w:w="2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44"/>
              <w:spacing w:after="0" w:line="142"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04"/>
              <w:spacing w:after="0" w:line="142" w:lineRule="exact"/>
              <w:rPr>
                <w:sz w:val="20"/>
                <w:szCs w:val="20"/>
                <w:color w:val="auto"/>
              </w:rPr>
            </w:pPr>
            <w:r>
              <w:rPr>
                <w:rFonts w:ascii="Arial" w:cs="Arial" w:eastAsia="Arial" w:hAnsi="Arial"/>
                <w:sz w:val="13"/>
                <w:szCs w:val="13"/>
                <w:b w:val="1"/>
                <w:bCs w:val="1"/>
                <w:color w:val="auto"/>
                <w:w w:val="90"/>
              </w:rPr>
              <w:t>Equity</w:t>
            </w:r>
          </w:p>
        </w:tc>
        <w:tc>
          <w:tcPr>
            <w:tcW w:w="120" w:type="dxa"/>
            <w:vAlign w:val="bottom"/>
            <w:tcBorders>
              <w:bottom w:val="single" w:sz="8" w:color="CFF0FC"/>
            </w:tcBorders>
          </w:tcPr>
          <w:p>
            <w:pPr>
              <w:spacing w:after="0"/>
              <w:rPr>
                <w:sz w:val="12"/>
                <w:szCs w:val="12"/>
                <w:color w:val="auto"/>
              </w:rPr>
            </w:pPr>
          </w:p>
        </w:tc>
      </w:tr>
      <w:tr>
        <w:trPr>
          <w:trHeight w:val="209"/>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Balance as of December 31, 2020</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38,120,606</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394,963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(174,740)</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220,039</w:t>
            </w:r>
          </w:p>
        </w:tc>
        <w:tc>
          <w:tcPr>
            <w:tcW w:w="120" w:type="dxa"/>
            <w:vAlign w:val="bottom"/>
            <w:shd w:val="clear" w:color="auto" w:fill="CFF0FC"/>
          </w:tcPr>
          <w:p>
            <w:pPr>
              <w:spacing w:after="0"/>
              <w:rPr>
                <w:sz w:val="18"/>
                <w:szCs w:val="18"/>
                <w:color w:val="auto"/>
              </w:rPr>
            </w:pPr>
          </w:p>
        </w:tc>
      </w:tr>
      <w:tr>
        <w:trPr>
          <w:trHeight w:val="206"/>
        </w:trPr>
        <w:tc>
          <w:tcPr>
            <w:tcW w:w="272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720" w:type="dxa"/>
            <w:vAlign w:val="bottom"/>
          </w:tcPr>
          <w:p>
            <w:pPr>
              <w:ind w:left="120"/>
              <w:spacing w:after="0"/>
              <w:rPr>
                <w:sz w:val="20"/>
                <w:szCs w:val="20"/>
                <w:color w:val="auto"/>
              </w:rPr>
            </w:pPr>
            <w:r>
              <w:rPr>
                <w:rFonts w:ascii="Arial" w:cs="Arial" w:eastAsia="Arial" w:hAnsi="Arial"/>
                <w:sz w:val="16"/>
                <w:szCs w:val="16"/>
                <w:color w:val="auto"/>
              </w:rPr>
              <w:t>upon exercise of stock</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720" w:type="dxa"/>
            <w:vAlign w:val="bottom"/>
          </w:tcPr>
          <w:p>
            <w:pPr>
              <w:ind w:left="120"/>
              <w:spacing w:after="0"/>
              <w:rPr>
                <w:sz w:val="20"/>
                <w:szCs w:val="20"/>
                <w:color w:val="auto"/>
              </w:rPr>
            </w:pPr>
            <w:r>
              <w:rPr>
                <w:rFonts w:ascii="Arial" w:cs="Arial" w:eastAsia="Arial" w:hAnsi="Arial"/>
                <w:sz w:val="16"/>
                <w:szCs w:val="16"/>
                <w:color w:val="auto"/>
              </w:rPr>
              <w:t>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26,599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r>
      <w:tr>
        <w:trPr>
          <w:trHeight w:val="219"/>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FF0FC"/>
          </w:tcPr>
          <w:p>
            <w:pPr>
              <w:spacing w:after="0"/>
              <w:rPr>
                <w:sz w:val="19"/>
                <w:szCs w:val="19"/>
                <w:color w:val="auto"/>
              </w:rPr>
            </w:pPr>
          </w:p>
        </w:tc>
      </w:tr>
      <w:tr>
        <w:trPr>
          <w:trHeight w:val="206"/>
        </w:trPr>
        <w:tc>
          <w:tcPr>
            <w:tcW w:w="2720" w:type="dxa"/>
            <w:vAlign w:val="bottom"/>
          </w:tcPr>
          <w:p>
            <w:pPr>
              <w:spacing w:after="0"/>
              <w:rPr>
                <w:sz w:val="20"/>
                <w:szCs w:val="20"/>
                <w:color w:val="auto"/>
              </w:rPr>
            </w:pPr>
            <w:r>
              <w:rPr>
                <w:rFonts w:ascii="Arial" w:cs="Arial" w:eastAsia="Arial" w:hAnsi="Arial"/>
                <w:sz w:val="16"/>
                <w:szCs w:val="16"/>
                <w:color w:val="auto"/>
              </w:rPr>
              <w:t>Vesting of early exercised</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2720" w:type="dxa"/>
            <w:vAlign w:val="bottom"/>
          </w:tcPr>
          <w:p>
            <w:pPr>
              <w:ind w:left="120"/>
              <w:spacing w:after="0"/>
              <w:rPr>
                <w:sz w:val="20"/>
                <w:szCs w:val="20"/>
                <w:color w:val="auto"/>
              </w:rPr>
            </w:pPr>
            <w:r>
              <w:rPr>
                <w:rFonts w:ascii="Arial" w:cs="Arial" w:eastAsia="Arial" w:hAnsi="Arial"/>
                <w:sz w:val="16"/>
                <w:szCs w:val="16"/>
                <w:color w:val="auto"/>
              </w:rPr>
              <w:t>common 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r>
      <w:tr>
        <w:trPr>
          <w:trHeight w:val="219"/>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w:t>
            </w:r>
          </w:p>
        </w:tc>
      </w:tr>
      <w:tr>
        <w:trPr>
          <w:trHeight w:val="213"/>
        </w:trPr>
        <w:tc>
          <w:tcPr>
            <w:tcW w:w="272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(27,674)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(27,674)</w:t>
            </w:r>
          </w:p>
        </w:tc>
      </w:tr>
      <w:tr>
        <w:trPr>
          <w:trHeight w:val="20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 March 31,</w:t>
            </w: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9"/>
        </w:trPr>
        <w:tc>
          <w:tcPr>
            <w:tcW w:w="2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2021</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38,147,205</w:t>
            </w:r>
          </w:p>
        </w:tc>
        <w:tc>
          <w:tcPr>
            <w:tcW w:w="1200" w:type="dxa"/>
            <w:vAlign w:val="bottom"/>
            <w:gridSpan w:val="2"/>
            <w:shd w:val="clear" w:color="auto" w:fill="CFF0FC"/>
          </w:tcPr>
          <w:p>
            <w:pPr>
              <w:jc w:val="right"/>
              <w:ind w:right="797"/>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397,857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(202,414)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(227)</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195,220</w:t>
            </w:r>
          </w:p>
        </w:tc>
        <w:tc>
          <w:tcPr>
            <w:tcW w:w="120" w:type="dxa"/>
            <w:vAlign w:val="bottom"/>
            <w:shd w:val="clear" w:color="auto" w:fill="CFF0FC"/>
          </w:tcPr>
          <w:p>
            <w:pPr>
              <w:spacing w:after="0"/>
              <w:rPr>
                <w:sz w:val="18"/>
                <w:szCs w:val="18"/>
                <w:color w:val="auto"/>
              </w:rPr>
            </w:pPr>
          </w:p>
        </w:tc>
      </w:tr>
      <w:tr>
        <w:trPr>
          <w:trHeight w:val="20"/>
        </w:trPr>
        <w:tc>
          <w:tcPr>
            <w:tcW w:w="27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4"/>
        </w:trPr>
        <w:tc>
          <w:tcPr>
            <w:tcW w:w="1580" w:type="dxa"/>
            <w:vAlign w:val="bottom"/>
          </w:tcPr>
          <w:p>
            <w:pPr>
              <w:spacing w:after="0"/>
              <w:rPr>
                <w:sz w:val="14"/>
                <w:szCs w:val="14"/>
                <w:color w:val="auto"/>
              </w:rPr>
            </w:pPr>
          </w:p>
        </w:tc>
        <w:tc>
          <w:tcPr>
            <w:tcW w:w="2040" w:type="dxa"/>
            <w:vAlign w:val="bottom"/>
            <w:gridSpan w:val="4"/>
            <w:vMerge w:val="restart"/>
          </w:tcPr>
          <w:p>
            <w:pPr>
              <w:jc w:val="center"/>
              <w:ind w:right="280"/>
              <w:spacing w:after="0"/>
              <w:rPr>
                <w:sz w:val="20"/>
                <w:szCs w:val="20"/>
                <w:color w:val="auto"/>
              </w:rPr>
            </w:pPr>
            <w:r>
              <w:rPr>
                <w:rFonts w:ascii="Arial" w:cs="Arial" w:eastAsia="Arial" w:hAnsi="Arial"/>
                <w:sz w:val="13"/>
                <w:szCs w:val="13"/>
                <w:b w:val="1"/>
                <w:bCs w:val="1"/>
                <w:color w:val="auto"/>
                <w:w w:val="84"/>
              </w:rPr>
              <w:t>Series A Redeemable</w:t>
            </w:r>
          </w:p>
        </w:tc>
        <w:tc>
          <w:tcPr>
            <w:tcW w:w="16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Series B-1 Redeemable</w:t>
            </w:r>
          </w:p>
        </w:tc>
        <w:tc>
          <w:tcPr>
            <w:tcW w:w="2140" w:type="dxa"/>
            <w:vAlign w:val="bottom"/>
            <w:gridSpan w:val="7"/>
          </w:tcPr>
          <w:p>
            <w:pPr>
              <w:ind w:left="80"/>
              <w:spacing w:after="0"/>
              <w:rPr>
                <w:sz w:val="20"/>
                <w:szCs w:val="20"/>
                <w:color w:val="auto"/>
              </w:rPr>
            </w:pPr>
            <w:r>
              <w:rPr>
                <w:rFonts w:ascii="Arial" w:cs="Arial" w:eastAsia="Arial" w:hAnsi="Arial"/>
                <w:sz w:val="13"/>
                <w:szCs w:val="13"/>
                <w:b w:val="1"/>
                <w:bCs w:val="1"/>
                <w:color w:val="auto"/>
                <w:w w:val="90"/>
              </w:rPr>
              <w:t>Three Months Ended March 31, 2020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204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6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Other</w:t>
            </w: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204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6"/>
              </w:rPr>
              <w:t>Preferred Stock</w:t>
            </w:r>
          </w:p>
        </w:tc>
        <w:tc>
          <w:tcPr>
            <w:tcW w:w="1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Paid-in</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5"/>
              </w:rPr>
              <w:t>Accumulated</w:t>
            </w:r>
          </w:p>
        </w:tc>
        <w:tc>
          <w:tcPr>
            <w:tcW w:w="11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Comprehensive</w:t>
            </w:r>
          </w:p>
        </w:tc>
        <w:tc>
          <w:tcPr>
            <w:tcW w:w="8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8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3"/>
                <w:szCs w:val="13"/>
                <w:b w:val="1"/>
                <w:bCs w:val="1"/>
                <w:color w:val="auto"/>
              </w:rPr>
              <w:t>Shares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2"/>
                <w:szCs w:val="12"/>
                <w:color w:val="auto"/>
              </w:rPr>
            </w:pPr>
          </w:p>
        </w:tc>
        <w:tc>
          <w:tcPr>
            <w:tcW w:w="9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70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2"/>
              </w:rPr>
              <w:t>Capital</w:t>
            </w:r>
          </w:p>
        </w:tc>
        <w:tc>
          <w:tcPr>
            <w:tcW w:w="880" w:type="dxa"/>
            <w:vAlign w:val="bottom"/>
            <w:gridSpan w:val="2"/>
          </w:tcPr>
          <w:p>
            <w:pPr>
              <w:jc w:val="right"/>
              <w:ind w:right="340"/>
              <w:spacing w:after="0" w:line="142"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1060" w:type="dxa"/>
            <w:vAlign w:val="bottom"/>
            <w:gridSpan w:val="3"/>
          </w:tcPr>
          <w:p>
            <w:pPr>
              <w:jc w:val="center"/>
              <w:ind w:right="220"/>
              <w:spacing w:after="0" w:line="142" w:lineRule="exact"/>
              <w:rPr>
                <w:sz w:val="20"/>
                <w:szCs w:val="20"/>
                <w:color w:val="auto"/>
              </w:rPr>
            </w:pPr>
            <w:r>
              <w:rPr>
                <w:rFonts w:ascii="Arial" w:cs="Arial" w:eastAsia="Arial" w:hAnsi="Arial"/>
                <w:sz w:val="13"/>
                <w:szCs w:val="13"/>
                <w:b w:val="1"/>
                <w:bCs w:val="1"/>
                <w:color w:val="auto"/>
                <w:w w:val="86"/>
              </w:rPr>
              <w:t>Income (Loss)</w:t>
            </w:r>
          </w:p>
        </w:tc>
        <w:tc>
          <w:tcPr>
            <w:tcW w:w="820" w:type="dxa"/>
            <w:vAlign w:val="bottom"/>
            <w:gridSpan w:val="2"/>
          </w:tcPr>
          <w:p>
            <w:pPr>
              <w:jc w:val="center"/>
              <w:ind w:right="6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00"/>
        </w:trPr>
        <w:tc>
          <w:tcPr>
            <w:tcW w:w="1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w:t>
            </w: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December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10,819,843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100,695</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8,344,034</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81,384</w:t>
            </w:r>
          </w:p>
        </w:tc>
        <w:tc>
          <w:tcPr>
            <w:tcW w:w="220" w:type="dxa"/>
            <w:vAlign w:val="bottom"/>
            <w:tcBorders>
              <w:right w:val="single" w:sz="8" w:color="auto"/>
            </w:tcBorders>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3,927,803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1,421</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(66,197)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(115)</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(64,891)</w:t>
            </w:r>
          </w:p>
        </w:tc>
        <w:tc>
          <w:tcPr>
            <w:tcW w:w="0" w:type="dxa"/>
            <w:vAlign w:val="bottom"/>
          </w:tcPr>
          <w:p>
            <w:pPr>
              <w:spacing w:after="0"/>
              <w:rPr>
                <w:sz w:val="1"/>
                <w:szCs w:val="1"/>
                <w:color w:val="auto"/>
              </w:rPr>
            </w:pPr>
          </w:p>
        </w:tc>
      </w:tr>
      <w:tr>
        <w:trPr>
          <w:trHeight w:val="206"/>
        </w:trPr>
        <w:tc>
          <w:tcPr>
            <w:tcW w:w="1580" w:type="dxa"/>
            <w:vAlign w:val="bottom"/>
          </w:tcPr>
          <w:p>
            <w:pPr>
              <w:spacing w:after="0"/>
              <w:rPr>
                <w:sz w:val="20"/>
                <w:szCs w:val="20"/>
                <w:color w:val="auto"/>
              </w:rPr>
            </w:pPr>
            <w:r>
              <w:rPr>
                <w:rFonts w:ascii="Arial" w:cs="Arial" w:eastAsia="Arial" w:hAnsi="Arial"/>
                <w:sz w:val="16"/>
                <w:szCs w:val="16"/>
                <w:color w:val="auto"/>
              </w:rPr>
              <w:t>Issuance of Series A</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20"/>
                <w:szCs w:val="20"/>
                <w:color w:val="auto"/>
              </w:rPr>
            </w:pPr>
            <w:r>
              <w:rPr>
                <w:rFonts w:ascii="Arial" w:cs="Arial" w:eastAsia="Arial" w:hAnsi="Arial"/>
                <w:sz w:val="16"/>
                <w:szCs w:val="16"/>
                <w:color w:val="auto"/>
              </w:rPr>
              <w:t>stock</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20"/>
              <w:spacing w:after="0"/>
              <w:rPr>
                <w:sz w:val="20"/>
                <w:szCs w:val="20"/>
                <w:color w:val="auto"/>
              </w:rPr>
            </w:pPr>
            <w:r>
              <w:rPr>
                <w:rFonts w:ascii="Arial" w:cs="Arial" w:eastAsia="Arial" w:hAnsi="Arial"/>
                <w:sz w:val="16"/>
                <w:szCs w:val="16"/>
                <w:color w:val="auto"/>
              </w:rPr>
              <w:t>upon exercise of</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20"/>
                <w:szCs w:val="20"/>
                <w:color w:val="auto"/>
              </w:rPr>
            </w:pPr>
            <w:r>
              <w:rPr>
                <w:rFonts w:ascii="Arial" w:cs="Arial" w:eastAsia="Arial" w:hAnsi="Arial"/>
                <w:sz w:val="16"/>
                <w:szCs w:val="16"/>
                <w:color w:val="auto"/>
              </w:rPr>
              <w:t>Series A</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120"/>
              <w:spacing w:after="0"/>
              <w:rPr>
                <w:sz w:val="20"/>
                <w:szCs w:val="20"/>
                <w:color w:val="auto"/>
              </w:rPr>
            </w:pPr>
            <w:r>
              <w:rPr>
                <w:rFonts w:ascii="Arial" w:cs="Arial" w:eastAsia="Arial" w:hAnsi="Arial"/>
                <w:sz w:val="16"/>
                <w:szCs w:val="16"/>
                <w:color w:val="auto"/>
              </w:rPr>
              <w:t>warrants</w:t>
            </w:r>
          </w:p>
        </w:tc>
        <w:tc>
          <w:tcPr>
            <w:tcW w:w="840" w:type="dxa"/>
            <w:vAlign w:val="bottom"/>
          </w:tcPr>
          <w:p>
            <w:pPr>
              <w:jc w:val="right"/>
              <w:spacing w:after="0"/>
              <w:rPr>
                <w:sz w:val="20"/>
                <w:szCs w:val="20"/>
                <w:color w:val="auto"/>
              </w:rPr>
            </w:pPr>
            <w:r>
              <w:rPr>
                <w:rFonts w:ascii="Arial" w:cs="Arial" w:eastAsia="Arial" w:hAnsi="Arial"/>
                <w:sz w:val="16"/>
                <w:szCs w:val="16"/>
                <w:color w:val="auto"/>
              </w:rPr>
              <w:t>37,555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487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Stock-based</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80" w:type="dxa"/>
            <w:vAlign w:val="bottom"/>
          </w:tcPr>
          <w:p>
            <w:pPr>
              <w:spacing w:after="0"/>
              <w:rPr>
                <w:sz w:val="20"/>
                <w:szCs w:val="20"/>
                <w:color w:val="auto"/>
              </w:rPr>
            </w:pPr>
            <w:r>
              <w:rPr>
                <w:rFonts w:ascii="Arial" w:cs="Arial" w:eastAsia="Arial" w:hAnsi="Arial"/>
                <w:sz w:val="16"/>
                <w:szCs w:val="16"/>
                <w:color w:val="auto"/>
              </w:rPr>
              <w:t>Vesting of early</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20"/>
                <w:szCs w:val="20"/>
                <w:color w:val="auto"/>
              </w:rPr>
            </w:pPr>
            <w:r>
              <w:rPr>
                <w:rFonts w:ascii="Arial" w:cs="Arial" w:eastAsia="Arial" w:hAnsi="Arial"/>
                <w:sz w:val="16"/>
                <w:szCs w:val="16"/>
                <w:color w:val="auto"/>
              </w:rPr>
              <w:t>exercised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stock</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upon exercise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260"/>
              <w:spacing w:after="0"/>
              <w:rPr>
                <w:sz w:val="20"/>
                <w:szCs w:val="20"/>
                <w:color w:val="auto"/>
              </w:rPr>
            </w:pPr>
            <w:r>
              <w:rPr>
                <w:rFonts w:ascii="Arial" w:cs="Arial" w:eastAsia="Arial" w:hAnsi="Arial"/>
                <w:sz w:val="16"/>
                <w:szCs w:val="16"/>
                <w:color w:val="auto"/>
              </w:rPr>
              <w:t>of stock options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13,672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Vesting of early</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 from</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260"/>
              <w:spacing w:after="0"/>
              <w:rPr>
                <w:sz w:val="20"/>
                <w:szCs w:val="20"/>
                <w:color w:val="auto"/>
              </w:rPr>
            </w:pPr>
            <w:r>
              <w:rPr>
                <w:rFonts w:ascii="Arial" w:cs="Arial" w:eastAsia="Arial" w:hAnsi="Arial"/>
                <w:sz w:val="16"/>
                <w:szCs w:val="16"/>
                <w:color w:val="auto"/>
              </w:rPr>
              <w:t>existing exercises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income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tcPr>
          <w:p>
            <w:pPr>
              <w:spacing w:after="0"/>
              <w:rPr>
                <w:sz w:val="20"/>
                <w:szCs w:val="20"/>
                <w:color w:val="auto"/>
              </w:rPr>
            </w:pPr>
            <w:r>
              <w:rPr>
                <w:rFonts w:ascii="Arial" w:cs="Arial" w:eastAsia="Arial" w:hAnsi="Arial"/>
                <w:sz w:val="16"/>
                <w:szCs w:val="16"/>
                <w:color w:val="auto"/>
              </w:rPr>
              <w:t>Net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auto"/>
            </w:tcBorders>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(20,029)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(20,029)</w:t>
            </w:r>
          </w:p>
        </w:tc>
        <w:tc>
          <w:tcPr>
            <w:tcW w:w="0" w:type="dxa"/>
            <w:vAlign w:val="bottom"/>
          </w:tcPr>
          <w:p>
            <w:pPr>
              <w:spacing w:after="0"/>
              <w:rPr>
                <w:sz w:val="1"/>
                <w:szCs w:val="1"/>
                <w:color w:val="auto"/>
              </w:rPr>
            </w:pPr>
          </w:p>
        </w:tc>
      </w:tr>
      <w:tr>
        <w:trPr>
          <w:trHeight w:val="203"/>
        </w:trPr>
        <w:tc>
          <w:tcPr>
            <w:tcW w:w="1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 March</w:t>
            </w: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20"/>
                <w:szCs w:val="20"/>
                <w:color w:val="auto"/>
              </w:rPr>
            </w:pPr>
            <w:r>
              <w:rPr>
                <w:rFonts w:ascii="Arial" w:cs="Arial" w:eastAsia="Arial" w:hAnsi="Arial"/>
                <w:sz w:val="16"/>
                <w:szCs w:val="16"/>
                <w:color w:val="auto"/>
              </w:rPr>
              <w:t>31,</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2020</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10,857,397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101,182</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8,344,034</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  81,384</w:t>
            </w:r>
          </w:p>
        </w:tc>
        <w:tc>
          <w:tcPr>
            <w:tcW w:w="220" w:type="dxa"/>
            <w:vAlign w:val="bottom"/>
            <w:tcBorders>
              <w:right w:val="single" w:sz="8" w:color="auto"/>
            </w:tcBorders>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3,941,476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1,833</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  (86,226)</w:t>
            </w:r>
          </w:p>
        </w:tc>
        <w:tc>
          <w:tcPr>
            <w:tcW w:w="260" w:type="dxa"/>
            <w:vAlign w:val="bottom"/>
            <w:gridSpan w:val="2"/>
            <w:shd w:val="clear" w:color="auto" w:fill="CFF0FC"/>
          </w:tcPr>
          <w:p>
            <w:pPr>
              <w:jc w:val="right"/>
              <w:ind w:right="37"/>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  (83,941)</w:t>
            </w: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(27,674)</w:t>
            </w: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(20,029)</w:t>
            </w: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Accretion of discount on investments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right of use assets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redeemable convertible preferred stock liabilities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w:t>
            </w:r>
          </w:p>
        </w:tc>
      </w:tr>
      <w:tr>
        <w:trPr>
          <w:trHeight w:val="229"/>
        </w:trPr>
        <w:tc>
          <w:tcPr>
            <w:tcW w:w="694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(528)</w:t>
            </w:r>
          </w:p>
        </w:tc>
      </w:tr>
      <w:tr>
        <w:trPr>
          <w:trHeight w:val="230"/>
        </w:trPr>
        <w:tc>
          <w:tcPr>
            <w:tcW w:w="6940" w:type="dxa"/>
            <w:vAlign w:val="bottom"/>
          </w:tcPr>
          <w:p>
            <w:pPr>
              <w:ind w:left="740"/>
              <w:spacing w:after="0"/>
              <w:rPr>
                <w:sz w:val="20"/>
                <w:szCs w:val="20"/>
                <w:color w:val="auto"/>
              </w:rPr>
            </w:pPr>
            <w:r>
              <w:rPr>
                <w:rFonts w:ascii="Arial" w:cs="Arial" w:eastAsia="Arial" w:hAnsi="Arial"/>
                <w:sz w:val="18"/>
                <w:szCs w:val="18"/>
                <w:color w:val="auto"/>
              </w:rPr>
              <w:t>Right of use assets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r>
      <w:tr>
        <w:trPr>
          <w:trHeight w:val="229"/>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w:t>
            </w:r>
          </w:p>
        </w:tc>
      </w:tr>
      <w:tr>
        <w:trPr>
          <w:trHeight w:val="230"/>
        </w:trPr>
        <w:tc>
          <w:tcPr>
            <w:tcW w:w="6940" w:type="dxa"/>
            <w:vAlign w:val="bottom"/>
          </w:tcPr>
          <w:p>
            <w:pPr>
              <w:ind w:left="740"/>
              <w:spacing w:after="0"/>
              <w:rPr>
                <w:sz w:val="20"/>
                <w:szCs w:val="20"/>
                <w:color w:val="auto"/>
              </w:rPr>
            </w:pPr>
            <w:r>
              <w:rPr>
                <w:rFonts w:ascii="Arial" w:cs="Arial" w:eastAsia="Arial" w:hAnsi="Arial"/>
                <w:sz w:val="18"/>
                <w:szCs w:val="18"/>
                <w:color w:val="auto"/>
              </w:rPr>
              <w:t>Accrued liabilities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 liabilities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w:t>
            </w:r>
          </w:p>
        </w:tc>
      </w:tr>
      <w:tr>
        <w:trPr>
          <w:trHeight w:val="229"/>
        </w:trPr>
        <w:tc>
          <w:tcPr>
            <w:tcW w:w="6940" w:type="dxa"/>
            <w:vAlign w:val="bottom"/>
          </w:tcPr>
          <w:p>
            <w:pPr>
              <w:ind w:left="740"/>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 from collaborations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and cash equivalents used in operating activities</w:t>
            </w:r>
          </w:p>
        </w:tc>
        <w:tc>
          <w:tcPr>
            <w:tcW w:w="7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(29,796)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(20,319)</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Activities in available-for-sale investments: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 of short-term investments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(32,096)</w:t>
            </w:r>
          </w:p>
        </w:tc>
      </w:tr>
      <w:tr>
        <w:trPr>
          <w:trHeight w:val="230"/>
        </w:trPr>
        <w:tc>
          <w:tcPr>
            <w:tcW w:w="6940" w:type="dxa"/>
            <w:vAlign w:val="bottom"/>
          </w:tcPr>
          <w:p>
            <w:pPr>
              <w:ind w:left="500"/>
              <w:spacing w:after="0"/>
              <w:rPr>
                <w:sz w:val="20"/>
                <w:szCs w:val="20"/>
                <w:color w:val="auto"/>
              </w:rPr>
            </w:pPr>
            <w:r>
              <w:rPr>
                <w:rFonts w:ascii="Arial" w:cs="Arial" w:eastAsia="Arial" w:hAnsi="Arial"/>
                <w:sz w:val="18"/>
                <w:szCs w:val="18"/>
                <w:color w:val="auto"/>
              </w:rPr>
              <w:t>Purchase of long term investments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(13,183)</w:t>
            </w: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Activities in held-to-maturity investments: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500"/>
              <w:spacing w:after="0"/>
              <w:rPr>
                <w:sz w:val="20"/>
                <w:szCs w:val="20"/>
                <w:color w:val="auto"/>
              </w:rPr>
            </w:pPr>
            <w:r>
              <w:rPr>
                <w:rFonts w:ascii="Arial" w:cs="Arial" w:eastAsia="Arial" w:hAnsi="Arial"/>
                <w:sz w:val="18"/>
                <w:szCs w:val="18"/>
                <w:color w:val="auto"/>
              </w:rPr>
              <w:t>Maturities of investments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22,600</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(1,090)</w:t>
            </w:r>
          </w:p>
        </w:tc>
      </w:tr>
      <w:tr>
        <w:trPr>
          <w:trHeight w:val="223"/>
        </w:trPr>
        <w:tc>
          <w:tcPr>
            <w:tcW w:w="69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and cash equivalents provided by (used in) investing activities</w:t>
            </w:r>
          </w:p>
        </w:tc>
        <w:tc>
          <w:tcPr>
            <w:tcW w:w="7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(23,769)</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Proceeds from exercise of warrants for series A convertible preferred stock</w:t>
            </w:r>
          </w:p>
        </w:tc>
        <w:tc>
          <w:tcPr>
            <w:tcW w:w="17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Series B-1 redeemable convertible preferred stock issuance cost</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(405)</w:t>
            </w: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Payments on finance lease</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exercise of common stock option</w:t>
            </w:r>
          </w:p>
        </w:tc>
        <w:tc>
          <w:tcPr>
            <w:tcW w:w="7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ind w:left="1000"/>
              <w:spacing w:after="0"/>
              <w:rPr>
                <w:sz w:val="20"/>
                <w:szCs w:val="20"/>
                <w:color w:val="auto"/>
              </w:rPr>
            </w:pPr>
            <w:r>
              <w:rPr>
                <w:rFonts w:ascii="Arial" w:cs="Arial" w:eastAsia="Arial" w:hAnsi="Arial"/>
                <w:sz w:val="18"/>
                <w:szCs w:val="18"/>
                <w:color w:val="auto"/>
              </w:rPr>
              <w:t>Net cash and cash equivalents provided by (used in) financing activities</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decrease in cash, cash equivalents, and restricted cash</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(20,025)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(44,136)</w:t>
            </w:r>
          </w:p>
        </w:tc>
      </w:tr>
      <w:tr>
        <w:trPr>
          <w:trHeight w:val="223"/>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7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220,943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70,103</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7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200,918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25,967</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Reconciliation to amounts on the consolidated balance sheet: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200,362</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25,415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cash equivalents, and restricted cash</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200,918</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25,967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paid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noncash financing and investing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Leasehold improvement directly paid by landlord</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Mark to market adjustment for available-for-sale investments</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Acquisition of right of use asset through operating lease obligation</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 upon exercise of warrants</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Vesting of early exercised options</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Change in pension obligation</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t>ALIGOS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dollars, expect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0" w:right="8920" w:hanging="512"/>
        <w:spacing w:after="0" w:line="453" w:lineRule="auto"/>
        <w:tabs>
          <w:tab w:leader="none" w:pos="51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Organization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and together with Aligos-US and Aligos-Belgium being the Company or Aligos.</w:t>
      </w:r>
    </w:p>
    <w:p>
      <w:pPr>
        <w:spacing w:after="0" w:line="18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Aligos is a clinical-stage biopharmaceutical company developing novel therapeutics to address unmet medical needs in viral and liver diseases, including chronic hepatitis B and coronaviruses therapeutics for non-alcoholic steatohepatitis (NASH).</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On October 8, 2020, the Company’s board of directors approved a 1-for-9.3197 reverse stock split (the Reverse Stock Split) of the Company’s common stock and redeemable convertible preferred stock to be consummated prior to the effectiveness of the Company’s planned initial public offering (IPO).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 The Company filed an amended and restated certificate of incorporation in Delaware on October 9, 2020 that automatically effectuated the Reverse Stock Split without any further action required.</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On October 20, 2020, the Company closed its IPO and issued 10,000,000 shares of its common stock at a public offering price of $15.00 per share for net proceeds of $135.4 million, after deducting underwriting discounts and commissions of $10.5 million and expenses of $4.1 million. In connection with the IPO, all shares of Series A redeemable convertible preferred stock (Series A), Series B-1 redeemable convertible preferred stock (Series B-1) and Series B-2 redeemable convertible preferred stock (Series B-2) converted into 19,761,870 shares of voting common stock and 3,092,338 shares of non-voting common stock. On November 5, 2020, the underwriters of the IPO partially exercised their overallotment option by purchasing an additional 1,150,000 shares from the Company, resulting in an additional $16.0 million in net proceeds, after deducting underwriting discounts and commissions of $1.2 million.</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The Company has incurred losses and negative cash flows from operations since its inception. As of March 31, 2021 and December 31, 2020, the Company had an accumulated deficit of $202.4 million and $174.7 million, respectively. Management expects to continue to incur additional substantial losses in the foreseeable future as a result of expanded research and development activities.</w:t>
      </w:r>
    </w:p>
    <w:p>
      <w:pPr>
        <w:spacing w:after="0" w:line="184"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As of March 31, 2021, the Company has unrestricted cash, cash equivalents and investments of approximately $213.4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2" w:name="page13"/>
    <w:bookmarkEnd w:id="12"/>
    <w:p>
      <w:pPr>
        <w:ind w:firstLine="510"/>
        <w:spacing w:after="0" w:line="271" w:lineRule="auto"/>
        <w:rPr>
          <w:sz w:val="20"/>
          <w:szCs w:val="20"/>
          <w:color w:val="auto"/>
        </w:rPr>
      </w:pPr>
      <w:r>
        <w:rPr>
          <w:rFonts w:ascii="Arial" w:cs="Arial" w:eastAsia="Arial" w:hAnsi="Arial"/>
          <w:sz w:val="17"/>
          <w:szCs w:val="17"/>
          <w:color w:val="auto"/>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it is expected that the Company’s existing cash, cash equivalents and investments, will enable the Company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the COVID-19 pandemic and the macro-economic environment generally.</w:t>
      </w:r>
    </w:p>
    <w:p>
      <w:pPr>
        <w:spacing w:after="0" w:line="70"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The Company’s ability to raise additional funds will depend on financial, economic and other factors, many of which are beyond its control. In particular, the COVID-19 pandemic continues to rapidly evolve and has already resulted in a significant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28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a basis that assumes the Company will continue as a going concern and contemplates the continuity of operations, realization of assets and the satisfaction of liabilities and commitments in the normal course of business.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As a result, the Company is unable to predict the timing or amount of increased expenses or when or if the Company will be able to achieve or maintain profitability. Drug candidates currently under development will require significant additional research and development efforts, including extensive nonclinical and clinical testing and regulatory approval.</w:t>
      </w:r>
    </w:p>
    <w:p>
      <w:pPr>
        <w:spacing w:after="0" w:line="18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Moreover, it is particularly difficult to estimate with certainty the Company’s future expenses given the dynamic nature of its business, the COVID-19 pandemic and the macro-economic environment generally.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and applicable rules and regulations of the Securities and Exchange Commission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audited consolidated financial statements and the related notes thereto as of and for the year ended December 31, 2020, included in the Company’s Annual Report on Form 10-K filed with the SEC on March 23, 2021.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include Aligos-US and its wholly owned subsidiaries Aligos-Belgium and Aligos-Australia. All intercompany balances and transactions have been eliminated.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certain estimates and assumptions that affect the reported amounts in the condensed consolidated financial statements and accompanying notes. The Company regularly evaluates estimates and assumptions related to assets and liabilities, and disclosures of contingent assets and liabilities at the dates of the condensed consolidated financial statements and the reported amounts of expenses during the reporting period. Areas where management uses subjective judgments include but are not limited to right-of-use assets, lease obligations, impairment of long-lived assets, stock-based compensation, accrued research and development costs, pension liabilities, revenue from collaborations and deferred revenue in the accompanying condensed consolidated financial statements.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accompanying consolidated balance sheet as of March 31, 2021, the consolidated statements of operations and comprehensive loss for the three months ended March 31, 2021 and 2020, the consolidated statements of redeemable convertible preferred stock and stockholders’ equity (deficit) for the three months ended March 31, 2021 and 2020, and the consolidated statements of cash flows for the three months ended March 31, 2021 and 2020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March 31, 2021 and the consolidated results of its operations and cash flows for the three months ended March 31, 2021 and 2020. The consolidated financial data and other information disclosed in these notes related to the three months ended March 31, 2021 and 2020 are unaudited. The consolidated results for the three months ended March 31, 2021 are not necessarily indicative of results to be expected for the year ending December 31, 2021, any other interim periods, or any future year or period.</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60" w:firstLine="667"/>
        <w:spacing w:after="0" w:line="257" w:lineRule="auto"/>
        <w:rPr>
          <w:sz w:val="20"/>
          <w:szCs w:val="20"/>
          <w:color w:val="auto"/>
        </w:rPr>
      </w:pPr>
      <w:r>
        <w:rPr>
          <w:rFonts w:ascii="Arial" w:cs="Arial" w:eastAsia="Arial" w:hAnsi="Arial"/>
          <w:sz w:val="18"/>
          <w:szCs w:val="18"/>
          <w:color w:val="auto"/>
        </w:rPr>
        <w:t>The Company’s foreign subsidiaries use the U.S. dollar as their functional currency, and they initially measure the foreign currency denominated assets and liabilities at the transaction date. Monetary assets and liabilities are then re-measured at exchange rates in effect at the end of each period, and non-monetary assets and liabilities are converted at historical rates. A re-measurement gain was recognized during the three months ended March 31, 2021 and 2020 of $50,000 and $45,000, respectively, and are reflected within interest and other income, net on the consolidated statements of operations and comprehensive loss.</w:t>
      </w:r>
    </w:p>
    <w:p>
      <w:pPr>
        <w:spacing w:after="0" w:line="29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40" w:firstLine="667"/>
        <w:spacing w:after="0" w:line="259"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financial information presented on a consolidated basis for the purposes of assessing the performance and making decisions on how to allocate resources. Accordingly, the Company has determined that it operates in a single reportable segment. No product revenue has been generated since inception.</w:t>
      </w:r>
    </w:p>
    <w:p>
      <w:pPr>
        <w:spacing w:after="0" w:line="79" w:lineRule="exact"/>
        <w:rPr>
          <w:sz w:val="20"/>
          <w:szCs w:val="20"/>
          <w:color w:val="auto"/>
        </w:rPr>
      </w:pPr>
    </w:p>
    <w:p>
      <w:pPr>
        <w:ind w:right="260" w:firstLine="667"/>
        <w:spacing w:after="0" w:line="223" w:lineRule="exact"/>
        <w:rPr>
          <w:sz w:val="20"/>
          <w:szCs w:val="20"/>
          <w:color w:val="auto"/>
        </w:rPr>
      </w:pPr>
      <w:r>
        <w:rPr>
          <w:rFonts w:ascii="Arial" w:cs="Arial" w:eastAsia="Arial" w:hAnsi="Arial"/>
          <w:sz w:val="18"/>
          <w:szCs w:val="18"/>
          <w:color w:val="auto"/>
        </w:rPr>
        <w:t>The Company has $6.3 million and $1.3 million of fixed assets in Aligos-US and Aligos-Belgium, respectively, as of March 31, 2021 and $6.6 million and $1.4 million of fixed assets in Aligos-US and Aligos</w:t>
      </w:r>
      <w:r>
        <w:rPr>
          <w:rFonts w:ascii="MS PGothic" w:cs="MS PGothic" w:eastAsia="MS PGothic" w:hAnsi="MS PGothic"/>
          <w:sz w:val="18"/>
          <w:szCs w:val="18"/>
          <w:color w:val="auto"/>
        </w:rPr>
        <w:t>‑</w:t>
      </w:r>
      <w:r>
        <w:rPr>
          <w:rFonts w:ascii="Arial" w:cs="Arial" w:eastAsia="Arial" w:hAnsi="Arial"/>
          <w:sz w:val="18"/>
          <w:szCs w:val="18"/>
          <w:color w:val="auto"/>
        </w:rPr>
        <w:t>Belgium, respectively as of December 31, 2020.</w:t>
      </w:r>
    </w:p>
    <w:p>
      <w:pPr>
        <w:spacing w:after="0" w:line="31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w:t>
      </w:r>
    </w:p>
    <w:p>
      <w:pPr>
        <w:spacing w:after="0" w:line="35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 w:name="page15"/>
    <w:bookmarkEnd w:id="14"/>
    <w:p>
      <w:pPr>
        <w:ind w:right="220" w:firstLine="667"/>
        <w:spacing w:after="0" w:line="277" w:lineRule="auto"/>
        <w:rPr>
          <w:sz w:val="20"/>
          <w:szCs w:val="20"/>
          <w:color w:val="auto"/>
        </w:rPr>
      </w:pPr>
      <w:r>
        <w:rPr>
          <w:rFonts w:ascii="Arial" w:cs="Arial" w:eastAsia="Arial" w:hAnsi="Arial"/>
          <w:sz w:val="18"/>
          <w:szCs w:val="18"/>
          <w:color w:val="auto"/>
        </w:rPr>
        <w:t>As of March 31, 2021 and December 31, 2020, the restricted cash balance was $556,000 and $560,000, respectively, and was used to secure the letters of credit in relation to the Company’s operating leases and deposits on rental assets (Note 6).</w:t>
      </w:r>
    </w:p>
    <w:p>
      <w:pPr>
        <w:spacing w:after="0" w:line="31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60" w:firstLine="667"/>
        <w:spacing w:after="0" w:line="263" w:lineRule="auto"/>
        <w:rPr>
          <w:sz w:val="20"/>
          <w:szCs w:val="20"/>
          <w:color w:val="auto"/>
        </w:rPr>
      </w:pPr>
      <w:r>
        <w:rPr>
          <w:rFonts w:ascii="Arial" w:cs="Arial" w:eastAsia="Arial" w:hAnsi="Arial"/>
          <w:sz w:val="18"/>
          <w:szCs w:val="18"/>
          <w:color w:val="auto"/>
        </w:rPr>
        <w:t>The Company determines if an arrangement is a lease at the inception of the lease. Operating leases are included in operating lease right-of-use (ROU) assets and operating lease liabilities in the consolidated balance sheet. Finance leases are included in property and equipment and finance lease liabilities in the consolidated balance sheet.</w:t>
      </w:r>
    </w:p>
    <w:p>
      <w:pPr>
        <w:spacing w:after="0" w:line="184" w:lineRule="exact"/>
        <w:rPr>
          <w:sz w:val="20"/>
          <w:szCs w:val="20"/>
          <w:color w:val="auto"/>
        </w:rPr>
      </w:pPr>
    </w:p>
    <w:p>
      <w:pPr>
        <w:ind w:right="140" w:firstLine="667"/>
        <w:spacing w:after="0" w:line="291"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Operating lease ROU assets and liabilities are recognized at the lease commencement date based on the present value of lease payments over the lease term. When the Company’s leases do not provide an implicit rate, an incremental borrowing rate is used based on the information available at the commencement dates in determining the present value of lease payments. The Company uses the implicit rate when readily determinable. The operating lease ROU assets also include any lease payments made and excludes lease incentives when paid by the Company or on the Company’s behalf. The Company’s lease terms may include the period covered by options to extend or terminate the lease when it is reasonably certain that the Company will exercise that option. Lease expense for operating leases is recognized on a straight-line basis over the lease term.</w:t>
      </w:r>
    </w:p>
    <w:p>
      <w:pPr>
        <w:spacing w:after="0" w:line="166" w:lineRule="exact"/>
        <w:rPr>
          <w:sz w:val="20"/>
          <w:szCs w:val="20"/>
          <w:color w:val="auto"/>
        </w:rPr>
      </w:pPr>
    </w:p>
    <w:p>
      <w:pPr>
        <w:ind w:firstLine="667"/>
        <w:spacing w:after="0" w:line="259" w:lineRule="auto"/>
        <w:rPr>
          <w:sz w:val="20"/>
          <w:szCs w:val="20"/>
          <w:color w:val="auto"/>
        </w:rPr>
      </w:pPr>
      <w:r>
        <w:rPr>
          <w:rFonts w:ascii="Arial" w:cs="Arial" w:eastAsia="Arial" w:hAnsi="Arial"/>
          <w:sz w:val="18"/>
          <w:szCs w:val="18"/>
          <w:color w:val="auto"/>
        </w:rPr>
        <w:t>The Company has lease agreements with lease and non-lease components. The Company elected to not separate lease and non-lease components for all of its building leases. For vehicle leases, lease and non-lease components are accounted for separately. The Company also made an accounting policy election to recognize lease expense for leases with a term of 12 months or less on a straight-line basis over the lease term and not recognize ROU assets or lease liabilities for such leases.</w:t>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60" w:firstLine="667"/>
        <w:spacing w:after="0" w:line="277" w:lineRule="auto"/>
        <w:rPr>
          <w:sz w:val="20"/>
          <w:szCs w:val="20"/>
          <w:color w:val="auto"/>
        </w:rPr>
      </w:pPr>
      <w:r>
        <w:rPr>
          <w:rFonts w:ascii="Arial" w:cs="Arial" w:eastAsia="Arial" w:hAnsi="Arial"/>
          <w:sz w:val="18"/>
          <w:szCs w:val="18"/>
          <w:color w:val="auto"/>
        </w:rPr>
        <w:t>Property and equipment is stated at cost less accumulated depreciation, and is depreciated using the straight-line method over the estimated useful life of the asset, which are as follows:</w:t>
      </w:r>
    </w:p>
    <w:p>
      <w:pPr>
        <w:spacing w:after="0" w:line="185" w:lineRule="exact"/>
        <w:rPr>
          <w:sz w:val="20"/>
          <w:szCs w:val="20"/>
          <w:color w:val="auto"/>
        </w:rPr>
      </w:pPr>
    </w:p>
    <w:tbl>
      <w:tblPr>
        <w:tblLayout w:type="fixed"/>
        <w:tblInd w:w="2780" w:type="dxa"/>
        <w:tblCellMar>
          <w:top w:w="0" w:type="dxa"/>
          <w:left w:w="0" w:type="dxa"/>
          <w:bottom w:w="0" w:type="dxa"/>
          <w:right w:w="0" w:type="dxa"/>
        </w:tblCellMar>
      </w:tblPr>
      <w:tr>
        <w:trPr>
          <w:trHeight w:val="22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 years</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Computer equipment</w:t>
            </w:r>
          </w:p>
        </w:tc>
        <w:tc>
          <w:tcPr>
            <w:tcW w:w="3240" w:type="dxa"/>
            <w:vAlign w:val="bottom"/>
          </w:tcPr>
          <w:p>
            <w:pPr>
              <w:ind w:left="240"/>
              <w:spacing w:after="0"/>
              <w:rPr>
                <w:sz w:val="20"/>
                <w:szCs w:val="20"/>
                <w:color w:val="auto"/>
              </w:rPr>
            </w:pPr>
            <w:r>
              <w:rPr>
                <w:rFonts w:ascii="Arial" w:cs="Arial" w:eastAsia="Arial" w:hAnsi="Arial"/>
                <w:sz w:val="18"/>
                <w:szCs w:val="18"/>
                <w:color w:val="auto"/>
              </w:rPr>
              <w:t>3 years</w:t>
            </w: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w w:val="99"/>
              </w:rPr>
              <w:t>Furniture and office equipment</w:t>
            </w:r>
          </w:p>
        </w:tc>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3-8 years</w:t>
            </w: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Vehicles</w:t>
            </w:r>
          </w:p>
        </w:tc>
        <w:tc>
          <w:tcPr>
            <w:tcW w:w="3240" w:type="dxa"/>
            <w:vAlign w:val="bottom"/>
          </w:tcPr>
          <w:p>
            <w:pPr>
              <w:ind w:left="240"/>
              <w:spacing w:after="0"/>
              <w:rPr>
                <w:sz w:val="20"/>
                <w:szCs w:val="20"/>
                <w:color w:val="auto"/>
              </w:rPr>
            </w:pPr>
            <w:r>
              <w:rPr>
                <w:rFonts w:ascii="Arial" w:cs="Arial" w:eastAsia="Arial" w:hAnsi="Arial"/>
                <w:sz w:val="18"/>
                <w:szCs w:val="18"/>
                <w:color w:val="auto"/>
              </w:rPr>
              <w:t>4 years</w:t>
            </w:r>
          </w:p>
        </w:tc>
      </w:tr>
      <w:tr>
        <w:trPr>
          <w:trHeight w:val="215"/>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Shorter of the useful</w:t>
            </w:r>
          </w:p>
        </w:tc>
      </w:tr>
      <w:tr>
        <w:trPr>
          <w:trHeight w:val="230"/>
        </w:trPr>
        <w:tc>
          <w:tcPr>
            <w:tcW w:w="2460" w:type="dxa"/>
            <w:vAlign w:val="bottom"/>
            <w:shd w:val="clear" w:color="auto" w:fill="CFF0FC"/>
          </w:tcPr>
          <w:p>
            <w:pPr>
              <w:spacing w:after="0"/>
              <w:rPr>
                <w:sz w:val="20"/>
                <w:szCs w:val="20"/>
                <w:color w:val="auto"/>
              </w:rPr>
            </w:pPr>
          </w:p>
        </w:tc>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life or remaining lease term</w:t>
            </w:r>
          </w:p>
        </w:tc>
      </w:tr>
    </w:tbl>
    <w:p>
      <w:pPr>
        <w:spacing w:after="0" w:line="202" w:lineRule="exact"/>
        <w:rPr>
          <w:sz w:val="20"/>
          <w:szCs w:val="20"/>
          <w:color w:val="auto"/>
        </w:rPr>
      </w:pPr>
    </w:p>
    <w:p>
      <w:pPr>
        <w:ind w:right="160" w:firstLine="667"/>
        <w:spacing w:after="0" w:line="308" w:lineRule="auto"/>
        <w:rPr>
          <w:sz w:val="20"/>
          <w:szCs w:val="20"/>
          <w:color w:val="auto"/>
        </w:rPr>
      </w:pPr>
      <w:r>
        <w:rPr>
          <w:rFonts w:ascii="Arial" w:cs="Arial" w:eastAsia="Arial" w:hAnsi="Arial"/>
          <w:sz w:val="17"/>
          <w:szCs w:val="17"/>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667"/>
        <w:spacing w:after="0" w:line="257" w:lineRule="auto"/>
        <w:rPr>
          <w:sz w:val="20"/>
          <w:szCs w:val="20"/>
          <w:color w:val="auto"/>
        </w:rPr>
      </w:pPr>
      <w:r>
        <w:rPr>
          <w:rFonts w:ascii="Arial" w:cs="Arial" w:eastAsia="Arial" w:hAnsi="Arial"/>
          <w:sz w:val="18"/>
          <w:szCs w:val="18"/>
          <w:color w:val="auto"/>
        </w:rPr>
        <w:t>The Company regularly reviews the carrying amount of its property, equipment and intangible assets to determine whether indicators of impairment may exist which warrant adjustments to carrying values or estimated useful lives. If indications of impairment exist, projected future undiscounted cash flows associated with the asset are compared to the carrying amount to determine whether the asset’s value is recoverable. If the carrying value of the asset exceeds such projected undiscounted cash flows, the asset will be written down to its estimated fair value. No impairment charges were recorded during the three months ended March 31, 2021 or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 Company determines the appropriate classification of debt securities at the time of purchase and re-evaluates such designation as of each balance sheet date. Debt securities are classified as held-to-maturity when the Company has the positive intent and ability to hold the securities to maturity, otherwise debt securities are classified as available-for sale. Held-to-maturity securities are carried at amortized cost. Available-for-sale debt securities are measured and reported at fair value using quoted prices in active markets for similar securities. Unrealized gains and losses on available-for-sale debt securities are reported as a separate component of stockholders’ equity. Premiums or discounts from par value are amortized to investment income over the life of the underlying investment. The cost of securities sold is determined on a specific identification basis, and realized gains and losses are included in interest and other income, net within the condensed consolidated statements of operations and comprehensive loss.</w:t>
      </w:r>
    </w:p>
    <w:p>
      <w:pPr>
        <w:spacing w:after="0" w:line="166"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For both held-to-maturity and available-for-sale investments, the Company periodically reviews each individual security position that has an unrealized loss, or impairment, to determine if that impairment is other-than-temporary. If the Company believes an impairment of a security position is other than temporary, based on available quantitative and qualitative information as of the report date, the loss will be recognized as other income in the Company’s condensed consolidated statements of operations and a new cost basis in the investment is established. No impairment charges were recorded during the three months ended March 31, 2021 and 2020.</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2021 and December 31, 2020, short-term investments consisted of U.S. Treasury securities with original maturities of less than one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expensed as incurred. 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right="80" w:firstLine="667"/>
        <w:spacing w:after="0" w:line="259" w:lineRule="auto"/>
        <w:rPr>
          <w:sz w:val="20"/>
          <w:szCs w:val="20"/>
          <w:color w:val="auto"/>
        </w:rPr>
      </w:pPr>
      <w:r>
        <w:rPr>
          <w:rFonts w:ascii="Arial" w:cs="Arial" w:eastAsia="Arial" w:hAnsi="Arial"/>
          <w:sz w:val="18"/>
          <w:szCs w:val="18"/>
          <w:color w:val="auto"/>
        </w:rPr>
        <w:t>The Company enters into collaboration arrangements with pharmaceutical and other partners, under which the Company may grant licenses to its collaboration partners to research and develop potential drug candidates. Consideration under these contracts may include an upfront payment, development, regulatory, sales and other milestone payments. Contractual payments received for research and development activities performed are recognized on a gross basis in revenue from collaboration arrangements.</w:t>
      </w:r>
    </w:p>
    <w:p>
      <w:pPr>
        <w:spacing w:after="0" w:line="79" w:lineRule="exact"/>
        <w:rPr>
          <w:sz w:val="20"/>
          <w:szCs w:val="20"/>
          <w:color w:val="auto"/>
        </w:rPr>
      </w:pPr>
    </w:p>
    <w:p>
      <w:pPr>
        <w:ind w:right="360" w:firstLine="667"/>
        <w:spacing w:after="0" w:line="286" w:lineRule="auto"/>
        <w:rPr>
          <w:sz w:val="20"/>
          <w:szCs w:val="20"/>
          <w:color w:val="auto"/>
        </w:rPr>
      </w:pPr>
      <w:r>
        <w:rPr>
          <w:rFonts w:ascii="Arial" w:cs="Arial" w:eastAsia="Arial" w:hAnsi="Arial"/>
          <w:sz w:val="17"/>
          <w:szCs w:val="17"/>
          <w:color w:val="auto"/>
        </w:rPr>
        <w:t>The Company may also perform research and development activities under the collaboration agreements where the Company may be granted licenses from its collaboration partners. Contractual payments to the other party in collaboration agreements and costs incurred by the Company are recognized on a gross basis in research and development expenses. Royalties and license payments are recorded as due.</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When the Company enters into collaboration arrangements, the Company assesses whether the arrangement falls within the scope of ASC</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based on whether the arrangement involves joint operating activities and whether both parties would be active participants and would be exposed to significant risks and rewards of the arrangement. To the extent that the arrangement falls within the scope of ASC 808, the Company assesses whether the payments between the parties fall within the scope of other accounting literature such as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w:t>
      </w:r>
    </w:p>
    <w:p>
      <w:pPr>
        <w:spacing w:after="0" w:line="85" w:lineRule="exact"/>
        <w:rPr>
          <w:sz w:val="20"/>
          <w:szCs w:val="20"/>
          <w:color w:val="auto"/>
        </w:rPr>
      </w:pPr>
    </w:p>
    <w:p>
      <w:pPr>
        <w:ind w:right="80" w:firstLine="667"/>
        <w:spacing w:after="0" w:line="277" w:lineRule="auto"/>
        <w:rPr>
          <w:sz w:val="20"/>
          <w:szCs w:val="20"/>
          <w:color w:val="auto"/>
        </w:rPr>
      </w:pPr>
      <w:r>
        <w:rPr>
          <w:rFonts w:ascii="Arial" w:cs="Arial" w:eastAsia="Arial" w:hAnsi="Arial"/>
          <w:sz w:val="18"/>
          <w:szCs w:val="18"/>
          <w:color w:val="auto"/>
        </w:rPr>
        <w:t>During the three months ended March 31, 2021 and 2020, no milestones were met and no royalties were due; therefore, the Company did not pay or expense any milestone or royalties.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80" w:firstLine="510"/>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Level 1 quoted prices), such as quoted prices in active markets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that are significant to determining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pricing models, discounted cash flow methodologies and similar techniques.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The Company’s stock-based awards consist of restricted stock awards and stock options. For stock-based awards issued to employees and nonemployees with service-based vesting, the Company measures the estimated fair value of the stock-based awards on the date of grant and recognizes compensation expense for those awards over the requisite service period, which is generally the vesting period of the respective award. The Company has granted certain options with performance-based vesting for which expense is recognized over the explicit service period when achievement of the performance-based milestones is deemed probable. The Company uses judgement to determine whether and, if so, how many awards are deemed probable of vesting at each reporting period. The fair value of stock-based awards with non-market performance conditions is estimated on the grant date. The Company records expense for awards with service-based vesting using the straight-line method and for awards with performance conditions utilizing an accelerated attribution method. The Company accounts for forfeitures as they occur.</w:t>
      </w:r>
    </w:p>
    <w:p>
      <w:pPr>
        <w:spacing w:after="0" w:line="17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Company classifies stock-based compensation expense in its condensed consolidated statements of operations and comprehensive loss in the same manner in which the award recipient’s cash compensation costs are classified.</w:t>
      </w:r>
    </w:p>
    <w:p>
      <w:pPr>
        <w:spacing w:after="0" w:line="17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fair value of each restricted stock award is determined based on the number of shares granted and the value of the Company’s common stock on the date of grant. The fair value of each stock option award is estimated on the date of grant using the Black-Scholes option pricing model. The Black-Scholes option-pricing model requires the use of a number of complex assumptions including the fair value of the common stock, expected volatility, risk-free interest rate, expected dividends, and expected term of the option. The Company had been a private company prior to the IPO and lacks company-specific historical and implied fair value information. Therefore, the Board of Directors (the Board) of the Company considered numerous objective and subjective factors to determine the fair value of the Company’s common stock options at each meeting in which awards were approved. The factors considered include, but are not limited to (i) the results of contemporaneous independent third-party valuations of the Company’s common stock and the prices, rights, preferences and privileges of the Company’s redeemable convertible preferred stock relative to those of its common stock; (ii) the lack of marketability of the Company’s common stock; (iii) actual operating and financial results; (iv) current business conditions and projections; (v) the likelihood of achieving a liquidity event, such as an initial public offering or sale of the Company, given prevailing market conditions, and (vi) precedent transactions involving the Company’s shares.</w:t>
      </w:r>
    </w:p>
    <w:p>
      <w:pPr>
        <w:spacing w:after="0" w:line="182"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The Company determined the expected stock volatility using a weighted average of the historical volatility of a group of guideline companies that issued options with substantially similar terms, and expects to continue to do so until such time as the Company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78"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See Note 9 for the assumptions used by the Company in determining the grant date fair value of stock-based awards granted, as well as a summary of the stock-based award activity under the Company’s stock-based compensation plan, for the three months ended March 31, 2021 and 2020.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2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early exercise of stock options, unvested restricted stock subject to repurchase, warrants and convertible notes are considered to be potentially dilutive securities.</w:t>
      </w:r>
    </w:p>
    <w:p>
      <w:pPr>
        <w:spacing w:after="0" w:line="171"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w:t>
      </w:r>
    </w:p>
    <w:p>
      <w:pPr>
        <w:spacing w:after="0" w:line="176"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shares are not assumed to have been issued if their effect is anti-dilutive.</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31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property and equipment as of March 31, 2021 and December 31, 2020 were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Lab equipment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 under construction</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at cost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(4,984)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(4,243)</w:t>
            </w:r>
          </w:p>
        </w:tc>
      </w:tr>
      <w:tr>
        <w:trPr>
          <w:trHeight w:val="223"/>
        </w:trPr>
        <w:tc>
          <w:tcPr>
            <w:tcW w:w="53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net</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42" w:lineRule="exact"/>
        <w:rPr>
          <w:sz w:val="20"/>
          <w:szCs w:val="20"/>
          <w:color w:val="auto"/>
        </w:rPr>
      </w:pPr>
    </w:p>
    <w:p>
      <w:pPr>
        <w:ind w:right="640" w:firstLine="510"/>
        <w:spacing w:after="0" w:line="342" w:lineRule="auto"/>
        <w:rPr>
          <w:sz w:val="20"/>
          <w:szCs w:val="20"/>
          <w:color w:val="auto"/>
        </w:rPr>
      </w:pPr>
      <w:r>
        <w:rPr>
          <w:rFonts w:ascii="Arial" w:cs="Arial" w:eastAsia="Arial" w:hAnsi="Arial"/>
          <w:sz w:val="16"/>
          <w:szCs w:val="16"/>
          <w:color w:val="auto"/>
        </w:rPr>
        <w:t>Depreciation expense was $741,000 for the three months ended March 31, 2021, and $331,000 for the three months ended March 31, 2020, respectively. Finance leases are also included in property and equipment as vehicles on the condensed consolidated balance sheets (Note 6).</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8" w:name="page19"/>
    <w:bookmarkEnd w:id="18"/>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of March 31, 2021 and December 31, 2020, amortized cost, gross unrealized gains and losses, and estimated fair values of total fixed-maturity securities were as follows:</w:t>
      </w:r>
    </w:p>
    <w:p>
      <w:pPr>
        <w:spacing w:after="0" w:line="270"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March 31, 2021</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46"/>
        </w:trPr>
        <w:tc>
          <w:tcPr>
            <w:tcW w:w="5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gridSpan w:val="2"/>
          </w:tcPr>
          <w:p>
            <w:pPr>
              <w:ind w:left="120"/>
              <w:spacing w:after="0"/>
              <w:rPr>
                <w:sz w:val="20"/>
                <w:szCs w:val="20"/>
                <w:color w:val="auto"/>
              </w:rPr>
            </w:pPr>
            <w:r>
              <w:rPr>
                <w:rFonts w:ascii="Arial" w:cs="Arial" w:eastAsia="Arial" w:hAnsi="Arial"/>
                <w:sz w:val="18"/>
                <w:szCs w:val="18"/>
                <w:color w:val="auto"/>
              </w:rPr>
              <w:t>U.S. Treasury bonds</w:t>
            </w:r>
          </w:p>
        </w:tc>
        <w:tc>
          <w:tcPr>
            <w:tcW w:w="900" w:type="dxa"/>
            <w:vAlign w:val="bottom"/>
          </w:tcPr>
          <w:p>
            <w:pPr>
              <w:jc w:val="right"/>
              <w:spacing w:after="0"/>
              <w:rPr>
                <w:sz w:val="20"/>
                <w:szCs w:val="20"/>
                <w:color w:val="auto"/>
              </w:rPr>
            </w:pPr>
            <w:r>
              <w:rPr>
                <w:rFonts w:ascii="Arial" w:cs="Arial" w:eastAsia="Arial" w:hAnsi="Arial"/>
                <w:sz w:val="18"/>
                <w:szCs w:val="18"/>
                <w:color w:val="auto"/>
              </w:rPr>
              <w:t>13,026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13,053</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13,053</w:t>
            </w:r>
          </w:p>
        </w:tc>
        <w:tc>
          <w:tcPr>
            <w:tcW w:w="100" w:type="dxa"/>
            <w:vAlign w:val="bottom"/>
            <w:tcBorders>
              <w:top w:val="single" w:sz="8" w:color="CFF0FC"/>
            </w:tcBorders>
            <w:shd w:val="clear" w:color="auto" w:fill="CFF0FC"/>
          </w:tcPr>
          <w:p>
            <w:pPr>
              <w:spacing w:after="0"/>
              <w:rPr>
                <w:sz w:val="19"/>
                <w:szCs w:val="19"/>
                <w:color w:val="auto"/>
              </w:rPr>
            </w:pPr>
          </w:p>
        </w:tc>
      </w:tr>
      <w:tr>
        <w:trPr>
          <w:trHeight w:val="466"/>
        </w:trPr>
        <w:tc>
          <w:tcPr>
            <w:tcW w:w="5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Held-to-maturity securities: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gridSpan w:val="2"/>
          </w:tcPr>
          <w:p>
            <w:pPr>
              <w:ind w:left="120"/>
              <w:spacing w:after="0"/>
              <w:rPr>
                <w:sz w:val="20"/>
                <w:szCs w:val="20"/>
                <w:color w:val="auto"/>
              </w:rPr>
            </w:pPr>
            <w:r>
              <w:rPr>
                <w:rFonts w:ascii="Arial" w:cs="Arial" w:eastAsia="Arial" w:hAnsi="Arial"/>
                <w:sz w:val="18"/>
                <w:szCs w:val="18"/>
                <w:color w:val="auto"/>
              </w:rPr>
              <w:t>U.S. Treasury bonds</w:t>
            </w:r>
          </w:p>
        </w:tc>
        <w:tc>
          <w:tcPr>
            <w:tcW w:w="900" w:type="dxa"/>
            <w:vAlign w:val="bottom"/>
          </w:tcPr>
          <w:p>
            <w:pPr>
              <w:jc w:val="right"/>
              <w:spacing w:after="0"/>
              <w:rPr>
                <w:sz w:val="20"/>
                <w:szCs w:val="20"/>
                <w:color w:val="auto"/>
              </w:rPr>
            </w:pPr>
            <w:r>
              <w:rPr>
                <w:rFonts w:ascii="Arial" w:cs="Arial" w:eastAsia="Arial" w:hAnsi="Arial"/>
                <w:sz w:val="18"/>
                <w:szCs w:val="18"/>
                <w:color w:val="auto"/>
              </w:rPr>
              <w:t>10,002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gridSpan w:val="2"/>
          </w:tcPr>
          <w:p>
            <w:pPr>
              <w:ind w:left="120"/>
              <w:spacing w:after="0"/>
              <w:rPr>
                <w:sz w:val="20"/>
                <w:szCs w:val="20"/>
                <w:color w:val="auto"/>
              </w:rPr>
            </w:pPr>
            <w:r>
              <w:rPr>
                <w:rFonts w:ascii="Arial" w:cs="Arial" w:eastAsia="Arial" w:hAnsi="Arial"/>
                <w:sz w:val="18"/>
                <w:szCs w:val="18"/>
                <w:color w:val="auto"/>
              </w:rPr>
              <w:t>U.S. Treasury bonds</w:t>
            </w:r>
          </w:p>
        </w:tc>
        <w:tc>
          <w:tcPr>
            <w:tcW w:w="900" w:type="dxa"/>
            <w:vAlign w:val="bottom"/>
          </w:tcPr>
          <w:p>
            <w:pPr>
              <w:jc w:val="right"/>
              <w:spacing w:after="0"/>
              <w:rPr>
                <w:sz w:val="20"/>
                <w:szCs w:val="20"/>
                <w:color w:val="auto"/>
              </w:rPr>
            </w:pPr>
            <w:r>
              <w:rPr>
                <w:rFonts w:ascii="Arial" w:cs="Arial" w:eastAsia="Arial" w:hAnsi="Arial"/>
                <w:sz w:val="18"/>
                <w:szCs w:val="18"/>
                <w:color w:val="auto"/>
              </w:rPr>
              <w:t>13,060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13,128</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23,144</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Changes in fair value are related to changes in market interest rates. The Company expects to collect all contractual principal and interest payments.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maturities of securities held-to-maturity and available-for-sale as of March 31, 2021:</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ind w:left="820"/>
              <w:spacing w:after="0"/>
              <w:rPr>
                <w:sz w:val="20"/>
                <w:szCs w:val="20"/>
                <w:color w:val="auto"/>
              </w:rPr>
            </w:pPr>
            <w:r>
              <w:rPr>
                <w:rFonts w:ascii="Arial" w:cs="Arial" w:eastAsia="Arial" w:hAnsi="Arial"/>
                <w:sz w:val="14"/>
                <w:szCs w:val="14"/>
                <w:b w:val="1"/>
                <w:bCs w:val="1"/>
                <w:color w:val="auto"/>
              </w:rPr>
              <w:t>Available-for-sale</w:t>
            </w: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ind w:left="14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maturing in:</w:t>
            </w:r>
          </w:p>
        </w:tc>
        <w:tc>
          <w:tcPr>
            <w:tcW w:w="25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One year or less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13,026</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investments</w:t>
            </w:r>
          </w:p>
        </w:tc>
        <w:tc>
          <w:tcPr>
            <w:tcW w:w="25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recorded interest income of $105,000 for three months ended March 31, 2021, and $468,000 for the three months ended March 31, 2020, respectively, as a component of interest and other income, net on the Company’s condensed consolidated statement of operations and comprehensive loss.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67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Accrued liabilities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320" w:type="dxa"/>
            <w:vAlign w:val="bottom"/>
          </w:tcPr>
          <w:p>
            <w:pPr>
              <w:spacing w:after="0"/>
              <w:rPr>
                <w:sz w:val="24"/>
                <w:szCs w:val="24"/>
                <w:color w:val="auto"/>
              </w:rPr>
            </w:pPr>
          </w:p>
        </w:tc>
        <w:tc>
          <w:tcPr>
            <w:tcW w:w="6740" w:type="dxa"/>
            <w:vAlign w:val="bottom"/>
            <w:gridSpan w:val="2"/>
          </w:tcPr>
          <w:p>
            <w:pPr>
              <w:ind w:left="200"/>
              <w:spacing w:after="0"/>
              <w:rPr>
                <w:sz w:val="20"/>
                <w:szCs w:val="20"/>
                <w:color w:val="auto"/>
              </w:rPr>
            </w:pPr>
            <w:r>
              <w:rPr>
                <w:rFonts w:ascii="Arial" w:cs="Arial" w:eastAsia="Arial" w:hAnsi="Arial"/>
                <w:sz w:val="18"/>
                <w:szCs w:val="18"/>
                <w:color w:val="auto"/>
              </w:rPr>
              <w:t>Accrued liabilities consisted of the following as of:</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63"/>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235"/>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3"/>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payables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7,274</w:t>
            </w:r>
          </w:p>
        </w:tc>
      </w:tr>
      <w:tr>
        <w:trPr>
          <w:trHeight w:val="229"/>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8,554</w:t>
            </w:r>
          </w:p>
        </w:tc>
      </w:tr>
      <w:tr>
        <w:trPr>
          <w:trHeight w:val="230"/>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Liability with early exercised stock options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569</w:t>
            </w:r>
          </w:p>
        </w:tc>
      </w:tr>
      <w:tr>
        <w:trPr>
          <w:trHeight w:val="230"/>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167</w:t>
            </w:r>
          </w:p>
        </w:tc>
      </w:tr>
      <w:tr>
        <w:trPr>
          <w:trHeight w:val="223"/>
        </w:trPr>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16,564</w:t>
            </w:r>
          </w:p>
        </w:tc>
      </w:tr>
      <w:tr>
        <w:trPr>
          <w:trHeight w:val="20"/>
        </w:trPr>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The Company has operating and finance leases for corporate offices, research and development facilities, and certain vehicles. These leases have remaining lease terms of four to eight and a half years, some of which include options to extend the leases for five to eight years. The Company has determined that it is not reasonably certain to exercise the options under any leases. The lease of research and development facilities includes costs for utilities and common area maintenance, which have been included in the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9" w:name="page20"/>
    <w:bookmarkEnd w:id="19"/>
    <w:p>
      <w:pPr>
        <w:ind w:right="200"/>
        <w:spacing w:after="0" w:line="277" w:lineRule="auto"/>
        <w:rPr>
          <w:sz w:val="20"/>
          <w:szCs w:val="20"/>
          <w:color w:val="auto"/>
        </w:rPr>
      </w:pPr>
      <w:r>
        <w:rPr>
          <w:rFonts w:ascii="Arial" w:cs="Arial" w:eastAsia="Arial" w:hAnsi="Arial"/>
          <w:sz w:val="18"/>
          <w:szCs w:val="18"/>
          <w:color w:val="auto"/>
        </w:rPr>
        <w:t>calculation of lease payments. Differences between lease payments as measured at lease inception and variations in monthly payments will be recognized as operating expenses in the period in which the obligation is incurred.</w:t>
      </w:r>
    </w:p>
    <w:p>
      <w:pPr>
        <w:spacing w:after="0" w:line="1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Leases with an initial term of 12 months or less are not recorded on the balance sheet, and the Company recognizes lease expense for these leases on a straight-line basis over the lease terms. Leases with terms greater than 12 months are included in operating lease ROU assets and operating lease liabilities in the Company’s condensed consolidated balance sheets as of March 31, 2021 and December 31, 2020. Lease expense for lease payments is recognized on a straight-line basis over the lease term.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as of March 31, 2021 and are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Finance</w:t>
            </w:r>
          </w:p>
        </w:tc>
      </w:tr>
      <w:tr>
        <w:trPr>
          <w:trHeight w:val="17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Lease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Lease</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2021, remainder</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(2,512)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liabilities net of current portion</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for the three months ended March 31, 2021 and 2020:</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6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3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Finance lease cost:</w:t>
            </w: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212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29"/>
        </w:trPr>
        <w:tc>
          <w:tcPr>
            <w:tcW w:w="40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13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r>
      <w:tr>
        <w:trPr>
          <w:trHeight w:val="223"/>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finance lease cost</w:t>
            </w:r>
          </w:p>
        </w:tc>
        <w:tc>
          <w:tcPr>
            <w:tcW w:w="13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440" w:firstLine="510"/>
        <w:spacing w:after="0" w:line="342" w:lineRule="auto"/>
        <w:rPr>
          <w:sz w:val="20"/>
          <w:szCs w:val="20"/>
          <w:color w:val="auto"/>
        </w:rPr>
      </w:pPr>
      <w:r>
        <w:rPr>
          <w:rFonts w:ascii="Arial" w:cs="Arial" w:eastAsia="Arial" w:hAnsi="Arial"/>
          <w:sz w:val="16"/>
          <w:szCs w:val="16"/>
          <w:color w:val="auto"/>
        </w:rPr>
        <w:t>The Company made payments of $638,000 during the three months ended March 31, 2021, respectively, and $607,000 during the three months ended March 31, 2020, respectively, which are included as cash flow from operations on the condensed consolidated statements of cash flows.</w:t>
      </w:r>
    </w:p>
    <w:p>
      <w:pPr>
        <w:spacing w:after="0" w:line="124"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of March 31, 2021 and December 31, 2020, $296,000 of finance lease ROU assets were presented as part of property and equipment on the condensed consolidated balance sheet with accumulated amortization of $126,000 and $107,000,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 information related to the Company’s leases was as follows as of March 31, 2021 and December 31,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spacing w:after="0"/>
              <w:rPr>
                <w:sz w:val="16"/>
                <w:szCs w:val="16"/>
                <w:color w:val="auto"/>
              </w:rPr>
            </w:pPr>
          </w:p>
        </w:tc>
      </w:tr>
      <w:tr>
        <w:trPr>
          <w:trHeight w:val="214"/>
        </w:trPr>
        <w:tc>
          <w:tcPr>
            <w:tcW w:w="1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5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3"/>
        </w:trPr>
        <w:tc>
          <w:tcPr>
            <w:tcW w:w="170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w:t>
            </w:r>
          </w:p>
        </w:tc>
        <w:tc>
          <w:tcPr>
            <w:tcW w:w="15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w w:val="91"/>
              </w:rPr>
              <w:t>Weighted-average remaining lease term (years)</w:t>
            </w:r>
          </w:p>
        </w:tc>
        <w:tc>
          <w:tcPr>
            <w:tcW w:w="2580" w:type="dxa"/>
            <w:vAlign w:val="bottom"/>
            <w:gridSpan w:val="2"/>
          </w:tcPr>
          <w:p>
            <w:pPr>
              <w:ind w:left="2240"/>
              <w:spacing w:after="0"/>
              <w:rPr>
                <w:sz w:val="20"/>
                <w:szCs w:val="20"/>
                <w:color w:val="auto"/>
              </w:rPr>
            </w:pPr>
            <w:r>
              <w:rPr>
                <w:rFonts w:ascii="Arial" w:cs="Arial" w:eastAsia="Arial" w:hAnsi="Arial"/>
                <w:sz w:val="18"/>
                <w:szCs w:val="18"/>
                <w:color w:val="auto"/>
                <w:w w:val="91"/>
              </w:rPr>
              <w:t>5.83</w:t>
            </w:r>
          </w:p>
        </w:tc>
        <w:tc>
          <w:tcPr>
            <w:tcW w:w="300" w:type="dxa"/>
            <w:vAlign w:val="bottom"/>
          </w:tcPr>
          <w:p>
            <w:pPr>
              <w:spacing w:after="0"/>
              <w:rPr>
                <w:sz w:val="19"/>
                <w:szCs w:val="19"/>
                <w:color w:val="auto"/>
              </w:rPr>
            </w:pPr>
          </w:p>
        </w:tc>
        <w:tc>
          <w:tcPr>
            <w:tcW w:w="1060" w:type="dxa"/>
            <w:vAlign w:val="bottom"/>
          </w:tcPr>
          <w:p>
            <w:pPr>
              <w:ind w:left="720"/>
              <w:spacing w:after="0"/>
              <w:rPr>
                <w:sz w:val="20"/>
                <w:szCs w:val="20"/>
                <w:color w:val="auto"/>
              </w:rPr>
            </w:pPr>
            <w:r>
              <w:rPr>
                <w:rFonts w:ascii="Arial" w:cs="Arial" w:eastAsia="Arial" w:hAnsi="Arial"/>
                <w:sz w:val="18"/>
                <w:szCs w:val="18"/>
                <w:color w:val="auto"/>
                <w:w w:val="91"/>
              </w:rPr>
              <w:t>5.97</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discount rate</w:t>
            </w:r>
          </w:p>
        </w:tc>
        <w:tc>
          <w:tcPr>
            <w:tcW w:w="2880" w:type="dxa"/>
            <w:vAlign w:val="bottom"/>
            <w:gridSpan w:val="3"/>
            <w:shd w:val="clear" w:color="auto" w:fill="CFF0FC"/>
          </w:tcPr>
          <w:p>
            <w:pPr>
              <w:ind w:left="2240"/>
              <w:spacing w:after="0"/>
              <w:rPr>
                <w:sz w:val="20"/>
                <w:szCs w:val="20"/>
                <w:color w:val="auto"/>
              </w:rPr>
            </w:pPr>
            <w:r>
              <w:rPr>
                <w:rFonts w:ascii="Arial" w:cs="Arial" w:eastAsia="Arial" w:hAnsi="Arial"/>
                <w:sz w:val="18"/>
                <w:szCs w:val="18"/>
                <w:color w:val="auto"/>
              </w:rPr>
              <w:t>9.38%</w:t>
            </w:r>
          </w:p>
        </w:tc>
        <w:tc>
          <w:tcPr>
            <w:tcW w:w="12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7"/>
              </w:rPr>
              <w:t>9.35%</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Finance Lease:</w:t>
            </w:r>
          </w:p>
        </w:tc>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Weighted-average remaining lease term (years)</w:t>
            </w:r>
          </w:p>
        </w:tc>
        <w:tc>
          <w:tcPr>
            <w:tcW w:w="2580" w:type="dxa"/>
            <w:vAlign w:val="bottom"/>
            <w:gridSpan w:val="2"/>
            <w:shd w:val="clear" w:color="auto" w:fill="CFF0FC"/>
          </w:tcPr>
          <w:p>
            <w:pPr>
              <w:ind w:left="2240"/>
              <w:spacing w:after="0"/>
              <w:rPr>
                <w:sz w:val="20"/>
                <w:szCs w:val="20"/>
                <w:color w:val="auto"/>
              </w:rPr>
            </w:pPr>
            <w:r>
              <w:rPr>
                <w:rFonts w:ascii="Arial" w:cs="Arial" w:eastAsia="Arial" w:hAnsi="Arial"/>
                <w:sz w:val="18"/>
                <w:szCs w:val="18"/>
                <w:color w:val="auto"/>
                <w:w w:val="91"/>
              </w:rPr>
              <w:t>2.44</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1"/>
              </w:rPr>
              <w:t>2.68</w:t>
            </w:r>
          </w:p>
        </w:tc>
        <w:tc>
          <w:tcPr>
            <w:tcW w:w="1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Weighted-average discount rate</w:t>
            </w:r>
          </w:p>
        </w:tc>
        <w:tc>
          <w:tcPr>
            <w:tcW w:w="2880" w:type="dxa"/>
            <w:vAlign w:val="bottom"/>
            <w:gridSpan w:val="3"/>
          </w:tcPr>
          <w:p>
            <w:pPr>
              <w:ind w:left="2240"/>
              <w:spacing w:after="0"/>
              <w:rPr>
                <w:sz w:val="20"/>
                <w:szCs w:val="20"/>
                <w:color w:val="auto"/>
              </w:rPr>
            </w:pPr>
            <w:r>
              <w:rPr>
                <w:rFonts w:ascii="Arial" w:cs="Arial" w:eastAsia="Arial" w:hAnsi="Arial"/>
                <w:sz w:val="18"/>
                <w:szCs w:val="18"/>
                <w:color w:val="auto"/>
              </w:rPr>
              <w:t>3.14%</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97"/>
              </w:rPr>
              <w:t>3.15%</w:t>
            </w:r>
          </w:p>
        </w:tc>
        <w:tc>
          <w:tcPr>
            <w:tcW w:w="1700" w:type="dxa"/>
            <w:vAlign w:val="bottom"/>
          </w:tcPr>
          <w:p>
            <w:pPr>
              <w:spacing w:after="0"/>
              <w:rPr>
                <w:sz w:val="20"/>
                <w:szCs w:val="20"/>
                <w:color w:val="auto"/>
              </w:rPr>
            </w:pPr>
          </w:p>
        </w:tc>
      </w:tr>
      <w:tr>
        <w:trPr>
          <w:trHeight w:val="64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00" w:type="dxa"/>
            <w:vAlign w:val="bottom"/>
          </w:tcPr>
          <w:p>
            <w:pPr>
              <w:jc w:val="right"/>
              <w:ind w:right="1133"/>
              <w:spacing w:after="0"/>
              <w:rPr>
                <w:sz w:val="20"/>
                <w:szCs w:val="20"/>
                <w:color w:val="auto"/>
              </w:rPr>
            </w:pPr>
            <w:r>
              <w:rPr>
                <w:rFonts w:ascii="Arial" w:cs="Arial" w:eastAsia="Arial" w:hAnsi="Arial"/>
                <w:sz w:val="18"/>
                <w:szCs w:val="18"/>
                <w:color w:val="auto"/>
              </w:rPr>
              <w:t>15</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0" w:name="page21"/>
    <w:bookmarkEnd w:id="20"/>
    <w:p>
      <w:pPr>
        <w:ind w:left="520" w:right="5160" w:hanging="512"/>
        <w:spacing w:after="0" w:line="378" w:lineRule="auto"/>
        <w:tabs>
          <w:tab w:leader="none" w:pos="51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liabilities and redeemable convertible preferred stock liability </w:t>
      </w:r>
      <w:r>
        <w:rPr>
          <w:rFonts w:ascii="Arial" w:cs="Arial" w:eastAsia="Arial" w:hAnsi="Arial"/>
          <w:sz w:val="18"/>
          <w:szCs w:val="18"/>
          <w:b w:val="1"/>
          <w:bCs w:val="1"/>
          <w:i w:val="1"/>
          <w:iCs w:val="1"/>
          <w:color w:val="auto"/>
        </w:rPr>
        <w:t>Warrants</w:t>
      </w:r>
    </w:p>
    <w:p>
      <w:pPr>
        <w:ind w:firstLine="510"/>
        <w:spacing w:after="0" w:line="263" w:lineRule="auto"/>
        <w:rPr>
          <w:sz w:val="20"/>
          <w:szCs w:val="20"/>
          <w:color w:val="auto"/>
        </w:rPr>
      </w:pPr>
      <w:r>
        <w:rPr>
          <w:rFonts w:ascii="Arial" w:cs="Arial" w:eastAsia="Arial" w:hAnsi="Arial"/>
          <w:sz w:val="18"/>
          <w:szCs w:val="18"/>
          <w:color w:val="auto"/>
        </w:rPr>
        <w:t>In connection with the issuance of certain notes, lenders were issued Warrants to purchase 134,112 shares of Series A. The Warrants have a coverage percentage of 25% of the principal amount of the notes and have a ten-year expiration date from the applicable closing date of April 20, 2018 or June 6, 2018.</w:t>
      </w:r>
    </w:p>
    <w:p>
      <w:pPr>
        <w:spacing w:after="0" w:line="184" w:lineRule="exact"/>
        <w:rPr>
          <w:sz w:val="20"/>
          <w:szCs w:val="20"/>
          <w:color w:val="auto"/>
        </w:rPr>
      </w:pPr>
    </w:p>
    <w:p>
      <w:pPr>
        <w:ind w:right="60" w:firstLine="510"/>
        <w:spacing w:after="0" w:line="308" w:lineRule="auto"/>
        <w:rPr>
          <w:sz w:val="20"/>
          <w:szCs w:val="20"/>
          <w:color w:val="auto"/>
        </w:rPr>
      </w:pPr>
      <w:r>
        <w:rPr>
          <w:rFonts w:ascii="Arial" w:cs="Arial" w:eastAsia="Arial" w:hAnsi="Arial"/>
          <w:sz w:val="18"/>
          <w:szCs w:val="18"/>
          <w:color w:val="auto"/>
        </w:rPr>
        <w:t>The underlying shares issuable upon the exercise of the Warrants were eligible to be exercised into the next round of equity financing. The Warrants became exercisable into shares of Series A for an exercise price of $9.32 per share.</w:t>
      </w:r>
    </w:p>
    <w:p>
      <w:pPr>
        <w:spacing w:after="0" w:line="144" w:lineRule="exact"/>
        <w:rPr>
          <w:sz w:val="20"/>
          <w:szCs w:val="20"/>
          <w:color w:val="auto"/>
        </w:rPr>
      </w:pPr>
    </w:p>
    <w:p>
      <w:pPr>
        <w:ind w:right="120" w:firstLine="510"/>
        <w:spacing w:after="0" w:line="265" w:lineRule="auto"/>
        <w:rPr>
          <w:sz w:val="20"/>
          <w:szCs w:val="20"/>
          <w:color w:val="auto"/>
        </w:rPr>
      </w:pPr>
      <w:r>
        <w:rPr>
          <w:rFonts w:ascii="Arial" w:cs="Arial" w:eastAsia="Arial" w:hAnsi="Arial"/>
          <w:sz w:val="18"/>
          <w:szCs w:val="18"/>
          <w:color w:val="auto"/>
        </w:rPr>
        <w:t>The Company recorded the Warrants initially at fair value (Note 10) as derivative liabilities on the consolidated balance sheet with the value being allocated to the notes as a debt discount. The fair value of the Warrants upon issuance on April 20, 2018 and June 6, 2018, was $0.7 million and $238,000, respectively. The fair value of the Warrants was $0 and $0 as of March 31, 2021 and December 31, 2020, respectively as, due to the IPO in October 2020, all outstanding warrants were automatically exercised for the issuance of Common Stock, and upon that exercise, such warrants were no longer outstanding.</w:t>
      </w:r>
    </w:p>
    <w:p>
      <w:pPr>
        <w:spacing w:after="0" w:line="180" w:lineRule="exact"/>
        <w:rPr>
          <w:sz w:val="20"/>
          <w:szCs w:val="20"/>
          <w:color w:val="auto"/>
        </w:rPr>
      </w:pPr>
    </w:p>
    <w:p>
      <w:pPr>
        <w:ind w:right="40" w:firstLine="510"/>
        <w:spacing w:after="0" w:line="290" w:lineRule="auto"/>
        <w:rPr>
          <w:sz w:val="20"/>
          <w:szCs w:val="20"/>
          <w:color w:val="auto"/>
        </w:rPr>
      </w:pPr>
      <w:r>
        <w:rPr>
          <w:rFonts w:ascii="Arial" w:cs="Arial" w:eastAsia="Arial" w:hAnsi="Arial"/>
          <w:sz w:val="17"/>
          <w:szCs w:val="17"/>
          <w:color w:val="auto"/>
        </w:rPr>
        <w:t>No warrants were exercised during the three months ended March 31, 2021, or during the three months ended March 31, 2020. As Series A contained a conditional obligation for the Company to repurchase the shares for cash consideration, the Warrants were exercised as of the IPO date, with changes in fair value being recorded on the consolidated statements of operations and comprehensive loss. The Company recorded a change in fair value of derivative liabilities of $0 and $20,000 for the three months ended March 31, 2021 and March 31, 2020, respectively.</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Redeemable convertible preferred stock liability</w:t>
      </w:r>
    </w:p>
    <w:p>
      <w:pPr>
        <w:spacing w:after="0" w:line="117"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 xml:space="preserve">In connection with the issuance of shares of Series B-1 (Note 8), the Series B-1 preferred stockholders committed to purchase and the Company committed to sell 3,569,630 shares of Series B-2 at a price of $11.20563 per share in a subsequent closing, contingent upon the achievement of certain developmental milestones or a receipt of a waiver of achievement of the milestones. The Redeemable Convertible Preferred Stock Liability is considered a freestanding instrument that qualifies as a liability under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 the Company is committed to issue an instrument that ultimately may require a transfer of assets. The liability is accounted for at fair value and re-measured at each reporting date (Note 10). On the date of the initial closing, the Company recorded the Redeemable Convertible Preferred Stock Liability at a fair value of $3.2 million. As of March 31, 2021 and December 31, 2020, all of the Series B-2 shares were issued and then, as a result of the IPO, converted to shares of common stock. The Company recorded a change in fair value of the liability of $0 and $166,000 during the three months ended March 31, 2021 and 2020.</w:t>
      </w:r>
    </w:p>
    <w:p>
      <w:pPr>
        <w:spacing w:after="0" w:line="269" w:lineRule="exact"/>
        <w:rPr>
          <w:sz w:val="20"/>
          <w:szCs w:val="20"/>
          <w:color w:val="auto"/>
        </w:rPr>
      </w:pPr>
    </w:p>
    <w:p>
      <w:pPr>
        <w:ind w:left="520" w:right="9620" w:hanging="512"/>
        <w:spacing w:after="0" w:line="453" w:lineRule="auto"/>
        <w:tabs>
          <w:tab w:leader="none" w:pos="51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b w:val="1"/>
          <w:bCs w:val="1"/>
          <w:i w:val="1"/>
          <w:iCs w:val="1"/>
          <w:color w:val="auto"/>
        </w:rPr>
        <w:t>Common stock</w:t>
      </w:r>
    </w:p>
    <w:p>
      <w:pPr>
        <w:spacing w:after="0" w:line="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On October 20, 2020, the certificate of incorporation was amended to increase the total shares of Common Stock authorized for issuance to 320,000,000 and decrease the total shares of preferred stock authorized for issuance to 10,000,000 with a par value of $0.0001 per share. 300,000,000 shares of the Common Stock were designated as “Voting Common Stock” and 20,000,000 shares of the Common Stock were designated as “Non-Voting Common Stock”.</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holders of shares of Common Stock are entitled to one vote for each share of Common Stock at all meetings of stockholders.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August 16, 2018, the Company entered into the Series A Preferred Stock Purchase Agreement for the purchase and sale of Series A for $9.32 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The Company received $75.0 million in cash proceeds from the initial purchasers. On September 19, 2018, the Company received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in cash proceeds from subsequent purchasers. Additionally, on the initial closing date, $5.6 million in convertible notes plus accrued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into shares of Series A and the notes were subsequently cancelled. The Warrants associated with the convertible notes became exercisable into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Series A. Each share of Series A is convertible into Common Stock on a one-for-one basis. In connection with the issuance of Series A,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incurred $194,000 in issuance costs which have offset amounts reported as temporary equity as of December 31, 2019.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in connection with the Company’s IPO, all shares of Series A converted into Common Stock.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1" w:name="page22"/>
    <w:bookmarkEnd w:id="21"/>
    <w:p>
      <w:pPr>
        <w:ind w:right="60" w:firstLine="514"/>
        <w:spacing w:after="0" w:line="291" w:lineRule="auto"/>
        <w:rPr>
          <w:sz w:val="20"/>
          <w:szCs w:val="20"/>
          <w:color w:val="auto"/>
        </w:rPr>
      </w:pPr>
      <w:r>
        <w:rPr>
          <w:rFonts w:ascii="Arial" w:cs="Arial" w:eastAsia="Arial" w:hAnsi="Arial"/>
          <w:sz w:val="16"/>
          <w:szCs w:val="16"/>
          <w:color w:val="auto"/>
        </w:rPr>
        <w:t>On December 23, 2019, the Company entered into the Series B-1 and Series B-2 Preferred Stock Purchase Agreement (the Series B Purchase Agreement), pursuant to which the investors committed to invest an aggregate amount of up to $125.0 million for the issuance and sale of shares of Series B-1 and Series B-2 (collectively, the Series B), at a price of $10.18690 and $11.20563 per share, respectively. The Company issued 8,344,034 shares of Series B-1 for cash proceeds of $85.0 million at the initial closing. The investors also committed to purchase and the Company committed to sell 3,569,630 shares of Series B-2 in a subsequent closing (the Second Closing), contingent upon achievement by the Company of certain development milestones or a receipt of a waiver of achievement of the milestones. No shares of Series B-2 were issued as of March 31, 2021. In connection with the issuance of Series B-1, the Company incurred $442,000 in issuance costs which have offset amounts reported as temporary equity as of December 31, 2019.</w:t>
      </w:r>
    </w:p>
    <w:p>
      <w:pPr>
        <w:spacing w:after="0" w:line="166" w:lineRule="exact"/>
        <w:rPr>
          <w:sz w:val="20"/>
          <w:szCs w:val="20"/>
          <w:color w:val="auto"/>
        </w:rPr>
      </w:pPr>
    </w:p>
    <w:p>
      <w:pPr>
        <w:ind w:right="440" w:firstLine="510"/>
        <w:spacing w:after="0" w:line="279" w:lineRule="auto"/>
        <w:rPr>
          <w:sz w:val="20"/>
          <w:szCs w:val="20"/>
          <w:color w:val="auto"/>
        </w:rPr>
      </w:pPr>
      <w:r>
        <w:rPr>
          <w:rFonts w:ascii="Arial" w:cs="Arial" w:eastAsia="Arial" w:hAnsi="Arial"/>
          <w:sz w:val="18"/>
          <w:szCs w:val="18"/>
          <w:color w:val="auto"/>
        </w:rPr>
        <w:t>Prior to the IPO, the Company issued 3,569,630 shares of Series B-2, which upon the closing of the IPO converted into common stock. In connection with the Company’s IPO, all shares of Series B-1 converted into common stock. As of December 31, 2020, there was 10,000,000 shares of preferred stock authorized and no preferred stock issued.</w:t>
      </w:r>
    </w:p>
    <w:p>
      <w:pPr>
        <w:spacing w:after="0" w:line="273" w:lineRule="exact"/>
        <w:rPr>
          <w:sz w:val="20"/>
          <w:szCs w:val="20"/>
          <w:color w:val="auto"/>
        </w:rPr>
      </w:pPr>
    </w:p>
    <w:p>
      <w:pPr>
        <w:ind w:left="520" w:right="8720" w:hanging="512"/>
        <w:spacing w:after="0" w:line="528" w:lineRule="auto"/>
        <w:tabs>
          <w:tab w:leader="none" w:pos="51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periods ended March 31, 2021 and 2020, the Company’s stock option compensation expense was approximately $2.7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$240,000, respectively, and there was no recognized tax benefit in either of the periods. As of March 31, 2021, unamortized expense balance was $37.1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million, to be amortized over a weighted average period of 3.21 years.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during the three months ended March 31, 2021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6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Time-based options</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subject</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to 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term (years)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5,488,148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59,500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(26,207)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(5,718)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March 31,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5,515,723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62,548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240" w:type="dxa"/>
            <w:vAlign w:val="bottom"/>
          </w:tcPr>
          <w:p>
            <w:pPr>
              <w:spacing w:after="0"/>
              <w:rPr>
                <w:sz w:val="20"/>
                <w:szCs w:val="20"/>
                <w:color w:val="auto"/>
              </w:rPr>
            </w:pPr>
            <w:r>
              <w:rPr>
                <w:rFonts w:ascii="Arial" w:cs="Arial" w:eastAsia="Arial" w:hAnsi="Arial"/>
                <w:sz w:val="18"/>
                <w:szCs w:val="18"/>
                <w:color w:val="auto"/>
              </w:rPr>
              <w:t>Options vested and expected to vest as of March 31, 2021</w:t>
            </w:r>
          </w:p>
        </w:tc>
        <w:tc>
          <w:tcPr>
            <w:tcW w:w="1020" w:type="dxa"/>
            <w:vAlign w:val="bottom"/>
          </w:tcPr>
          <w:p>
            <w:pPr>
              <w:jc w:val="right"/>
              <w:spacing w:after="0"/>
              <w:rPr>
                <w:sz w:val="20"/>
                <w:szCs w:val="20"/>
                <w:color w:val="auto"/>
              </w:rPr>
            </w:pPr>
            <w:r>
              <w:rPr>
                <w:rFonts w:ascii="Arial" w:cs="Arial" w:eastAsia="Arial" w:hAnsi="Arial"/>
                <w:sz w:val="18"/>
                <w:szCs w:val="18"/>
                <w:color w:val="auto"/>
              </w:rPr>
              <w:t>5,460,481</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61,485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exercisable as of March 31, 2021</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752,171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grant date fair value of options granted was $17.33 per share during the three months ended March 31, 2021.</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80" w:firstLine="510"/>
        <w:spacing w:after="0" w:line="329" w:lineRule="auto"/>
        <w:rPr>
          <w:sz w:val="20"/>
          <w:szCs w:val="20"/>
          <w:color w:val="auto"/>
        </w:rPr>
      </w:pPr>
      <w:r>
        <w:rPr>
          <w:rFonts w:ascii="Arial" w:cs="Arial" w:eastAsia="Arial" w:hAnsi="Arial"/>
          <w:sz w:val="16"/>
          <w:szCs w:val="16"/>
          <w:color w:val="auto"/>
        </w:rPr>
        <w:t>During the three months ended March 31, 2021 and 2020, the Company recorded a total stock-based compensation expense of $90,000 and $90,000 related to the restricted stock awards. As of March 31, 2021, unrecognized stock-based compensation expense related to outstanding unvested shares of restricted stock that are expected to vest were approximately $421,000, expected to be recognized over a weighted-average period of 1.00 years.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activity for the three months ended March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Aggregate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Awards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January 1, 2021</w:t>
            </w:r>
          </w:p>
        </w:tc>
        <w:tc>
          <w:tcPr>
            <w:tcW w:w="15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408,411</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Restricted stock awards granted</w:t>
            </w:r>
          </w:p>
        </w:tc>
        <w:tc>
          <w:tcPr>
            <w:tcW w:w="15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vested</w:t>
            </w:r>
          </w:p>
        </w:tc>
        <w:tc>
          <w:tcPr>
            <w:tcW w:w="28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(104,700)</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140"/>
              <w:spacing w:after="0"/>
              <w:rPr>
                <w:sz w:val="20"/>
                <w:szCs w:val="20"/>
                <w:color w:val="auto"/>
              </w:rPr>
            </w:pPr>
            <w:r>
              <w:rPr>
                <w:rFonts w:ascii="Arial" w:cs="Arial" w:eastAsia="Arial" w:hAnsi="Arial"/>
                <w:sz w:val="18"/>
                <w:szCs w:val="18"/>
                <w:color w:val="auto"/>
              </w:rPr>
              <w:t>Issued and unvested as of March 31, 2021</w:t>
            </w:r>
          </w:p>
        </w:tc>
        <w:tc>
          <w:tcPr>
            <w:tcW w:w="15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303,711</w:t>
            </w:r>
          </w:p>
        </w:tc>
        <w:tc>
          <w:tcPr>
            <w:tcW w:w="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80" w:type="dxa"/>
            <w:vAlign w:val="bottom"/>
            <w:vMerge w:val="restart"/>
          </w:tcPr>
          <w:p>
            <w:pPr>
              <w:jc w:val="right"/>
              <w:ind w:right="610"/>
              <w:spacing w:after="0"/>
              <w:rPr>
                <w:sz w:val="20"/>
                <w:szCs w:val="20"/>
                <w:color w:val="auto"/>
              </w:rPr>
            </w:pPr>
            <w:r>
              <w:rPr>
                <w:rFonts w:ascii="Arial" w:cs="Arial" w:eastAsia="Arial" w:hAnsi="Arial"/>
                <w:sz w:val="18"/>
                <w:szCs w:val="18"/>
                <w:color w:val="auto"/>
              </w:rPr>
              <w:t>17</w:t>
            </w: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Stock-based compensation expense was allocated as follows for the three months ended March 31, 2021 and 2020:</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215"/>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CFF0FC"/>
            </w:tcBorders>
          </w:tcPr>
          <w:p>
            <w:pPr>
              <w:spacing w:after="0"/>
              <w:rPr>
                <w:sz w:val="19"/>
                <w:szCs w:val="19"/>
                <w:color w:val="auto"/>
              </w:rPr>
            </w:pPr>
          </w:p>
        </w:tc>
      </w:tr>
      <w:tr>
        <w:trPr>
          <w:trHeight w:val="223"/>
        </w:trPr>
        <w:tc>
          <w:tcPr>
            <w:tcW w:w="44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During the three months ended March 31, 2021, the Company issued 317,456 shares of common stock, upon exercise of unvested stock options or purchases for unvested restricted stock awards. As of March 31, 2021 and December 31, 2020, there were 338,358 and 396,522 shares of Common Stock held by employees subject to repurchase at an aggregate price of $0.5 million and $0.6 million, respectively. A corresponding liability was recorded and included in accrued expenses on the condensed consolidated balance sheet as of March 31, 2021 and December 31, 2020, respectively.</w:t>
      </w:r>
    </w:p>
    <w:p>
      <w:pPr>
        <w:spacing w:after="0" w:line="27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present the fair value of the Company’s financial instruments that are measured or disclosed at fair value on a recurring basis:</w:t>
      </w:r>
    </w:p>
    <w:p>
      <w:pPr>
        <w:spacing w:after="0" w:line="253"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Fair Value Measurements</w:t>
      </w:r>
    </w:p>
    <w:p>
      <w:pPr>
        <w:jc w:val="center"/>
        <w:ind w:left="7040"/>
        <w:spacing w:after="0" w:line="236" w:lineRule="auto"/>
        <w:rPr>
          <w:sz w:val="20"/>
          <w:szCs w:val="20"/>
          <w:color w:val="auto"/>
        </w:rPr>
      </w:pPr>
      <w:r>
        <w:rPr>
          <w:rFonts w:ascii="Arial" w:cs="Arial" w:eastAsia="Arial" w:hAnsi="Arial"/>
          <w:sz w:val="14"/>
          <w:szCs w:val="14"/>
          <w:b w:val="1"/>
          <w:bCs w:val="1"/>
          <w:color w:val="auto"/>
        </w:rPr>
        <w:t>as of March 31, 2021</w:t>
      </w:r>
    </w:p>
    <w:tbl>
      <w:tblPr>
        <w:tblLayout w:type="fixed"/>
        <w:tblInd w:w="0" w:type="dxa"/>
        <w:tblCellMar>
          <w:top w:w="0" w:type="dxa"/>
          <w:left w:w="0" w:type="dxa"/>
          <w:bottom w:w="0" w:type="dxa"/>
          <w:right w:w="0" w:type="dxa"/>
        </w:tblCellMar>
      </w:tblPr>
      <w:tr>
        <w:trPr>
          <w:trHeight w:val="155"/>
        </w:trPr>
        <w:tc>
          <w:tcPr>
            <w:tcW w:w="4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2"/>
              </w:rPr>
              <w:t>Level 2</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200,362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Treasury bonds</w:t>
            </w:r>
          </w:p>
        </w:tc>
        <w:tc>
          <w:tcPr>
            <w:tcW w:w="2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213,415</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4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44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31, 2020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30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220,383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Treasury bonds</w:t>
            </w:r>
          </w:p>
        </w:tc>
        <w:tc>
          <w:tcPr>
            <w:tcW w:w="2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23,144</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243,527</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right="7540" w:hanging="512"/>
        <w:spacing w:after="0" w:line="453" w:lineRule="auto"/>
        <w:tabs>
          <w:tab w:leader="none" w:pos="51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 and collaboration agreements </w:t>
      </w:r>
      <w:r>
        <w:rPr>
          <w:rFonts w:ascii="Arial" w:cs="Arial" w:eastAsia="Arial" w:hAnsi="Arial"/>
          <w:sz w:val="15"/>
          <w:szCs w:val="15"/>
          <w:b w:val="1"/>
          <w:bCs w:val="1"/>
          <w:i w:val="1"/>
          <w:iCs w:val="1"/>
          <w:color w:val="auto"/>
        </w:rPr>
        <w:t>Agreement with Emory University (Emory)</w:t>
      </w:r>
    </w:p>
    <w:p>
      <w:pPr>
        <w:spacing w:after="0" w:line="1" w:lineRule="exact"/>
        <w:rPr>
          <w:sz w:val="20"/>
          <w:szCs w:val="20"/>
          <w:color w:val="auto"/>
        </w:rPr>
      </w:pPr>
    </w:p>
    <w:p>
      <w:pPr>
        <w:ind w:right="20" w:firstLine="667"/>
        <w:spacing w:after="0" w:line="269" w:lineRule="auto"/>
        <w:rPr>
          <w:sz w:val="20"/>
          <w:szCs w:val="20"/>
          <w:color w:val="auto"/>
        </w:rPr>
      </w:pPr>
      <w:r>
        <w:rPr>
          <w:rFonts w:ascii="Arial" w:cs="Arial" w:eastAsia="Arial" w:hAnsi="Arial"/>
          <w:sz w:val="17"/>
          <w:szCs w:val="17"/>
          <w:color w:val="auto"/>
        </w:rPr>
        <w:t>In June 2018, the Company entered into a license agreement with Emory (the Emory License Agreement), pursuant to which Emory granted the Company a worldwide, sublicenseable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will become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179" w:lineRule="exact"/>
        <w:rPr>
          <w:sz w:val="20"/>
          <w:szCs w:val="20"/>
          <w:color w:val="auto"/>
        </w:rPr>
      </w:pPr>
    </w:p>
    <w:p>
      <w:pPr>
        <w:jc w:val="both"/>
        <w:ind w:right="40" w:firstLine="667"/>
        <w:spacing w:after="0" w:line="263" w:lineRule="auto"/>
        <w:rPr>
          <w:sz w:val="20"/>
          <w:szCs w:val="20"/>
          <w:color w:val="auto"/>
        </w:rPr>
      </w:pPr>
      <w:r>
        <w:rPr>
          <w:rFonts w:ascii="Arial" w:cs="Arial" w:eastAsia="Arial" w:hAnsi="Arial"/>
          <w:sz w:val="18"/>
          <w:szCs w:val="18"/>
          <w:color w:val="auto"/>
        </w:rPr>
        <w:t>As consideration for the Emory License Agreement, the Company paid an upfront license fee of $290,000 and issued the Emory Convertible Note of $600,000. As discussed in Note 8, upon issuance of the Series A in August 2018, the Emory Convertible Note and unpaid accrued interest was cancelled and converted into shares of Series A at a conversion price of $9.32 per share.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3" w:name="page24"/>
    <w:bookmarkEnd w:id="23"/>
    <w:p>
      <w:pPr>
        <w:ind w:right="40" w:firstLine="510"/>
        <w:spacing w:after="0" w:line="254" w:lineRule="auto"/>
        <w:rPr>
          <w:sz w:val="20"/>
          <w:szCs w:val="20"/>
          <w:color w:val="auto"/>
        </w:rPr>
      </w:pPr>
      <w:r>
        <w:rPr>
          <w:rFonts w:ascii="Arial" w:cs="Arial" w:eastAsia="Arial" w:hAnsi="Arial"/>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$150,000,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terminates one year from the effective date, with the Company having an option to extend for a second year. In connection with the research plan, the Company will provide Emory funding up to $270,000 per year.</w:t>
      </w:r>
    </w:p>
    <w:p>
      <w:pPr>
        <w:spacing w:after="0" w:line="19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Company has agreed to pay Emory up to an aggregate of $125.0 million upon the achievement of specified development, regulatory, and commercial milestones, and all ongoing patent costs. During the three months ended March 31, 2021, the Company had $80,000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three months ended March 31, 2021 and 2020, the Company made no payments associated with royalties and recognized no expense or accruals.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Luxna Biotech Co., Ltd. (Luxna)</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As consideration for this agreement, the Company paid an upfront license fee of $600,000, which was recorded as research and development expense during the period from inception through December 31, 2018 and the year ended December 31, 2019.</w:t>
      </w:r>
    </w:p>
    <w:p>
      <w:pPr>
        <w:spacing w:after="0" w:line="192"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$200,000 in April 2020.</w:t>
      </w:r>
    </w:p>
    <w:p>
      <w:pPr>
        <w:spacing w:after="0" w:line="157" w:lineRule="exact"/>
        <w:rPr>
          <w:sz w:val="20"/>
          <w:szCs w:val="20"/>
          <w:color w:val="auto"/>
        </w:rPr>
      </w:pPr>
    </w:p>
    <w:p>
      <w:pPr>
        <w:ind w:right="400" w:firstLine="510"/>
        <w:spacing w:after="0" w:line="301" w:lineRule="auto"/>
        <w:rPr>
          <w:sz w:val="20"/>
          <w:szCs w:val="20"/>
          <w:color w:val="auto"/>
        </w:rPr>
      </w:pPr>
      <w:r>
        <w:rPr>
          <w:rFonts w:ascii="Arial" w:cs="Arial" w:eastAsia="Arial" w:hAnsi="Arial"/>
          <w:sz w:val="16"/>
          <w:szCs w:val="16"/>
          <w:color w:val="auto"/>
        </w:rPr>
        <w:t>The Company is obligated to make payments to Luxna, in aggregate, totaling up to but no more than $55.5 million upon the achievement of specified development, regulatory, and commercial milestones. During the three months ended March 31, 2021 and 2020, the Company recognized no expenses related to milestone payments. The Company is also required to pay Luxna a low-single digit royalty percentage on net sale of applicable products, if any. During the three months ended March 31, 2021 and 2020, the Company made no payments associated with royalties.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Katholieke Universiteit Leuven (KU Leuven)</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40"/>
        <w:spacing w:after="0" w:line="255" w:lineRule="auto"/>
        <w:rPr>
          <w:sz w:val="20"/>
          <w:szCs w:val="20"/>
          <w:color w:val="auto"/>
        </w:rPr>
      </w:pPr>
      <w:r>
        <w:rPr>
          <w:rFonts w:ascii="Arial" w:cs="Arial" w:eastAsia="Arial" w:hAnsi="Arial"/>
          <w:sz w:val="18"/>
          <w:szCs w:val="18"/>
          <w:color w:val="auto"/>
        </w:rPr>
        <w:t>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three months ended March 31, 2021, the Company recognized no expenses related to milestone payments.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Merck</w:t>
      </w:r>
    </w:p>
    <w:p>
      <w:pPr>
        <w:spacing w:after="0" w:line="117" w:lineRule="exact"/>
        <w:rPr>
          <w:sz w:val="20"/>
          <w:szCs w:val="20"/>
          <w:color w:val="auto"/>
        </w:rPr>
      </w:pPr>
    </w:p>
    <w:p>
      <w:pPr>
        <w:ind w:firstLine="667"/>
        <w:spacing w:after="0" w:line="276" w:lineRule="auto"/>
        <w:rPr>
          <w:sz w:val="20"/>
          <w:szCs w:val="20"/>
          <w:color w:val="auto"/>
        </w:rPr>
      </w:pPr>
      <w:r>
        <w:rPr>
          <w:rFonts w:ascii="Arial" w:cs="Arial" w:eastAsia="Arial" w:hAnsi="Arial"/>
          <w:sz w:val="17"/>
          <w:szCs w:val="17"/>
          <w:color w:val="auto"/>
        </w:rPr>
        <w:t>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agreement, the Company received an upfront payment from Merck and may receive an additional upfront payment after finalization of a research plan for such additional target. With respect to each collaboration target, the Company will be eligible for up to $458.0 million in development and commercialization milestones as well as tiered royalties on net sales. The Company will be primarily responsible for designing, preparing and evaluating the oligonucleotide molecules and delivering optimized lead molecules, and Merck will be responsible for subsequent research, clinical development and commercialization efforts. The Company determined that the Merck agreement falls within the scope of ASC 808 and we analogized to ASC 606 for the accounting of payments such as upfront payments and other milestones. During the three months ended March 31, 2021 the Company recognized $910,000 of revenue from collaborative arrangements related to milestone payments. During the three months ended March 31, 2020 the Company did not recognize any revenue from collaborative arrangements.</w:t>
      </w:r>
    </w:p>
    <w:p>
      <w:pPr>
        <w:spacing w:after="0" w:line="318"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420" w:firstLine="510"/>
        <w:spacing w:after="0" w:line="311" w:lineRule="auto"/>
        <w:rPr>
          <w:sz w:val="20"/>
          <w:szCs w:val="20"/>
          <w:color w:val="auto"/>
        </w:rPr>
      </w:pPr>
      <w:r>
        <w:rPr>
          <w:rFonts w:ascii="Arial" w:cs="Arial" w:eastAsia="Arial" w:hAnsi="Arial"/>
          <w:sz w:val="16"/>
          <w:szCs w:val="16"/>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 contingent liabilities requiring accrual as of March 31, 2021 and December 31,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Company has a history of losses and expected to record a loss in 2021. The Company continues to maintain a full valuation allowance its net deferred tax assets.</w:t>
      </w:r>
    </w:p>
    <w:p>
      <w:pPr>
        <w:spacing w:after="0" w:line="301"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computation of basic and diluted net loss per share of the Company:</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(20,029)</w:t>
            </w:r>
          </w:p>
        </w:tc>
        <w:tc>
          <w:tcPr>
            <w:tcW w:w="80" w:type="dxa"/>
            <w:vAlign w:val="bottom"/>
            <w:shd w:val="clear" w:color="auto" w:fill="CFF0FC"/>
          </w:tcPr>
          <w:p>
            <w:pPr>
              <w:spacing w:after="0"/>
              <w:rPr>
                <w:sz w:val="19"/>
                <w:szCs w:val="19"/>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Weighted average common stock outstanding, basic 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37,434,261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2,648,885</w:t>
            </w:r>
          </w:p>
        </w:tc>
        <w:tc>
          <w:tcPr>
            <w:tcW w:w="80" w:type="dxa"/>
            <w:vAlign w:val="bottom"/>
          </w:tcPr>
          <w:p>
            <w:pPr>
              <w:spacing w:after="0"/>
              <w:rPr>
                <w:sz w:val="20"/>
                <w:szCs w:val="20"/>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(0.74)</w:t>
            </w:r>
          </w:p>
        </w:tc>
        <w:tc>
          <w:tcPr>
            <w:tcW w:w="3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(7.56)</w:t>
            </w:r>
          </w:p>
        </w:tc>
      </w:tr>
      <w:tr>
        <w:trPr>
          <w:trHeight w:val="20"/>
        </w:trPr>
        <w:tc>
          <w:tcPr>
            <w:tcW w:w="5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Company’s potentially dilutive securities, which include redeemable convertible preferred stock, a forward contract to issue preferred stock,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ind w:right="200"/>
        <w:spacing w:after="0" w:line="277" w:lineRule="auto"/>
        <w:rPr>
          <w:sz w:val="20"/>
          <w:szCs w:val="20"/>
          <w:color w:val="auto"/>
        </w:rPr>
      </w:pPr>
      <w:r>
        <w:rPr>
          <w:rFonts w:ascii="Arial" w:cs="Arial" w:eastAsia="Arial" w:hAnsi="Arial"/>
          <w:sz w:val="18"/>
          <w:szCs w:val="18"/>
          <w:color w:val="auto"/>
        </w:rPr>
        <w:t>following potential shares of Common Stock, presented based on amounts outstanding at each period end, from the computation of diluted net loss per share for the periods indicated because including them would have had an anti-dilutive effect:</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4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r>
      <w:tr>
        <w:trPr>
          <w:trHeight w:val="162"/>
        </w:trPr>
        <w:tc>
          <w:tcPr>
            <w:tcW w:w="5420" w:type="dxa"/>
            <w:vAlign w:val="bottom"/>
          </w:tcPr>
          <w:p>
            <w:pPr>
              <w:spacing w:after="0"/>
              <w:rPr>
                <w:sz w:val="14"/>
                <w:szCs w:val="14"/>
                <w:color w:val="auto"/>
              </w:rPr>
            </w:pPr>
          </w:p>
        </w:tc>
        <w:tc>
          <w:tcPr>
            <w:tcW w:w="1500" w:type="dxa"/>
            <w:vAlign w:val="bottom"/>
            <w:gridSpan w:val="3"/>
          </w:tcPr>
          <w:p>
            <w:pPr>
              <w:jc w:val="center"/>
              <w:ind w:left="756"/>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19,201,432</w:t>
            </w:r>
          </w:p>
        </w:tc>
        <w:tc>
          <w:tcPr>
            <w:tcW w:w="80" w:type="dxa"/>
            <w:vAlign w:val="bottom"/>
            <w:shd w:val="clear" w:color="auto" w:fill="CFF0FC"/>
          </w:tcPr>
          <w:p>
            <w:pPr>
              <w:spacing w:after="0"/>
              <w:rPr>
                <w:sz w:val="19"/>
                <w:szCs w:val="19"/>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Forward contract to issue redeemable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convertible preferred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3,569,630</w:t>
            </w:r>
          </w:p>
        </w:tc>
        <w:tc>
          <w:tcPr>
            <w:tcW w:w="80" w:type="dxa"/>
            <w:vAlign w:val="bottom"/>
          </w:tcPr>
          <w:p>
            <w:pPr>
              <w:spacing w:after="0"/>
              <w:rPr>
                <w:sz w:val="20"/>
                <w:szCs w:val="20"/>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5,504,150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2,435,535</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303,697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722,486</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preferred stock</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83,146</w:t>
            </w:r>
          </w:p>
        </w:tc>
        <w:tc>
          <w:tcPr>
            <w:tcW w:w="80" w:type="dxa"/>
            <w:vAlign w:val="bottom"/>
            <w:shd w:val="clear" w:color="auto" w:fill="CFF0FC"/>
          </w:tcPr>
          <w:p>
            <w:pPr>
              <w:spacing w:after="0"/>
              <w:rPr>
                <w:sz w:val="19"/>
                <w:szCs w:val="19"/>
                <w:color w:val="auto"/>
              </w:rPr>
            </w:pPr>
          </w:p>
        </w:tc>
      </w:tr>
      <w:tr>
        <w:trPr>
          <w:trHeight w:val="223"/>
        </w:trPr>
        <w:tc>
          <w:tcPr>
            <w:tcW w:w="54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5,807,847</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26,012,229</w:t>
            </w:r>
          </w:p>
        </w:tc>
        <w:tc>
          <w:tcPr>
            <w:tcW w:w="80" w:type="dxa"/>
            <w:vAlign w:val="bottom"/>
          </w:tcPr>
          <w:p>
            <w:pPr>
              <w:spacing w:after="0"/>
              <w:rPr>
                <w:sz w:val="19"/>
                <w:szCs w:val="19"/>
                <w:color w:val="auto"/>
              </w:rPr>
            </w:pPr>
          </w:p>
        </w:tc>
      </w:tr>
    </w:tbl>
    <w:p>
      <w:pPr>
        <w:spacing w:after="0" w:line="33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preparing the interim financial statements as of March 31, 2021 and for the three months then ended, the Company evaluated subsequent events for recognition and measurement purposes. The Company concluded that no events or transactions have occurred that require disclosure in the accompanying financial statements.</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382" w:right="519" w:bottom="1440" w:gutter="0" w:footer="0" w:header="0"/>
        </w:sectPr>
      </w:pPr>
    </w:p>
    <w:bookmarkStart w:id="26" w:name="page27"/>
    <w:bookmarkEnd w:id="2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667"/>
        <w:spacing w:after="0" w:line="217" w:lineRule="exact"/>
        <w:rPr>
          <w:sz w:val="20"/>
          <w:szCs w:val="20"/>
          <w:color w:val="auto"/>
        </w:rPr>
      </w:pPr>
      <w:r>
        <w:rPr>
          <w:rFonts w:ascii="Arial" w:cs="Arial" w:eastAsia="Arial" w:hAnsi="Arial"/>
          <w:sz w:val="16"/>
          <w:szCs w:val="16"/>
          <w:color w:val="auto"/>
        </w:rPr>
        <w:t>We are a clinical-stage biopharmaceutical company currently focused on developing novel therapeutics to address unmet medical needs in viral and liver diseases. We utilize our proprietary oligonucleotide and small molecule platforms to develop pharmacologically optimized drug candidates for use in combination regimens designed to achieve improved treatment outcomes. Our lead effort is to develop a functional cure for Chronic Hepatitis B (CHB), which often results in other life-threatening conditions such as cirrhosis, end-stage liver disease (ESLD) and the most common form of liver cancer, hepatocellular carcinoma (HCC). The most widely used treatment for CHB, nucleos(t)ide analogs, suppresses viral replication but only achieves low rates of functional cure and often requires long-term administration. To address this issue, we have developed a portfolio of differentiated drug candidates for CHB, including an S-antigen Transport-inhibiting Oligonucleotide Polymers (STOPS) molecule, a small molecule Capsid Assembly Modulator (CAM), and oligonucleotides (ASO and siRNA), each of which is designed against clinically validated targets in the Hepatitis B Virus (HBV) life cycle. We believe that combination regimens utilizing our portfolio of CHB drug candidates may lead to higher rates of functional cure. Phase 1 proof of concept trials evaluating the properties of our STOPS molecule and CAM are ongoing in New Zealand, Hong Kong, and Moldova. We may also in the future conduct clinical trials for our STOPS molecule and CAM and other drug candidates in other countries and territories, including South Korea, the United Kingdom, and China. Our second area of focus is in non-alcoholic steatohepatitis (NASH), a complex, chronic liver disease where combination regimens may likewise prove beneficial. Our most advanced drug candidate for NASH is ALG</w:t>
      </w:r>
      <w:r>
        <w:rPr>
          <w:rFonts w:ascii="MS PGothic" w:cs="MS PGothic" w:eastAsia="MS PGothic" w:hAnsi="MS PGothic"/>
          <w:sz w:val="16"/>
          <w:szCs w:val="16"/>
          <w:color w:val="auto"/>
        </w:rPr>
        <w:t>‑</w:t>
      </w:r>
      <w:r>
        <w:rPr>
          <w:rFonts w:ascii="Arial" w:cs="Arial" w:eastAsia="Arial" w:hAnsi="Arial"/>
          <w:sz w:val="16"/>
          <w:szCs w:val="16"/>
          <w:color w:val="auto"/>
        </w:rPr>
        <w:t>055009, a small molecule THR-ß agonist currently in nonclinical studies to enable a first-in-human clinical trial. We believe ALG</w:t>
      </w:r>
      <w:r>
        <w:rPr>
          <w:rFonts w:ascii="MS PGothic" w:cs="MS PGothic" w:eastAsia="MS PGothic" w:hAnsi="MS PGothic"/>
          <w:sz w:val="16"/>
          <w:szCs w:val="16"/>
          <w:color w:val="auto"/>
        </w:rPr>
        <w:t>‑</w:t>
      </w:r>
      <w:r>
        <w:rPr>
          <w:rFonts w:ascii="Arial" w:cs="Arial" w:eastAsia="Arial" w:hAnsi="Arial"/>
          <w:sz w:val="16"/>
          <w:szCs w:val="16"/>
          <w:color w:val="auto"/>
        </w:rPr>
        <w:t>055009 has the potential to become an integral component of future combination regimens for NASH. Our third area of focus is to develop drug candidates with pan-coronavirus activity, including SARS-CoV-2, the virus responsible for COVID-19.</w:t>
      </w:r>
    </w:p>
    <w:p>
      <w:pPr>
        <w:spacing w:after="0" w:line="202" w:lineRule="exact"/>
        <w:rPr>
          <w:sz w:val="20"/>
          <w:szCs w:val="20"/>
          <w:color w:val="auto"/>
        </w:rPr>
      </w:pPr>
    </w:p>
    <w:p>
      <w:pPr>
        <w:ind w:right="400" w:firstLine="667"/>
        <w:spacing w:after="0" w:line="291" w:lineRule="auto"/>
        <w:rPr>
          <w:sz w:val="20"/>
          <w:szCs w:val="20"/>
          <w:color w:val="auto"/>
        </w:rPr>
      </w:pPr>
      <w:r>
        <w:rPr>
          <w:rFonts w:ascii="Arial" w:cs="Arial" w:eastAsia="Arial" w:hAnsi="Arial"/>
          <w:sz w:val="16"/>
          <w:szCs w:val="16"/>
          <w:color w:val="auto"/>
        </w:rPr>
        <w:t>In October 2020, we completed our initial public offering (IPO) and issued 10,000,000 shares of our common stock at a price to the public of $15.00 per share for net proceeds of $135.4 million, after deducting underwriting discounts and commissions of $10.5 million and expenses of</w:t>
      </w:r>
    </w:p>
    <w:p>
      <w:pPr>
        <w:ind w:right="20"/>
        <w:spacing w:after="0" w:line="253" w:lineRule="auto"/>
        <w:rPr>
          <w:sz w:val="20"/>
          <w:szCs w:val="20"/>
          <w:color w:val="auto"/>
        </w:rPr>
      </w:pPr>
      <w:r>
        <w:rPr>
          <w:rFonts w:ascii="Arial" w:cs="Arial" w:eastAsia="Arial" w:hAnsi="Arial"/>
          <w:sz w:val="18"/>
          <w:szCs w:val="18"/>
          <w:color w:val="auto"/>
        </w:rPr>
        <w:t>$4.1 million. In connection with the IPO, all shares of Series A, Series B-1 and Series B-2 redeemable convertible preferred stock converted into 19,761,870 shares of voting common stock and 3,092,338 shares of non-voting common stock. On November 5, 2020, the underwriters of the IPO partially exercised their overallotment option by purchasing an additional 1,150,000 shares from the Company, resulting in an additional $16.0 million, after deducting underwriting discounts and commissions of $1.2 million. Prior to our IPO, we had received gross proceeds of approximately $186.9 million from sales of our preferred stock and our issuance of convertible debt.</w:t>
      </w:r>
    </w:p>
    <w:p>
      <w:pPr>
        <w:spacing w:after="0" w:line="191" w:lineRule="exact"/>
        <w:rPr>
          <w:sz w:val="20"/>
          <w:szCs w:val="20"/>
          <w:color w:val="auto"/>
        </w:rPr>
      </w:pPr>
    </w:p>
    <w:p>
      <w:pPr>
        <w:ind w:right="120" w:firstLine="667"/>
        <w:spacing w:after="0" w:line="291" w:lineRule="auto"/>
        <w:rPr>
          <w:sz w:val="20"/>
          <w:szCs w:val="20"/>
          <w:color w:val="auto"/>
        </w:rPr>
      </w:pPr>
      <w:r>
        <w:rPr>
          <w:rFonts w:ascii="Arial" w:cs="Arial" w:eastAsia="Arial" w:hAnsi="Arial"/>
          <w:sz w:val="16"/>
          <w:szCs w:val="16"/>
          <w:color w:val="auto"/>
        </w:rPr>
        <w:t>We have incurred net losses and negative cash flows from operations in each year since our formation in February 2018. Our net losses were $27.7 million and $20.0 million for the three months ended March 31, 2021 and 2020, respectively. We have had no revenue from product sales. As of March 31, 2021, we had an accumulated deficit of $202.4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salesforce and outsource a substantial portion of our clinical trial work to third parties.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80" w:lineRule="exact"/>
        <w:rPr>
          <w:sz w:val="20"/>
          <w:szCs w:val="20"/>
          <w:color w:val="auto"/>
        </w:rPr>
      </w:pPr>
    </w:p>
    <w:p>
      <w:pPr>
        <w:ind w:left="1000" w:right="4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salaries, benefits and other employee-related costs, including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and related travel expenses;</w:t>
      </w:r>
    </w:p>
    <w:p>
      <w:pPr>
        <w:spacing w:after="0" w:line="144"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in-process research and development, including license fees and milestones paid to third-party collaborators for technologies with no alternative use;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incurred under agreements with collaborators that perform nonclinical activities;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insurance, and other supplies.</w:t>
      </w:r>
    </w:p>
    <w:p>
      <w:pPr>
        <w:spacing w:after="0" w:line="170"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49"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We expect our research and development costs to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expect that our general and administrative expenses will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also expect to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Interest and other income, net comprises interest income, net and other income, net. Interest income, net primarily consists of interest earned on our cash, cash equivalents, and short-term investments and interest expense related to our convertible note instruments. Other income, net consists primarily of the change in fair value of our derivative liabilities.</w:t>
      </w:r>
    </w:p>
    <w:p>
      <w:pPr>
        <w:spacing w:after="0" w:line="1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classify our warrants and the commitment to sell redeemable convertible preferred stock as liabilities on our consolidated balance sheets and record changes in fair value at each balance sheet date with the corresponding change recorded as other income, net. We will continue to record adjustments to the fair value of the warrants and the redeemable convertible preferred stock liability at each balance sheet date until they are exercised, automatically converted into common stock or expire. Prior to our IPO, all outstanding warrants were exercised for the issuance of shares of common stock and, upon that exercise, such warrants were no longer outstanding.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color w:val="auto"/>
        </w:rPr>
        <w:t>We anticipate other income, net to fluctuate in the future based on changes in our short-term investments.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operating expenses for the three months ended March 31, 2021 and 2020:</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22,869</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17,302</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5,567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28,650</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20,721</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Research and development expenses were $22.9 million for the three months ended March 31, 2021, compared to $17.3 million for the three months ended March 31, 2020, an increase of $5.6 million. The increase was primarily due to an increase of $2.7 million of additional employee-related costs, including a $1.5 million increase in stock-based compensation. The increase also includes $1.8 million in third-party expenses for our preclinical programs and the continued increase in expenditures related to research and development activities associated with our STOPs molecule and CAM candidates, as well as activities related to our NASH program, and $0.9 million of allocated facilities and related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General and administrative expenses were $5.8 million for the three months ended March 31, 2021, compared to $3.4 million for the three months ended March 31, 2020, an increase of $2.4 million. The increase was primarily due to $1.5 million in increased employee-related costs, including an increase of $0.9 million of additional stock-based compensation expense, a $2.1 million increase in third-party expenses primarily due to increased administrative costs and D&amp;O insurance to support our status as a public company, offset by a decrease of $0.9 million in allocated facilities and related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468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76"/>
              </w:rPr>
              <w:t>(363)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income, net</w:t>
            </w: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interest and other income, net</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111</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692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420"/>
              <w:spacing w:after="0"/>
              <w:rPr>
                <w:sz w:val="20"/>
                <w:szCs w:val="20"/>
                <w:color w:val="auto"/>
              </w:rPr>
            </w:pPr>
            <w:r>
              <w:rPr>
                <w:rFonts w:ascii="Arial" w:cs="Arial" w:eastAsia="Arial" w:hAnsi="Arial"/>
                <w:sz w:val="18"/>
                <w:szCs w:val="18"/>
                <w:color w:val="auto"/>
                <w:w w:val="76"/>
              </w:rPr>
              <w:t>(581)</w:t>
            </w:r>
          </w:p>
        </w:tc>
        <w:tc>
          <w:tcPr>
            <w:tcW w:w="2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Interest income, net decreased to $0.1 million for the three months ended March 31, 2021 from $0.5 million for the three months ended March 31, 2020, a decrease in $0.4 million, primarily due to the change in our portfolio of cash equivalents, short-term investments and long-term investments which results in lower interest yield.</w:t>
      </w:r>
    </w:p>
    <w:p>
      <w:pPr>
        <w:spacing w:after="0" w:line="1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Other income, net decreased to a loss of $0.0 million for the three months ended March 31, 2021 from a loss of $0.2 million for the three months ended March 31, 2020, a decrease of $0.2 million, primarily due to the fair value change recognized on the net increase in fair value of both our redeemable convertible preferred stock liability and warrant liabilities in the prior year.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Since our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 To date, we have financed our operations through private placements of preferred stock, issuances of common stock and convertible debt. Through March 31, 2021, we had received gross proceeds of $186.9 million from sales of our preferred stock, issuances of common stock and our issuance of convertible debt. As of March 31, 2021, we had cash, cash equivalents and investments of $213.4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have incurred net losses since inception. 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most advanced drug candidates, ALG-010133 and ALG-000184, which are still in the early stages of development, as well as our research and development of our other drug candidates within our CHB, NASH and coronavirus programs.</w:t>
      </w:r>
    </w:p>
    <w:p>
      <w:pPr>
        <w:spacing w:after="0" w:line="188"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In addition, we are incurring additional costs associated with operating as a public company following our IPO in October 2020. We expect that our expenses will increase substantially to the extent we:</w:t>
      </w:r>
    </w:p>
    <w:p>
      <w:pPr>
        <w:spacing w:after="0" w:line="62"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our current and future clinical trials, and additional nonclinical studies;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continue research and nonclinical and clinical development of other drug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additional drug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pursue marketing approvals for any of our drug candidates that successfully complete clinical trials, if any;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drug candidates for clinical development and potentially commercialization;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milestones triggering payments by us under our current and potential future licensing and/or collaboration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build out or expand existing facilities to support our ongoing development activity; and</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any future commercialization efforts and our transition to becoming a public company.</w:t>
      </w:r>
    </w:p>
    <w:p>
      <w:pPr>
        <w:spacing w:after="0" w:line="170"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As of March 31, 2021, we had cash, cash equivalents and investments of $213.4 million. In October 2020, we issued an aggregate of 3,569,630 shares of our Series B-2 redeemable convertible preferred stock in the second tranche of our Series B convertible preferred stock financing for aggregate proceeds to us of $40.0 million. In addition, we have received net proceeds of $151.4 million from the sale of an aggregate of 11,150,000 shares of our common stock on October 20, 2020 and on November 5, 2020 as part of our IPO. We believe that our existing cash, cash equivalents and investments will enable us to fund our planned operating expenses and capital expenditure requirements through at least the next twelve months.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0" w:name="page31"/>
    <w:bookmarkEnd w:id="30"/>
    <w:p>
      <w:pPr>
        <w:ind w:right="20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9" w:lineRule="exact"/>
        <w:rPr>
          <w:sz w:val="20"/>
          <w:szCs w:val="20"/>
          <w:color w:val="auto"/>
        </w:rPr>
      </w:pPr>
    </w:p>
    <w:p>
      <w:pPr>
        <w:ind w:left="1000" w:right="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55" w:lineRule="exact"/>
        <w:rPr>
          <w:rFonts w:ascii="Arial" w:cs="Arial" w:eastAsia="Arial" w:hAnsi="Arial"/>
          <w:sz w:val="17"/>
          <w:szCs w:val="17"/>
          <w:color w:val="auto"/>
        </w:rPr>
      </w:pPr>
    </w:p>
    <w:p>
      <w:pPr>
        <w:jc w:val="both"/>
        <w:ind w:left="1000" w:right="40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5" w:lineRule="exact"/>
        <w:rPr>
          <w:rFonts w:ascii="Arial" w:cs="Arial" w:eastAsia="Arial" w:hAnsi="Arial"/>
          <w:sz w:val="18"/>
          <w:szCs w:val="18"/>
          <w:color w:val="auto"/>
        </w:rPr>
      </w:pPr>
    </w:p>
    <w:p>
      <w:pPr>
        <w:ind w:left="1000" w:right="12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emergence of competing therapies hepatological indications and viral diseases and other adverse market developments; and</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5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p>
    <w:p>
      <w:pPr>
        <w:spacing w:after="0" w:line="17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5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(23,769)</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(44,136)</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2021, operating activities used $29.8 million of cash, primarily resulting from our net loss of</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$27.7 million and cash used in changes in our operating assets and liabilities of $5.8 million, partially offset by non-cash charges of $3.7 million. Net cash provided by changes in our operating assets and liabilities of $5.8 million consisted of a decrease of $4.7 million in accounts payable and accrued liabilities, a decrease of $0.9 million in deferred revenue from collaborations, a $0.3 million in other assets, partially offset by an increase of $0.3 million in operating lease liability. The decrease in accounts payable and accrued liabilities was largely due to payment of the annual bonus in 2021 that was accrued for in 2020. The decrease in other assets was largely due to an increase in prepayments for services. The increase in the operating lease liability was a result of an extension of the facilities lease.</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2020, operating activities used $20.3 million of cash, primarily resulting from our net loss of</w:t>
      </w:r>
    </w:p>
    <w:p>
      <w:pPr>
        <w:spacing w:after="0" w:line="2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$20.0 million and cash used in changes in our operating assets and liabilities of $1.2 million, partially offset by non-cash charges of $0.9 million. Net cash provided by changes in our operating assets and liabilities of $1.2 million consisted of a decrease of $0.1 million in accounts payable and accrued liabilities, an increase of $0.3 million in operating lease liability, an increase of $0.2 million in right of use assets, and an increase of $0.5 million in other current assets. The decrease in accounts payable and accrued liabilities was largely due to an increase in external research and development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During the three months ended March 31, 2021, investing activities provided $9.7 million of cash, consisting primarily of $10.0 million of investment maturities, offset by $0.3 million of purchases of property and equipment.</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During the three months ended March 31, 2020, investing activities used $23.8 million of cash, consisting primarily of $22.6 million of investment maturities, offset by $45.3 million of investment purchases, and $1.1 million of purchases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During the three months ended March 31, 2021, net cash provided by financing activities was $0.1 million, consisting primarily of $0.1 million proceeds from the exercise of stock options.</w:t>
      </w:r>
    </w:p>
    <w:p>
      <w:pPr>
        <w:spacing w:after="0" w:line="17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During the three months ended March 31, 2020, net cash used in financing activities was $0.1 million, consisting primarily of $0.3 million proceeds from the exercise of warrants offset by $0.4 million of preferred stock issuance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We have no material changes to our contractual obligations and commitments as of March 31, 2021 as disclosed in the contractual obligations and commitment section in our Annual Report on Form 10-K filed with the Securities and Exchange Commission on March 23,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For a discussion of our critical accounting estimates, see “Management’s discussion and analysis of financial condition and results of operations” in our annual report on Form 10-K, the notes to our audited financial statements appearing in the Form 10-K and the notes to the financial statements appearing elsewhere in this Quarterly Report on Form 10-Q. There have been no material changes to these critical accounting policies and estimates through March 31, 2021 from those discussed in our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For a description of the expected impact of recently adopted accounting pronouncements, see Note 2. Summary of Significant Accounting Policies in the “Notes to Unaudited Condensed Consolidated Financial Statements” contained in Part I, Item 1 of this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are exposed to market risk related to changes in interest rates applicable to our investment portfolio of cash equivalents and short-term and long-term investments. As of March 31, 2021, our cash equivalents consisted of money market funds. As of March 31, 2021, our short-term investments consisted of U.S. Treasury securities. Our primary exposure to market risk is interest income sensitivity, which is affected by changes in the general level of U.S. interest rates. Should U.S. interest rates decline, interest income would be reduced in future periods for short- and long-term investments which mature and the proceeds of which are reinvested in similar instruments at lower interest rates. Additionally, the fair value of our short-term and long-term investments is subject to change as a result of potential changes in market interest rates, including changes resulting from the impact of the COVID-19 pandemic. The potential change in fair value from interest-rate-sensitive instruments has been assessed on a hypothetical 100 basis point adverse movement across all maturities. As of March 31, 2021, we estimate that a hypothetical 100 basis point adverse movement would not result in a material impact on our financial position or results of operations or cash flows. As of March 31, 2021, we had no debt outstanding, besides short-term payables arising in the normal course of business, and are therefore not exposed to interest rate risk with respect to debt.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have employees and operations, including contracts with third-party vendors, in Europe through our subsidiary Aligos Belgium BVBA. We have similar, but more limited, operations in Australia. Though the functional currency in these locations is the U.S. dollar, we remeasure transactions initially recorded in local currencies in these locations, the Euro and Australian dollar,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Exchange Act) designed to ensure that information required to be disclosed in the reports that the Company files or submits under the Securities Exchange Act of 1934, as amended, or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defined in Rules 13a-15(e) and 15d-15(e) under the Securities Exchange Act of 1934, as amended)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2021, our disclosure controls and procedures were effective.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fiscal quarter ended March 31, 2021 that has materially affected, or is reasonably likely to materially affect, our internal control over financial reporting.</w:t>
      </w:r>
    </w:p>
    <w:p>
      <w:pPr>
        <w:spacing w:after="0" w:line="18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As a result of the COVID-19 pandemic, in March 2020, substantially all of our employees began working remotely.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40" w:firstLine="510"/>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While the outcome of any such proceedings cannot be predicted with certainty, as of March 31, 2021, we were not a party to any litigation or legal proceedings that, in the opinion of our management, are probable to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Many of the following risks and uncertainties are, and will be, exacerbated by the coronavirus pandemic (COVID-19)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 Only two of our drug candidates, ALG-010133 and ALG-000184, are currently in clinical development.</w:t>
      </w:r>
    </w:p>
    <w:p>
      <w:pPr>
        <w:spacing w:after="0" w:line="178"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Since inception, we have incurred significant net losses. Our net losses were $27.7 million for the three months ended March 31, 2021 and</w:t>
      </w:r>
    </w:p>
    <w:p>
      <w:pPr>
        <w:spacing w:after="0" w:line="3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$108.5 million for the year ended December 31, 2020. As of March 31, 2021, we had a total stockholders’ equity of $195.2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9"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completing clinical and nonclinical development of drug candidates and programs and identifying and developing new drug candidates;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drug candidates that we develop;</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5" w:name="page36"/>
    <w:bookmarkEnd w:id="35"/>
    <w:p>
      <w:pPr>
        <w:ind w:left="1000" w:right="3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drug candidates that we develop;</w:t>
      </w:r>
    </w:p>
    <w:p>
      <w:pPr>
        <w:spacing w:after="0" w:line="144" w:lineRule="exact"/>
        <w:rPr>
          <w:rFonts w:ascii="Arial" w:cs="Arial" w:eastAsia="Arial" w:hAnsi="Arial"/>
          <w:sz w:val="18"/>
          <w:szCs w:val="18"/>
          <w:color w:val="auto"/>
        </w:rPr>
      </w:pPr>
    </w:p>
    <w:p>
      <w:pPr>
        <w:ind w:left="1000" w:right="6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market acceptance of drug candidates that we develop as viable treatment options;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4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29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March 31, 2021, we had cash, cash equivalents and investments of $213.4 million. In October 2020, we issued an aggregate of 3,569,630 shares of our Series B-2 redeemable convertible preferred stock in the second tranche of our Series B convertible preferred stock financing for aggregate proceeds to us of $40.0 million. In addition, we have received net proceeds of $151.4 million from the sale of an aggregate of 11,150,000 shares of our common stock on October 20, 2020 and on November 5, 2020 as part of our IPO.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00" w:right="1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55" w:lineRule="exact"/>
        <w:rPr>
          <w:rFonts w:ascii="Arial" w:cs="Arial" w:eastAsia="Arial" w:hAnsi="Arial"/>
          <w:sz w:val="17"/>
          <w:szCs w:val="17"/>
          <w:color w:val="auto"/>
        </w:rPr>
      </w:pPr>
    </w:p>
    <w:p>
      <w:pPr>
        <w:jc w:val="both"/>
        <w:ind w:left="1000" w:right="42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5" w:lineRule="exact"/>
        <w:rPr>
          <w:rFonts w:ascii="Arial" w:cs="Arial" w:eastAsia="Arial" w:hAnsi="Arial"/>
          <w:sz w:val="18"/>
          <w:szCs w:val="18"/>
          <w:color w:val="auto"/>
        </w:rPr>
      </w:pPr>
    </w:p>
    <w:p>
      <w:pPr>
        <w:ind w:left="1000" w:right="13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ind w:left="1000" w:right="1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5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COVID-19 pandemic and the macro-economic environment generally.</w:t>
      </w:r>
    </w:p>
    <w:p>
      <w:pPr>
        <w:spacing w:after="0" w:line="17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In particular, the COVID-19 pandemic continues to rapidly evolve and has already resulted in a significant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80" w:lineRule="exact"/>
        <w:rPr>
          <w:sz w:val="20"/>
          <w:szCs w:val="20"/>
          <w:color w:val="auto"/>
        </w:rPr>
      </w:pPr>
    </w:p>
    <w:p>
      <w:pPr>
        <w:ind w:left="1000" w:right="2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research and development activities or eliminate one or more of our development programs altogether; or</w:t>
      </w:r>
    </w:p>
    <w:p>
      <w:pPr>
        <w:spacing w:after="0" w:line="62" w:lineRule="exact"/>
        <w:rPr>
          <w:rFonts w:ascii="Arial" w:cs="Arial" w:eastAsia="Arial" w:hAnsi="Arial"/>
          <w:sz w:val="18"/>
          <w:szCs w:val="18"/>
          <w:color w:val="auto"/>
        </w:rPr>
      </w:pPr>
    </w:p>
    <w:p>
      <w:pPr>
        <w:jc w:val="both"/>
        <w:ind w:left="1000" w:right="36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2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62" w:lineRule="exact"/>
        <w:rPr>
          <w:sz w:val="20"/>
          <w:szCs w:val="20"/>
          <w:color w:val="auto"/>
        </w:rPr>
      </w:pPr>
    </w:p>
    <w:p>
      <w:pPr>
        <w:ind w:right="680" w:firstLine="510"/>
        <w:spacing w:after="0" w:line="308" w:lineRule="auto"/>
        <w:rPr>
          <w:sz w:val="20"/>
          <w:szCs w:val="20"/>
          <w:color w:val="auto"/>
        </w:rPr>
      </w:pPr>
      <w:r>
        <w:rPr>
          <w:rFonts w:ascii="Arial" w:cs="Arial" w:eastAsia="Arial" w:hAnsi="Arial"/>
          <w:sz w:val="17"/>
          <w:szCs w:val="17"/>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38" w:lineRule="exact"/>
        <w:rPr>
          <w:sz w:val="20"/>
          <w:szCs w:val="20"/>
          <w:color w:val="auto"/>
        </w:rPr>
      </w:pPr>
    </w:p>
    <w:p>
      <w:pPr>
        <w:ind w:left="1000" w:right="2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44" w:lineRule="exact"/>
        <w:rPr>
          <w:rFonts w:ascii="Arial" w:cs="Arial" w:eastAsia="Arial" w:hAnsi="Arial"/>
          <w:sz w:val="18"/>
          <w:szCs w:val="18"/>
          <w:color w:val="auto"/>
        </w:rPr>
      </w:pPr>
    </w:p>
    <w:p>
      <w:pPr>
        <w:ind w:left="1000" w:right="580" w:hanging="493"/>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38" w:lineRule="exact"/>
        <w:rPr>
          <w:rFonts w:ascii="Arial" w:cs="Arial" w:eastAsia="Arial" w:hAnsi="Arial"/>
          <w:sz w:val="17"/>
          <w:szCs w:val="17"/>
          <w:color w:val="auto"/>
        </w:rPr>
      </w:pPr>
    </w:p>
    <w:p>
      <w:pPr>
        <w:ind w:left="1000" w:right="3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produced, and the terms of any agreements we enter into with third-party suppliers;</w:t>
      </w:r>
    </w:p>
    <w:p>
      <w:pPr>
        <w:spacing w:after="0" w:line="62" w:lineRule="exact"/>
        <w:rPr>
          <w:rFonts w:ascii="Arial" w:cs="Arial" w:eastAsia="Arial" w:hAnsi="Arial"/>
          <w:sz w:val="18"/>
          <w:szCs w:val="18"/>
          <w:color w:val="auto"/>
        </w:rPr>
      </w:pPr>
    </w:p>
    <w:p>
      <w:pPr>
        <w:ind w:left="1000" w:right="560" w:hanging="493"/>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and amount of any milestone, royalty or other payments due under any current or future collaboration or license agreement, including our existing license agreements with Emory University (Emory) and Luxna Biotech Co., Ltd. (Luxna);</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coverage and reimbursement policies with respect to any future approved products, and potential future drugs that compete with our products;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1000" w:right="40" w:hanging="493"/>
        <w:spacing w:after="0" w:line="30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principles or our accounting policies; and</w:t>
      </w:r>
    </w:p>
    <w:p>
      <w:pPr>
        <w:spacing w:after="0" w:line="144" w:lineRule="exact"/>
        <w:rPr>
          <w:rFonts w:ascii="Arial" w:cs="Arial" w:eastAsia="Arial" w:hAnsi="Arial"/>
          <w:sz w:val="18"/>
          <w:szCs w:val="18"/>
          <w:color w:val="auto"/>
        </w:rPr>
      </w:pPr>
    </w:p>
    <w:p>
      <w:pPr>
        <w:ind w:left="1000" w:right="160" w:hanging="493"/>
        <w:spacing w:after="0" w:line="30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14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4"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26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business could be materially adversely affected by the effects of health pandemics or epidemics, including the current outbreak of COVID-19 and future coronavirus outbreaks,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41" w:lineRule="exact"/>
        <w:rPr>
          <w:sz w:val="20"/>
          <w:szCs w:val="20"/>
          <w:color w:val="auto"/>
        </w:rPr>
      </w:pPr>
    </w:p>
    <w:p>
      <w:pPr>
        <w:ind w:firstLine="514"/>
        <w:spacing w:after="0" w:line="285" w:lineRule="auto"/>
        <w:rPr>
          <w:sz w:val="20"/>
          <w:szCs w:val="20"/>
          <w:color w:val="auto"/>
        </w:rPr>
      </w:pPr>
      <w:r>
        <w:rPr>
          <w:rFonts w:ascii="Arial" w:cs="Arial" w:eastAsia="Arial" w:hAnsi="Arial"/>
          <w:sz w:val="16"/>
          <w:szCs w:val="16"/>
          <w:color w:val="auto"/>
        </w:rPr>
        <w:t>Our business could be materially adversely affected by the effects of health pandemics or epidemics, including the current outbreak of COVID-19, which the World Health Organization declared a global pandemic and which has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implemented work-from-home policies for most of our employees. While modified from time to time since March 2020, the California state-wide order has no current expiration date, and Californians continue to be directed to stay at home except to go to an essential job or to shop for essential needs. Since the availability of COVID-19 vaccines, the majority of our US employees have been fully vaccinated and as a result, we are allowing such employees to return to work at our US facility. However, as the global COVID-19 pandemic and orders and guidance from state and local governments continue to evolve, we may need to reverse courses and again implement work-from-home policies as necessary. The state-wide shelter order, the local shelter-in-place orders implemented by San Mateo County and any other San Francisco Bay Area counties, government-imposed quarantines and our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upticks in COVID-19 cases and other limitations on our ability to conduct our business in the ordinary course. Although we do not anticipate any impacts to our clinical programs, these and similar, and perhaps more severe, disruptions in our operations could negatively impact our business, operating results and financial condition in the future.</w:t>
      </w:r>
    </w:p>
    <w:p>
      <w:pPr>
        <w:spacing w:after="0" w:line="176" w:lineRule="exact"/>
        <w:rPr>
          <w:sz w:val="20"/>
          <w:szCs w:val="20"/>
          <w:color w:val="auto"/>
        </w:rPr>
      </w:pPr>
    </w:p>
    <w:p>
      <w:pPr>
        <w:ind w:right="60" w:firstLine="514"/>
        <w:spacing w:after="0" w:line="275" w:lineRule="auto"/>
        <w:rPr>
          <w:sz w:val="20"/>
          <w:szCs w:val="20"/>
          <w:color w:val="auto"/>
        </w:rPr>
      </w:pPr>
      <w:r>
        <w:rPr>
          <w:rFonts w:ascii="Arial" w:cs="Arial" w:eastAsia="Arial" w:hAnsi="Arial"/>
          <w:sz w:val="17"/>
          <w:szCs w:val="17"/>
          <w:color w:val="auto"/>
        </w:rPr>
        <w:t>Quarantines, shutdowns and shelter-in-place and similar government orders related to COVID-19 or other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Although we do not anticipate any clinical supply issues or concerns for our planned clinical trials, restrictions resulting from the COVID-19 outbreak may disrupt our supply chain in the future and delay or limit our ability to obtain sufficient materials for our drug candidates.</w:t>
      </w:r>
    </w:p>
    <w:p>
      <w:pPr>
        <w:spacing w:after="0" w:line="176" w:lineRule="exact"/>
        <w:rPr>
          <w:sz w:val="20"/>
          <w:szCs w:val="20"/>
          <w:color w:val="auto"/>
        </w:rPr>
      </w:pPr>
    </w:p>
    <w:p>
      <w:pPr>
        <w:ind w:right="80" w:firstLine="514"/>
        <w:spacing w:after="0" w:line="296" w:lineRule="auto"/>
        <w:rPr>
          <w:sz w:val="20"/>
          <w:szCs w:val="20"/>
          <w:color w:val="auto"/>
        </w:rPr>
      </w:pPr>
      <w:r>
        <w:rPr>
          <w:rFonts w:ascii="Arial" w:cs="Arial" w:eastAsia="Arial" w:hAnsi="Arial"/>
          <w:sz w:val="16"/>
          <w:szCs w:val="16"/>
          <w:color w:val="auto"/>
        </w:rPr>
        <w:t>In addition, our current clinical trial and planned clinical trials may be affected by the ongoing COVID-19 pandemic. Site initiation and patient enrollment may be delayed due to prioritization of hospital resources toward the COVID-19 pandemic,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COVID-19, may be delayed or disrupted, which may adversely impact our clinical trial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firstLine="510"/>
        <w:spacing w:after="0" w:line="259" w:lineRule="auto"/>
        <w:rPr>
          <w:sz w:val="20"/>
          <w:szCs w:val="20"/>
          <w:color w:val="auto"/>
        </w:rPr>
      </w:pPr>
      <w:r>
        <w:rPr>
          <w:rFonts w:ascii="Arial" w:cs="Arial" w:eastAsia="Arial" w:hAnsi="Arial"/>
          <w:sz w:val="18"/>
          <w:szCs w:val="18"/>
          <w:color w:val="auto"/>
        </w:rPr>
        <w:t>In addition, the global COVID-19 pandemic has adversely affected, and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187"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In addition, while the duration and severity of the effects of COVID-19 may be difficult to assess or predict, a continuing widespread pandemic could result in significant disruption of global financial markets, reducing our ability to access capital, which could negatively affect our liquidity and ability to progress our operations. In addition, a recession, down-turn or market correction resulting from the COVID-19 pandemic could materially adversely affect the value of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regulatory process</w:t>
      </w:r>
    </w:p>
    <w:p>
      <w:pPr>
        <w:spacing w:after="0" w:line="12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41" w:lineRule="exact"/>
        <w:rPr>
          <w:sz w:val="20"/>
          <w:szCs w:val="20"/>
          <w:color w:val="auto"/>
        </w:rPr>
      </w:pPr>
    </w:p>
    <w:p>
      <w:pPr>
        <w:ind w:right="80" w:firstLine="510"/>
        <w:spacing w:after="0" w:line="218" w:lineRule="exact"/>
        <w:rPr>
          <w:sz w:val="20"/>
          <w:szCs w:val="20"/>
          <w:color w:val="auto"/>
        </w:rPr>
      </w:pPr>
      <w:r>
        <w:rPr>
          <w:rFonts w:ascii="Arial" w:cs="Arial" w:eastAsia="Arial" w:hAnsi="Arial"/>
          <w:sz w:val="16"/>
          <w:szCs w:val="16"/>
          <w:color w:val="auto"/>
        </w:rPr>
        <w:t>Our clinical development efforts across our drug candidates are in an early stage. In August 2020 and October 2020, we initiated clinical trials for our most advanced drug candidates, ALG</w:t>
      </w:r>
      <w:r>
        <w:rPr>
          <w:rFonts w:ascii="MS PGothic" w:cs="MS PGothic" w:eastAsia="MS PGothic" w:hAnsi="MS PGothic"/>
          <w:sz w:val="16"/>
          <w:szCs w:val="16"/>
          <w:color w:val="auto"/>
        </w:rPr>
        <w:t>‑</w:t>
      </w:r>
      <w:r>
        <w:rPr>
          <w:rFonts w:ascii="Arial" w:cs="Arial" w:eastAsia="Arial" w:hAnsi="Arial"/>
          <w:sz w:val="16"/>
          <w:szCs w:val="16"/>
          <w:color w:val="auto"/>
        </w:rPr>
        <w:t>010133 and ALG</w:t>
      </w:r>
      <w:r>
        <w:rPr>
          <w:rFonts w:ascii="MS PGothic" w:cs="MS PGothic" w:eastAsia="MS PGothic" w:hAnsi="MS PGothic"/>
          <w:sz w:val="16"/>
          <w:szCs w:val="16"/>
          <w:color w:val="auto"/>
        </w:rPr>
        <w:t>‑</w:t>
      </w:r>
      <w:r>
        <w:rPr>
          <w:rFonts w:ascii="Arial" w:cs="Arial" w:eastAsia="Arial" w:hAnsi="Arial"/>
          <w:sz w:val="16"/>
          <w:szCs w:val="16"/>
          <w:color w:val="auto"/>
        </w:rPr>
        <w:t>000184, respectively, in New Zealand.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20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95" w:lineRule="exact"/>
        <w:rPr>
          <w:sz w:val="20"/>
          <w:szCs w:val="20"/>
          <w:color w:val="auto"/>
        </w:rPr>
      </w:pPr>
    </w:p>
    <w:p>
      <w:pPr>
        <w:ind w:firstLine="510"/>
        <w:spacing w:after="0" w:line="217" w:lineRule="exact"/>
        <w:rPr>
          <w:sz w:val="20"/>
          <w:szCs w:val="20"/>
          <w:color w:val="auto"/>
        </w:rPr>
      </w:pPr>
      <w:r>
        <w:rPr>
          <w:rFonts w:ascii="Arial" w:cs="Arial" w:eastAsia="Arial" w:hAnsi="Arial"/>
          <w:sz w:val="17"/>
          <w:szCs w:val="17"/>
          <w:color w:val="auto"/>
        </w:rPr>
        <w:t>As an organization, we have not yet completed any clinical trials for any of our drug candidates. Each of our lead drug candidates, ALG</w:t>
      </w:r>
      <w:r>
        <w:rPr>
          <w:rFonts w:ascii="MS PGothic" w:cs="MS PGothic" w:eastAsia="MS PGothic" w:hAnsi="MS PGothic"/>
          <w:sz w:val="17"/>
          <w:szCs w:val="17"/>
          <w:color w:val="auto"/>
        </w:rPr>
        <w:t>‑</w:t>
      </w:r>
      <w:r>
        <w:rPr>
          <w:rFonts w:ascii="Arial" w:cs="Arial" w:eastAsia="Arial" w:hAnsi="Arial"/>
          <w:sz w:val="17"/>
          <w:szCs w:val="17"/>
          <w:color w:val="auto"/>
        </w:rPr>
        <w:t>010133 and ALG</w:t>
      </w:r>
      <w:r>
        <w:rPr>
          <w:rFonts w:ascii="MS PGothic" w:cs="MS PGothic" w:eastAsia="MS PGothic" w:hAnsi="MS PGothic"/>
          <w:sz w:val="17"/>
          <w:szCs w:val="17"/>
          <w:color w:val="auto"/>
        </w:rPr>
        <w:t>‑</w:t>
      </w:r>
      <w:r>
        <w:rPr>
          <w:rFonts w:ascii="Arial" w:cs="Arial" w:eastAsia="Arial" w:hAnsi="Arial"/>
          <w:sz w:val="17"/>
          <w:szCs w:val="17"/>
          <w:color w:val="auto"/>
        </w:rPr>
        <w:t>00184, is currently being evaluated in Phase 1 clinical trials in New Zealand, Hong Kong, and Moldova.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20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The success of our current and future drug candidates will depend on many factors, which may include the following:</w:t>
      </w:r>
    </w:p>
    <w:p>
      <w:pPr>
        <w:spacing w:after="0" w:line="117" w:lineRule="exact"/>
        <w:rPr>
          <w:sz w:val="20"/>
          <w:szCs w:val="20"/>
          <w:color w:val="auto"/>
        </w:rPr>
      </w:pPr>
    </w:p>
    <w:p>
      <w:pPr>
        <w:ind w:left="1000" w:right="24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and successfully utilize our drug discovery platforms;</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(INDs), CTAs and/or similar applications in other jurisdictions for our planned and future clinical trials;</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successful data from our clinical program that supports an acceptable risk-benefit profile of our drug candidates in the intended populations;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drug candidates are approved;</w:t>
      </w:r>
    </w:p>
    <w:p>
      <w:pPr>
        <w:spacing w:after="0" w:line="62" w:lineRule="exact"/>
        <w:rPr>
          <w:rFonts w:ascii="Arial" w:cs="Arial" w:eastAsia="Arial" w:hAnsi="Arial"/>
          <w:sz w:val="18"/>
          <w:szCs w:val="18"/>
          <w:color w:val="auto"/>
        </w:rPr>
      </w:pPr>
    </w:p>
    <w:p>
      <w:pPr>
        <w:ind w:left="1000" w:right="120" w:hanging="493"/>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drug candidates in select indications or geographies;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maintaining and expanding our portfolio of intellectual property rights, including patents, trade secrets and know-how;</w:t>
      </w:r>
    </w:p>
    <w:p>
      <w:pPr>
        <w:spacing w:after="0" w:line="14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drug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successfully launching commercial sales of our drug candidates, if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the drug candidate’s benefits and uses, if approved, by patients, the medical community and third-party payors;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prevalence, duration and severity of potential side effects or other safety issues experienced with our drug candidates following approval;</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52"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76" w:lineRule="exact"/>
        <w:rPr>
          <w:sz w:val="20"/>
          <w:szCs w:val="20"/>
          <w:color w:val="auto"/>
        </w:rPr>
      </w:pPr>
    </w:p>
    <w:p>
      <w:pPr>
        <w:ind w:right="20" w:firstLine="510"/>
        <w:spacing w:after="0" w:line="217" w:lineRule="exact"/>
        <w:rPr>
          <w:sz w:val="20"/>
          <w:szCs w:val="20"/>
          <w:color w:val="auto"/>
        </w:rPr>
      </w:pPr>
      <w:r>
        <w:rPr>
          <w:rFonts w:ascii="Arial" w:cs="Arial" w:eastAsia="Arial" w:hAnsi="Arial"/>
          <w:sz w:val="16"/>
          <w:szCs w:val="16"/>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have two drug candidates (ALG</w:t>
      </w:r>
      <w:r>
        <w:rPr>
          <w:rFonts w:ascii="MS PGothic" w:cs="MS PGothic" w:eastAsia="MS PGothic" w:hAnsi="MS PGothic"/>
          <w:sz w:val="16"/>
          <w:szCs w:val="16"/>
          <w:color w:val="auto"/>
        </w:rPr>
        <w:t>‑</w:t>
      </w:r>
      <w:r>
        <w:rPr>
          <w:rFonts w:ascii="Arial" w:cs="Arial" w:eastAsia="Arial" w:hAnsi="Arial"/>
          <w:sz w:val="16"/>
          <w:szCs w:val="16"/>
          <w:color w:val="auto"/>
        </w:rPr>
        <w:t>010133 and ALG</w:t>
      </w:r>
      <w:r>
        <w:rPr>
          <w:rFonts w:ascii="MS PGothic" w:cs="MS PGothic" w:eastAsia="MS PGothic" w:hAnsi="MS PGothic"/>
          <w:sz w:val="16"/>
          <w:szCs w:val="16"/>
          <w:color w:val="auto"/>
        </w:rPr>
        <w:t>‑</w:t>
      </w:r>
      <w:r>
        <w:rPr>
          <w:rFonts w:ascii="Arial" w:cs="Arial" w:eastAsia="Arial" w:hAnsi="Arial"/>
          <w:sz w:val="16"/>
          <w:szCs w:val="16"/>
          <w:color w:val="auto"/>
        </w:rPr>
        <w:t>000184) being evaluated in Phase 1 clinical trials in New Zealand, Hong Kong, and Moldova. The rest of our programs are in nonclinical research or earlier stages of development, including our other chronic hepatitis B (CHB) drug candidates, our nonalcoholic steatohepatitis (NASH) drug candidate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20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53" w:lineRule="exact"/>
        <w:rPr>
          <w:sz w:val="20"/>
          <w:szCs w:val="20"/>
          <w:color w:val="auto"/>
        </w:rPr>
      </w:pPr>
    </w:p>
    <w:p>
      <w:pPr>
        <w:ind w:left="1000" w:right="46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or failure by us or third parties to comply with regulatory requirements, including the requirements of good laboratory practice (GLP);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generate sufficient nonclinical or other in vivo or in vitro data to support the initiation of clinical studies;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study design and obtaining regulatory authorization to commence clinical trials;</w:t>
      </w:r>
    </w:p>
    <w:p>
      <w:pPr>
        <w:spacing w:after="0" w:line="167"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sufficient quantities of our drug candidates for use in nonclinical studies and clinical trials from third-party suppliers on a timely basis;</w:t>
      </w:r>
    </w:p>
    <w:p>
      <w:pPr>
        <w:spacing w:after="0" w:line="62" w:lineRule="exact"/>
        <w:rPr>
          <w:rFonts w:ascii="Arial" w:cs="Arial" w:eastAsia="Arial" w:hAnsi="Arial"/>
          <w:sz w:val="18"/>
          <w:szCs w:val="18"/>
          <w:color w:val="auto"/>
        </w:rPr>
      </w:pPr>
    </w:p>
    <w:p>
      <w:pPr>
        <w:ind w:left="1000" w:right="160" w:hanging="493"/>
        <w:spacing w:after="0" w:line="28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due to the COVID-19 pandemic, including due to reduced workforce productivity as a result of our implementation of a temporary work-from-home policy or illness among personnel, or due to delays at our third-party contract research organizations throughout the world for similar reasons or due to restrictions imposed by applicable governmental authorities; and</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due to other global-scale potentially catastrophic events, including other pandemics, terrorism, war, and climate changes.</w:t>
      </w:r>
    </w:p>
    <w:p>
      <w:pPr>
        <w:spacing w:after="0" w:line="252"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295"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55" w:lineRule="exact"/>
        <w:rPr>
          <w:rFonts w:ascii="Arial" w:cs="Arial" w:eastAsia="Arial" w:hAnsi="Arial"/>
          <w:sz w:val="17"/>
          <w:szCs w:val="17"/>
          <w:color w:val="auto"/>
        </w:rPr>
      </w:pPr>
    </w:p>
    <w:p>
      <w:pPr>
        <w:ind w:left="1000" w:right="1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drug candidate is safe or effective for its proposed indication;</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nonclinical studies;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to the FDA or other submission or to obtain regulatory approval in the United States, the European Union or elsewhere;</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70"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17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18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292" w:lineRule="exact"/>
        <w:rPr>
          <w:sz w:val="20"/>
          <w:szCs w:val="20"/>
          <w:color w:val="auto"/>
        </w:rPr>
      </w:pPr>
    </w:p>
    <w:p>
      <w:pPr>
        <w:ind w:right="240"/>
        <w:spacing w:after="0" w:line="340" w:lineRule="auto"/>
        <w:rPr>
          <w:sz w:val="20"/>
          <w:szCs w:val="20"/>
          <w:color w:val="auto"/>
        </w:rPr>
      </w:pPr>
      <w:r>
        <w:rPr>
          <w:rFonts w:ascii="Arial" w:cs="Arial" w:eastAsia="Arial" w:hAnsi="Arial"/>
          <w:sz w:val="15"/>
          <w:szCs w:val="15"/>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23"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w:t>
      </w:r>
    </w:p>
    <w:p>
      <w:pPr>
        <w:spacing w:after="0" w:line="149"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76" w:lineRule="exact"/>
        <w:rPr>
          <w:sz w:val="20"/>
          <w:szCs w:val="20"/>
          <w:color w:val="auto"/>
        </w:rPr>
      </w:pPr>
    </w:p>
    <w:p>
      <w:pPr>
        <w:ind w:left="1000" w:right="1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44" w:lineRule="exact"/>
        <w:rPr>
          <w:rFonts w:ascii="Arial" w:cs="Arial" w:eastAsia="Arial" w:hAnsi="Arial"/>
          <w:sz w:val="18"/>
          <w:szCs w:val="18"/>
          <w:color w:val="auto"/>
        </w:rPr>
      </w:pPr>
    </w:p>
    <w:p>
      <w:pPr>
        <w:ind w:left="1000" w:right="160" w:hanging="493"/>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15" w:lineRule="exact"/>
        <w:rPr>
          <w:rFonts w:ascii="Arial" w:cs="Arial" w:eastAsia="Arial" w:hAnsi="Arial"/>
          <w:sz w:val="16"/>
          <w:szCs w:val="16"/>
          <w:color w:val="auto"/>
        </w:rPr>
      </w:pPr>
    </w:p>
    <w:p>
      <w:pPr>
        <w:ind w:left="1000" w:right="12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supply or quality of materials for drug candidates we develop or other materials necessary to conduct clinical trials may be insufficient or inadequate; and</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experience disruptions by man-made or natural disasters or public health pandemics or epidemics or other business interruptions, including the current COVID-19 pandemic and future outbreaks of the disease.</w:t>
      </w:r>
    </w:p>
    <w:p>
      <w:pPr>
        <w:spacing w:after="0" w:line="170"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177" w:lineRule="exact"/>
        <w:rPr>
          <w:sz w:val="20"/>
          <w:szCs w:val="20"/>
          <w:color w:val="auto"/>
        </w:rPr>
      </w:pPr>
    </w:p>
    <w:p>
      <w:pPr>
        <w:ind w:firstLine="510"/>
        <w:spacing w:after="0" w:line="219" w:lineRule="exact"/>
        <w:rPr>
          <w:sz w:val="20"/>
          <w:szCs w:val="20"/>
          <w:color w:val="auto"/>
        </w:rPr>
      </w:pPr>
      <w:r>
        <w:rPr>
          <w:rFonts w:ascii="Arial" w:cs="Arial" w:eastAsia="Arial" w:hAnsi="Arial"/>
          <w:sz w:val="17"/>
          <w:szCs w:val="17"/>
          <w:color w:val="auto"/>
        </w:rPr>
        <w:t>Further, we are currently conducting a clinical trial for each of ALG</w:t>
      </w:r>
      <w:r>
        <w:rPr>
          <w:rFonts w:ascii="MS PGothic" w:cs="MS PGothic" w:eastAsia="MS PGothic" w:hAnsi="MS PGothic"/>
          <w:sz w:val="17"/>
          <w:szCs w:val="17"/>
          <w:color w:val="auto"/>
        </w:rPr>
        <w:t>‑</w:t>
      </w:r>
      <w:r>
        <w:rPr>
          <w:rFonts w:ascii="Arial" w:cs="Arial" w:eastAsia="Arial" w:hAnsi="Arial"/>
          <w:sz w:val="17"/>
          <w:szCs w:val="17"/>
          <w:color w:val="auto"/>
        </w:rPr>
        <w:t>010133 and ALG</w:t>
      </w:r>
      <w:r>
        <w:rPr>
          <w:rFonts w:ascii="MS PGothic" w:cs="MS PGothic" w:eastAsia="MS PGothic" w:hAnsi="MS PGothic"/>
          <w:sz w:val="17"/>
          <w:szCs w:val="17"/>
          <w:color w:val="auto"/>
        </w:rPr>
        <w:t>‑</w:t>
      </w:r>
      <w:r>
        <w:rPr>
          <w:rFonts w:ascii="Arial" w:cs="Arial" w:eastAsia="Arial" w:hAnsi="Arial"/>
          <w:sz w:val="17"/>
          <w:szCs w:val="17"/>
          <w:color w:val="auto"/>
        </w:rPr>
        <w:t>000184 in New Zealand, Hong Kong, and Moldova. We may also in the future conduct clinical trials for ALG</w:t>
      </w:r>
      <w:r>
        <w:rPr>
          <w:rFonts w:ascii="MS PGothic" w:cs="MS PGothic" w:eastAsia="MS PGothic" w:hAnsi="MS PGothic"/>
          <w:sz w:val="17"/>
          <w:szCs w:val="17"/>
          <w:color w:val="auto"/>
        </w:rPr>
        <w:t>‑</w:t>
      </w:r>
      <w:r>
        <w:rPr>
          <w:rFonts w:ascii="Arial" w:cs="Arial" w:eastAsia="Arial" w:hAnsi="Arial"/>
          <w:sz w:val="17"/>
          <w:szCs w:val="17"/>
          <w:color w:val="auto"/>
        </w:rPr>
        <w:t>010133, ALG</w:t>
      </w:r>
      <w:r>
        <w:rPr>
          <w:rFonts w:ascii="MS PGothic" w:cs="MS PGothic" w:eastAsia="MS PGothic" w:hAnsi="MS PGothic"/>
          <w:sz w:val="17"/>
          <w:szCs w:val="17"/>
          <w:color w:val="auto"/>
        </w:rPr>
        <w:t>‑</w:t>
      </w:r>
      <w:r>
        <w:rPr>
          <w:rFonts w:ascii="Arial" w:cs="Arial" w:eastAsia="Arial" w:hAnsi="Arial"/>
          <w:sz w:val="17"/>
          <w:szCs w:val="17"/>
          <w:color w:val="auto"/>
        </w:rPr>
        <w:t>000184 and other drug candidates in other countries and territories, including South Korea, the United Kingdom, and China,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20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92" w:lineRule="exact"/>
        <w:rPr>
          <w:sz w:val="20"/>
          <w:szCs w:val="20"/>
          <w:color w:val="auto"/>
        </w:rPr>
      </w:pPr>
    </w:p>
    <w:p>
      <w:pPr>
        <w:ind w:right="80" w:firstLine="510"/>
        <w:spacing w:after="0" w:line="218" w:lineRule="exact"/>
        <w:rPr>
          <w:sz w:val="20"/>
          <w:szCs w:val="20"/>
          <w:color w:val="auto"/>
        </w:rPr>
      </w:pPr>
      <w:r>
        <w:rPr>
          <w:rFonts w:ascii="Arial" w:cs="Arial" w:eastAsia="Arial" w:hAnsi="Arial"/>
          <w:sz w:val="16"/>
          <w:szCs w:val="16"/>
          <w:color w:val="auto"/>
        </w:rPr>
        <w:t>Specifically, the clinical trial sites for our current and future planned drug trials, including for ALG</w:t>
      </w:r>
      <w:r>
        <w:rPr>
          <w:rFonts w:ascii="MS PGothic" w:cs="MS PGothic" w:eastAsia="MS PGothic" w:hAnsi="MS PGothic"/>
          <w:sz w:val="16"/>
          <w:szCs w:val="16"/>
          <w:color w:val="auto"/>
        </w:rPr>
        <w:t>‑</w:t>
      </w:r>
      <w:r>
        <w:rPr>
          <w:rFonts w:ascii="Arial" w:cs="Arial" w:eastAsia="Arial" w:hAnsi="Arial"/>
          <w:sz w:val="16"/>
          <w:szCs w:val="16"/>
          <w:color w:val="auto"/>
        </w:rPr>
        <w:t>010133 and ALG</w:t>
      </w:r>
      <w:r>
        <w:rPr>
          <w:rFonts w:ascii="MS PGothic" w:cs="MS PGothic" w:eastAsia="MS PGothic" w:hAnsi="MS PGothic"/>
          <w:sz w:val="16"/>
          <w:szCs w:val="16"/>
          <w:color w:val="auto"/>
        </w:rPr>
        <w:t>‑</w:t>
      </w:r>
      <w:r>
        <w:rPr>
          <w:rFonts w:ascii="Arial" w:cs="Arial" w:eastAsia="Arial" w:hAnsi="Arial"/>
          <w:sz w:val="16"/>
          <w:szCs w:val="16"/>
          <w:color w:val="auto"/>
        </w:rPr>
        <w:t>000184, may be affected by the COVID-19 outbreak due to prioritization of hospital resources toward COVID-19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w:t>
      </w:r>
    </w:p>
    <w:p>
      <w:pPr>
        <w:spacing w:after="0" w:line="206"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161"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260"/>
        <w:spacing w:after="0" w:line="308" w:lineRule="auto"/>
        <w:rPr>
          <w:sz w:val="20"/>
          <w:szCs w:val="20"/>
          <w:color w:val="auto"/>
        </w:rPr>
      </w:pPr>
      <w:r>
        <w:rPr>
          <w:rFonts w:ascii="Arial" w:cs="Arial" w:eastAsia="Arial" w:hAnsi="Arial"/>
          <w:sz w:val="17"/>
          <w:szCs w:val="17"/>
          <w:b w:val="1"/>
          <w:bCs w:val="1"/>
          <w:i w:val="1"/>
          <w:iCs w:val="1"/>
          <w:color w:val="auto"/>
        </w:rPr>
        <w:t>Our pursuit of potential treatments for NASH is at an early stage and we may be unable to produce a therapy that successfully treats NASH. Even if successful, we may be unable to obtain regulatory approval for and successfully commercialize our drug candidates.</w:t>
      </w:r>
    </w:p>
    <w:p>
      <w:pPr>
        <w:spacing w:after="0" w:line="38"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have invested, and will continue to invest, a significant portion of our time and financial resources in the pursuit of a treatment for NASH.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p>
    <w:p>
      <w:pPr>
        <w:spacing w:after="0" w:line="16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 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p>
    <w:p>
      <w:pPr>
        <w:spacing w:after="0" w:line="188"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potential therapies for COVID-19 is at an early stage.</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In response to the outbreak of COVID-19, the disease caused by the virus SARS-CoV-2, we are pursuing various potential therapies to address the disease, including protease inhibitors and oligonucleotides. Our identification and development of these potential therapies is at an early stage, and we may be unable to produce in a timely manner a therapy that successfully treats the virus or that has broad clinical applicability, if at all.</w:t>
      </w:r>
    </w:p>
    <w:p>
      <w:pPr>
        <w:spacing w:after="0" w:line="16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For example, in June 2020, we entered into a Research, Licensing and Commercialization Agreement (the KU Leuven Agreement) with Katholieke Universiteit Leuven (KU Leuven) under which we are collaborating with KU Leuven’s Rega Institute for Medical Research, as well as its Centre for Drug Design and Discovery, to research, develop, manufacture and commercialize potential protease inhibitors for the treatment of coronaviruses, including SARS-CoV-2. We are in the earliest stages of our collaboration under the KU Leuven Agreement. The KU Leuven Agreement may not result in a therapy that successfully treats SARS-CoV-2. Further, if the KU Leuven Agreement does result in such a therapy, the therapy may not be developed and commercialized in a timely manner.</w:t>
      </w:r>
    </w:p>
    <w:p>
      <w:pPr>
        <w:spacing w:after="0" w:line="19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and Moderna mRNA-1273 COVID-19 vaccines have been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186"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4" w:name="page45"/>
    <w:bookmarkEnd w:id="44"/>
    <w:p>
      <w:pPr>
        <w:ind w:firstLine="510"/>
        <w:spacing w:after="0" w:line="267" w:lineRule="auto"/>
        <w:rPr>
          <w:sz w:val="20"/>
          <w:szCs w:val="20"/>
          <w:color w:val="auto"/>
        </w:rPr>
      </w:pPr>
      <w:r>
        <w:rPr>
          <w:rFonts w:ascii="Arial" w:cs="Arial" w:eastAsia="Arial" w:hAnsi="Arial"/>
          <w:sz w:val="17"/>
          <w:szCs w:val="17"/>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Pfizer Inc. recently announced its COVID-19 experimental drug (an orally administered protease inhibitor) which entered the clinic in March 2021, may be available and distributed across the United States by the end of 2021. In such an event, the value and/or market potential of our COVID-19 protease inhibitor program which is further behind in terms of development process may be adversely impacted. Further, other therapies that are more affordable than our potential therapies may be used to treat COVID-19, including existing generic drugs, which could also hurt the funding of and demand for our potential therapies. In addition to BioNTech SE (together with Pfizer Inc.), Moderna, Inc. and Janssen Pharmaceutical Companies of Johnson &amp; Johnson, there are efforts by several other public and private entities to develop a therapy or vaccine for COVID-19, including Alexion Pharmaceuticals Inc., Atea Pharmaceuticals, Inc. (together with Roche), Incyte Corporation, Sanofi S.A., Regeneron Pharmaceuticals, Inc., Amgen Inc. (together with Adaptive Biotechnologies Corporation), Abcellera Biologics, Inc. (together with Eli Lilly and Company), Vir Biotechnology, Inc. (together with Alnylam Pharmaceuticals, GSK, Biogen Inc. and WuXi Biologics Ltd.), Altimmune, Inc., AstraZeneca PLC (together with Oxford University), GlaxoSmithKline (GSK) (together with Sanofi S.A.), Heat Biologics, Inc., Inovio Pharmaceuticals, Inc., Merck (together with Ridgeback Bio), Novavax, Inc., Regeneron Pharmaceuticals Inc., Synairgen, Takeda, and Vaxart, Inc., many of which are further along in the development process than we are.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2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regulatory pathways for our drug candidates targeting SARS-CoV-2, the virus that causes COVID-19, are continually evolving, and may result in unexpected or unforeseen challenges.</w:t>
      </w:r>
    </w:p>
    <w:p>
      <w:pPr>
        <w:spacing w:after="0" w:line="62"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p>
    <w:p>
      <w:pPr>
        <w:spacing w:after="0" w:line="19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FDA has the authority to grant an Emergency Use Authorization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granted an EUR for each of the COVID-19 vaccines developed by Pfizer/BioNTech, Moderna and Janssen Pharmaceutical Companies of Johnson &amp; Johnson.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nonclinical studies and early-stage clinical trials may not be predictive of future results.</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76"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in the trial through the completion of evaluation; and</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 by man-made or natural disasters, or public health pandemics or epidemics or other business interruptions, including the current COVID-19 pandemic and future outbreaks of the virus.</w:t>
      </w:r>
    </w:p>
    <w:p>
      <w:pPr>
        <w:spacing w:after="0" w:line="170"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6" w:name="page47"/>
    <w:bookmarkEnd w:id="46"/>
    <w:p>
      <w:pPr>
        <w:ind w:right="120" w:firstLine="510"/>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drug candidate manufacturing or formulation may result in additional costs or delay.</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entails additional cost and risks potential delay if the reformulated or otherwise altered drug candidate performs different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16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29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8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19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18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62"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44"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2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79"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65"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p>
    <w:p>
      <w:pPr>
        <w:spacing w:after="0" w:line="68"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3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6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192"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257"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3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19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28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76"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9" w:name="page50"/>
    <w:bookmarkEnd w:id="49"/>
    <w:p>
      <w:pPr>
        <w:ind w:right="120"/>
        <w:spacing w:after="0" w:line="277" w:lineRule="auto"/>
        <w:rPr>
          <w:sz w:val="20"/>
          <w:szCs w:val="20"/>
          <w:color w:val="auto"/>
        </w:rPr>
      </w:pPr>
      <w:r>
        <w:rPr>
          <w:rFonts w:ascii="Arial" w:cs="Arial" w:eastAsia="Arial" w:hAnsi="Arial"/>
          <w:sz w:val="18"/>
          <w:szCs w:val="18"/>
          <w:color w:val="auto"/>
        </w:rPr>
        <w:t>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62"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44"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we filed or suspension or revocation of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182" w:lineRule="exact"/>
        <w:rPr>
          <w:sz w:val="20"/>
          <w:szCs w:val="20"/>
          <w:color w:val="auto"/>
        </w:rPr>
      </w:pPr>
    </w:p>
    <w:p>
      <w:pPr>
        <w:ind w:right="60" w:firstLine="510"/>
        <w:spacing w:after="0" w:line="218" w:lineRule="exact"/>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For example, we are conducting our initial clinical trials for ALG</w:t>
      </w:r>
      <w:r>
        <w:rPr>
          <w:rFonts w:ascii="MS PGothic" w:cs="MS PGothic" w:eastAsia="MS PGothic" w:hAnsi="MS PGothic"/>
          <w:sz w:val="18"/>
          <w:szCs w:val="18"/>
          <w:color w:val="auto"/>
        </w:rPr>
        <w:t>‑</w:t>
      </w:r>
      <w:r>
        <w:rPr>
          <w:rFonts w:ascii="Arial" w:cs="Arial" w:eastAsia="Arial" w:hAnsi="Arial"/>
          <w:sz w:val="18"/>
          <w:szCs w:val="18"/>
          <w:color w:val="auto"/>
        </w:rPr>
        <w:t>010133 and ALG</w:t>
      </w:r>
      <w:r>
        <w:rPr>
          <w:rFonts w:ascii="MS PGothic" w:cs="MS PGothic" w:eastAsia="MS PGothic" w:hAnsi="MS PGothic"/>
          <w:sz w:val="18"/>
          <w:szCs w:val="18"/>
          <w:color w:val="auto"/>
        </w:rPr>
        <w:t>‑</w:t>
      </w:r>
      <w:r>
        <w:rPr>
          <w:rFonts w:ascii="Arial" w:cs="Arial" w:eastAsia="Arial" w:hAnsi="Arial"/>
          <w:sz w:val="18"/>
          <w:szCs w:val="18"/>
          <w:color w:val="auto"/>
        </w:rPr>
        <w:t>000184 in New Zealand, Hong Kong, and Moldova, and plan to conduct additional clinical trials in several other countries and territories within the Asia Pacific and/or Europe, including South Korea, the United Kingdom, and China,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31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62" w:lineRule="exact"/>
        <w:rPr>
          <w:sz w:val="20"/>
          <w:szCs w:val="20"/>
          <w:color w:val="auto"/>
        </w:rPr>
      </w:pPr>
    </w:p>
    <w:p>
      <w:pPr>
        <w:jc w:val="both"/>
        <w:ind w:right="460" w:firstLine="510"/>
        <w:spacing w:after="0" w:line="263" w:lineRule="auto"/>
        <w:rPr>
          <w:sz w:val="20"/>
          <w:szCs w:val="20"/>
          <w:color w:val="auto"/>
        </w:rPr>
      </w:pPr>
      <w:r>
        <w:rPr>
          <w:rFonts w:ascii="Arial" w:cs="Arial" w:eastAsia="Arial" w:hAnsi="Arial"/>
          <w:sz w:val="18"/>
          <w:szCs w:val="18"/>
          <w:color w:val="auto"/>
        </w:rPr>
        <w:t>We engage in international operations with offices in the United States and Belgium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76" w:lineRule="exact"/>
        <w:rPr>
          <w:sz w:val="20"/>
          <w:szCs w:val="20"/>
          <w:color w:val="auto"/>
        </w:rPr>
      </w:pPr>
    </w:p>
    <w:p>
      <w:pPr>
        <w:ind w:left="1000" w:right="68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 candidates in foreign countries, including challenging processes for marketing biopharmaceutical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protection for and enforcement of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heightened or different data privacy and information security laws, regulations and policies;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w:t>
      </w:r>
    </w:p>
    <w:p>
      <w:pPr>
        <w:spacing w:after="0" w:line="144"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disruptions resulting from the impact of public health pandemics or epidemics (including, for example, the ongoing COVID-19 pandemic).</w:t>
      </w:r>
    </w:p>
    <w:p>
      <w:pPr>
        <w:spacing w:after="0" w:line="275"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In addition, there are complex regulatory, tax, labor and other legal requirements imposed by many of the individual countries in which we may operate, with which we will need to comply.</w:t>
      </w:r>
    </w:p>
    <w:p>
      <w:pPr>
        <w:spacing w:after="0" w:line="27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9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Relatedly,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mission-critical inspections to resumption of all regulatory activities. The resumption of prioritized domestic inspections is dependent on the current COVID-19 data in a given state or county and the rules and guidelines established by state and local government. 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51" w:name="page52"/>
    <w:bookmarkEnd w:id="51"/>
    <w:p>
      <w:pPr>
        <w:ind w:right="4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p>
    <w:p>
      <w:pPr>
        <w:spacing w:after="0" w:line="179" w:lineRule="exact"/>
        <w:rPr>
          <w:sz w:val="20"/>
          <w:szCs w:val="20"/>
          <w:color w:val="auto"/>
        </w:rPr>
      </w:pPr>
    </w:p>
    <w:p>
      <w:pPr>
        <w:ind w:firstLine="514"/>
        <w:spacing w:after="0" w:line="253" w:lineRule="auto"/>
        <w:rPr>
          <w:sz w:val="20"/>
          <w:szCs w:val="20"/>
          <w:color w:val="auto"/>
        </w:rPr>
      </w:pPr>
      <w:r>
        <w:rPr>
          <w:rFonts w:ascii="Arial" w:cs="Arial" w:eastAsia="Arial" w:hAnsi="Arial"/>
          <w:sz w:val="18"/>
          <w:szCs w:val="18"/>
          <w:color w:val="auto"/>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p>
    <w:p>
      <w:pPr>
        <w:spacing w:after="0" w:line="196" w:lineRule="exact"/>
        <w:rPr>
          <w:sz w:val="20"/>
          <w:szCs w:val="20"/>
          <w:color w:val="auto"/>
        </w:rPr>
      </w:pPr>
    </w:p>
    <w:p>
      <w:pPr>
        <w:ind w:right="160" w:firstLine="514"/>
        <w:spacing w:after="0" w:line="259" w:lineRule="auto"/>
        <w:rPr>
          <w:sz w:val="20"/>
          <w:szCs w:val="20"/>
          <w:color w:val="auto"/>
        </w:rPr>
      </w:pPr>
      <w:r>
        <w:rPr>
          <w:rFonts w:ascii="Arial" w:cs="Arial" w:eastAsia="Arial" w:hAnsi="Arial"/>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2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18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2" w:name="page53"/>
    <w:bookmarkEnd w:id="52"/>
    <w:p>
      <w:pPr>
        <w:ind w:right="4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6"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and Vaxart, Inc. For example, BioNTech SE (together with Pfizer Inc.), Janssen Pharmaceutical Companies of Johnson &amp; Johnson and Moderna Inc. have developed COVID-19 vaccines that have received authorization for emergency use and are being widely administered. In addition, Pfizer, Inc. recently announced its COVID-19 experimental drug (an orally administered protease inhibitor) which entered the clinic in March 2021, may be available and distributed across the United States by the end of 2021. The availability of such COVID-19 vaccines and Pfizer’s oral COVID-19 drug may reduce or eliminate the need for our potential COVID therapies to treat the disease and therefore negatively impact the commercial opportunity therefor.</w:t>
      </w:r>
    </w:p>
    <w:p>
      <w:pPr>
        <w:spacing w:after="0" w:line="18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Blade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p>
    <w:p>
      <w:pPr>
        <w:spacing w:after="0" w:line="19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19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ind w:right="20" w:firstLine="510"/>
        <w:spacing w:after="0" w:line="263" w:lineRule="auto"/>
        <w:rPr>
          <w:sz w:val="20"/>
          <w:szCs w:val="20"/>
          <w:color w:val="auto"/>
        </w:rPr>
      </w:pPr>
      <w:r>
        <w:rPr>
          <w:rFonts w:ascii="Arial" w:cs="Arial" w:eastAsia="Arial" w:hAnsi="Arial"/>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184" w:lineRule="exact"/>
        <w:rPr>
          <w:sz w:val="20"/>
          <w:szCs w:val="20"/>
          <w:color w:val="auto"/>
        </w:rPr>
      </w:pPr>
    </w:p>
    <w:p>
      <w:pPr>
        <w:jc w:val="both"/>
        <w:ind w:right="320" w:firstLine="510"/>
        <w:spacing w:after="0" w:line="286" w:lineRule="auto"/>
        <w:rPr>
          <w:sz w:val="20"/>
          <w:szCs w:val="20"/>
          <w:color w:val="auto"/>
        </w:rPr>
      </w:pPr>
      <w:r>
        <w:rPr>
          <w:rFonts w:ascii="Arial" w:cs="Arial" w:eastAsia="Arial" w:hAnsi="Arial"/>
          <w:sz w:val="17"/>
          <w:szCs w:val="17"/>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79"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7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2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6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17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firstLine="510"/>
        <w:spacing w:after="0" w:line="270"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8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2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18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risk/benefit profiles through Phase 1 clinical trials of our drug candidates, ALG-010133 and ALG-000184.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18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100"/>
        <w:spacing w:after="0" w:line="301" w:lineRule="auto"/>
        <w:rPr>
          <w:sz w:val="20"/>
          <w:szCs w:val="20"/>
          <w:color w:val="auto"/>
        </w:rPr>
      </w:pPr>
      <w:r>
        <w:rPr>
          <w:rFonts w:ascii="Arial" w:cs="Arial" w:eastAsia="Arial" w:hAnsi="Arial"/>
          <w:sz w:val="16"/>
          <w:szCs w:val="16"/>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4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9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18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17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right="180" w:firstLine="510"/>
        <w:spacing w:after="0" w:line="272" w:lineRule="auto"/>
        <w:rPr>
          <w:sz w:val="20"/>
          <w:szCs w:val="20"/>
          <w:color w:val="auto"/>
        </w:rPr>
      </w:pPr>
      <w:r>
        <w:rPr>
          <w:rFonts w:ascii="Arial" w:cs="Arial" w:eastAsia="Arial" w:hAnsi="Arial"/>
          <w:sz w:val="17"/>
          <w:szCs w:val="17"/>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ind w:firstLine="510"/>
        <w:spacing w:after="0" w:line="290" w:lineRule="auto"/>
        <w:rPr>
          <w:sz w:val="20"/>
          <w:szCs w:val="20"/>
          <w:color w:val="auto"/>
        </w:rPr>
      </w:pPr>
      <w:r>
        <w:rPr>
          <w:rFonts w:ascii="Arial" w:cs="Arial" w:eastAsia="Arial" w:hAnsi="Arial"/>
          <w:sz w:val="16"/>
          <w:szCs w:val="16"/>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make significant payments under our license agreements with Emory University and Luxna Biotech Co., Ltd.</w:t>
      </w:r>
    </w:p>
    <w:p>
      <w:pPr>
        <w:spacing w:after="0" w:line="129"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entered into a License Agreement with Emory in June 2018 (the Emory License Agreement), and a License Agreement with Luxna in December 2018 and an amendment in April 2020 (as amended, the Luxna Agreement). Under the Emory License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previously filed with the SEC. If these payments become due under the terms of either the Emory University License Agreement or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6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payments to trial participants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effects to our results of operations and business;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commercialize any drug candidate;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5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firstLine="514"/>
        <w:spacing w:after="0" w:line="291"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p>
    <w:p>
      <w:pPr>
        <w:spacing w:after="0" w:line="166" w:lineRule="exact"/>
        <w:rPr>
          <w:sz w:val="20"/>
          <w:szCs w:val="20"/>
          <w:color w:val="auto"/>
        </w:rPr>
      </w:pPr>
    </w:p>
    <w:p>
      <w:pPr>
        <w:ind w:firstLine="514"/>
        <w:spacing w:after="0" w:line="271" w:lineRule="auto"/>
        <w:rPr>
          <w:sz w:val="20"/>
          <w:szCs w:val="20"/>
          <w:color w:val="auto"/>
        </w:rPr>
      </w:pPr>
      <w:r>
        <w:rPr>
          <w:rFonts w:ascii="Arial" w:cs="Arial" w:eastAsia="Arial" w:hAnsi="Arial"/>
          <w:sz w:val="17"/>
          <w:szCs w:val="17"/>
          <w:color w:val="auto"/>
        </w:rPr>
        <w:t>Since its enactment, there have been judicial, executive and Congressional challenges to the ACA. By way of example, the Tax Cuts and Jobs Act of 2017 (the TCJA) was signed into law, which included a provision repealing, effective January 1, 2019, the tax-based shared responsibility payment imposed by the ACA on certain individuals who fail to maintain qualifying health coverage for all or part of a year, commonly referred to as the individual mandate. On December 14, 2018, a Texas U.S. District Court Judge ruled that the ACA is unconstitutional in its entirety because the “individual mandate” was repealed by Congress as part of the TCJA. Additionally, on December 18, 2019, the U.S. Court of Appeals for the 5th Circuit ruled that that the individual mandate was unconstitutional and remanded the case back to the District Court to determine whether the remaining provisions of the ACA are invalid as well. The U.S. Supreme Court is currently reviewing this case, although it is unclear how the Supreme Court will rule. It is also unclear how other efforts, if any, to challenge, repeal or replace the ACA will impact the ACA or our business.</w:t>
      </w:r>
    </w:p>
    <w:p>
      <w:pPr>
        <w:spacing w:after="0" w:line="178" w:lineRule="exact"/>
        <w:rPr>
          <w:sz w:val="20"/>
          <w:szCs w:val="20"/>
          <w:color w:val="auto"/>
        </w:rPr>
      </w:pPr>
    </w:p>
    <w:p>
      <w:pPr>
        <w:ind w:right="40" w:firstLine="514"/>
        <w:spacing w:after="0" w:line="296"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2021, unless additional Congressional action is taken. In addition, on January 2, 2013, the American Taxpayer Relief Act of 2012 was signed into law, which, among other things, further reduced Medicare payments to several types of providers.</w:t>
      </w:r>
    </w:p>
    <w:p>
      <w:pPr>
        <w:spacing w:after="0" w:line="161" w:lineRule="exact"/>
        <w:rPr>
          <w:sz w:val="20"/>
          <w:szCs w:val="20"/>
          <w:color w:val="auto"/>
        </w:rPr>
      </w:pPr>
    </w:p>
    <w:p>
      <w:pPr>
        <w:ind w:firstLine="514"/>
        <w:spacing w:after="0" w:line="257"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 For example, it is possible that additional governmental action will be taken to address the COVID-19 pandemic, which could impact our business in an as-yet unknown manner.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8" w:name="page59"/>
    <w:bookmarkEnd w:id="58"/>
    <w:p>
      <w:pPr>
        <w:ind w:firstLine="510"/>
        <w:spacing w:after="0" w:line="273"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It is unclear whether the Biden administration will work to reverse these measures or pursue similar policy initiatives to control drug costs. Any reduction in reimbursement from Medicare and other government programs may result in a similar reduction in payments from private payers.</w:t>
      </w:r>
    </w:p>
    <w:p>
      <w:pPr>
        <w:spacing w:after="0" w:line="28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76"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166"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provided to us by a HIPAA-covered entity in a manner that is not authorized or permitted by HIPAA.</w:t>
      </w:r>
    </w:p>
    <w:p>
      <w:pPr>
        <w:spacing w:after="0" w:line="17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Further, the CPRA recently passed in California,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condition.</w:t>
      </w:r>
    </w:p>
    <w:p>
      <w:pPr>
        <w:spacing w:after="0" w:line="16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currently operate in countries outside of the United States, including Belgium and Australia, where laws may in some cases be more stringent than the requirements in the United States. For example, in Europe, the GDPR went into effect in May 2018 and imposes strict requirements for the collection, storage, use, disclosure, transfer and other processing of the personal data of individuals within the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within 72 hours after discovering the breach,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9" w:name="page60"/>
    <w:bookmarkEnd w:id="59"/>
    <w:p>
      <w:pPr>
        <w:spacing w:after="0" w:line="268" w:lineRule="auto"/>
        <w:rPr>
          <w:sz w:val="20"/>
          <w:szCs w:val="20"/>
          <w:color w:val="auto"/>
        </w:rPr>
      </w:pPr>
      <w:r>
        <w:rPr>
          <w:rFonts w:ascii="Arial" w:cs="Arial" w:eastAsia="Arial" w:hAnsi="Arial"/>
          <w:sz w:val="17"/>
          <w:szCs w:val="17"/>
          <w:color w:val="auto"/>
        </w:rPr>
        <w:t>and share personal data, could cause our costs to increase and could harm our financial condition. Failure to comply with the requirements of the GDPR and the applicable national data protection laws of the EU and EEA member states may result in fines of up to €20 million or up to 4% of the total worldwide annual turnover of our preceding fiscal year, whichever is higher, and other administrative penalties. Further, from January 1, 2021, we have to comply with the GDPR and the UK GDPR, which, together, with the amended Data Protection Act 2018, retains the GDPR in UK national law, the latter regime having the ability to separately fine up to the greater of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costs and increase our overall risk exposure. Failure to comply with the GDPR and other countries’ privacy or data security-related laws, rules or regulations could result in material penalties imposed by regulators, affect our compliance with contracts entered into with our collaborators and other third-party payors, and have an adverse effect on our business and financial condition.</w:t>
      </w:r>
    </w:p>
    <w:p>
      <w:pPr>
        <w:spacing w:after="0" w:line="186"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on July 16, 2020, the Court of Justice of the European Union (CJEU) invalidated the EU-US Privacy Shield Framework (the Privacy Shield) under which personal data could be transferred from the EEA to United States entities that had self-certified under the Privacy Shield scheme. While the CJEU upheld the adequacy, subject to certain conditions, of the standard contractual clauses (a standard form of contract approved by the European Commission as an adequate personal data transfer mechanism), future regulatory guidance could result in changes to the use of standard contractual clauses.</w:t>
      </w:r>
    </w:p>
    <w:p>
      <w:pPr>
        <w:spacing w:after="0" w:line="166"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129"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7" w:lineRule="exact"/>
        <w:rPr>
          <w:sz w:val="20"/>
          <w:szCs w:val="20"/>
          <w:color w:val="auto"/>
        </w:rPr>
      </w:pPr>
    </w:p>
    <w:p>
      <w:pPr>
        <w:ind w:right="240" w:firstLine="510"/>
        <w:spacing w:after="0" w:line="273" w:lineRule="auto"/>
        <w:rPr>
          <w:sz w:val="20"/>
          <w:szCs w:val="20"/>
          <w:color w:val="auto"/>
        </w:rPr>
      </w:pPr>
      <w:r>
        <w:rPr>
          <w:rFonts w:ascii="Arial" w:cs="Arial" w:eastAsia="Arial" w:hAnsi="Arial"/>
          <w:sz w:val="17"/>
          <w:szCs w:val="17"/>
          <w:color w:val="auto"/>
        </w:rPr>
        <w:t>We are currently collaborating with third parties to develop certain of our potential drug candidates. For example, we are collaborating with the Rega Institute and Centre for Drug Design and Discovery at KU Leuven with respect to potential protease inhibitors for the treatment of coronaviruses, including SARS-CoV-2, with Emory University with respect to certain aspects of our small molecule CHB program and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(if any) or drug candidates;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5"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44" w:lineRule="exact"/>
        <w:rPr>
          <w:rFonts w:ascii="Arial" w:cs="Arial" w:eastAsia="Arial" w:hAnsi="Arial"/>
          <w:sz w:val="18"/>
          <w:szCs w:val="18"/>
          <w:color w:val="auto"/>
        </w:rPr>
      </w:pPr>
    </w:p>
    <w:p>
      <w:pPr>
        <w:ind w:left="1000" w:right="120" w:hanging="493"/>
        <w:spacing w:after="0" w:line="342"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1000" w:right="200" w:hanging="493"/>
        <w:spacing w:after="0" w:line="308"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14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ind w:firstLine="510"/>
        <w:spacing w:after="0" w:line="28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172"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We may also be restricted under future collaboration agreements from entering into additional agreements on certain terms with potential collaborators.</w:t>
      </w:r>
    </w:p>
    <w:p>
      <w:pPr>
        <w:spacing w:after="0" w:line="170"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7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2"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1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296"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23" w:lineRule="exact"/>
        <w:rPr>
          <w:sz w:val="20"/>
          <w:szCs w:val="20"/>
          <w:color w:val="auto"/>
        </w:rPr>
      </w:pPr>
    </w:p>
    <w:p>
      <w:pPr>
        <w:ind w:right="60" w:firstLine="510"/>
        <w:spacing w:after="0" w:line="218" w:lineRule="exact"/>
        <w:rPr>
          <w:sz w:val="20"/>
          <w:szCs w:val="20"/>
          <w:color w:val="auto"/>
        </w:rPr>
      </w:pPr>
      <w:r>
        <w:rPr>
          <w:rFonts w:ascii="Arial" w:cs="Arial" w:eastAsia="Arial" w:hAnsi="Arial"/>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010133 and ALG</w:t>
      </w:r>
      <w:r>
        <w:rPr>
          <w:rFonts w:ascii="MS PGothic" w:cs="MS PGothic" w:eastAsia="MS PGothic" w:hAnsi="MS PGothic"/>
          <w:sz w:val="18"/>
          <w:szCs w:val="18"/>
          <w:color w:val="auto"/>
        </w:rPr>
        <w:t>‑</w:t>
      </w:r>
      <w:r>
        <w:rPr>
          <w:rFonts w:ascii="Arial" w:cs="Arial" w:eastAsia="Arial" w:hAnsi="Arial"/>
          <w:sz w:val="18"/>
          <w:szCs w:val="18"/>
          <w:color w:val="auto"/>
        </w:rPr>
        <w:t>000184,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2" w:name="page63"/>
    <w:bookmarkEnd w:id="62"/>
    <w:p>
      <w:pPr>
        <w:ind w:firstLine="510"/>
        <w:spacing w:after="0" w:line="268" w:lineRule="auto"/>
        <w:rPr>
          <w:sz w:val="20"/>
          <w:szCs w:val="20"/>
          <w:color w:val="auto"/>
        </w:rPr>
      </w:pPr>
      <w:r>
        <w:rPr>
          <w:rFonts w:ascii="Arial" w:cs="Arial" w:eastAsia="Arial" w:hAnsi="Arial"/>
          <w:sz w:val="17"/>
          <w:szCs w:val="17"/>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4"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undergo changes in priorities;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become financially distressed;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17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if the quality or accuracy of the nonclinical or clinical data they obtain are compromised due to the failure to adhere to our protocols, regulatory requirements or for other reasons, or if they are negatively impacted by the COVID-19 pandemic,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28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5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20" w:firstLine="510"/>
        <w:spacing w:after="0" w:line="291" w:lineRule="auto"/>
        <w:rPr>
          <w:sz w:val="20"/>
          <w:szCs w:val="20"/>
          <w:color w:val="auto"/>
        </w:rPr>
      </w:pPr>
      <w:r>
        <w:rPr>
          <w:rFonts w:ascii="Arial" w:cs="Arial" w:eastAsia="Arial" w:hAnsi="Arial"/>
          <w:sz w:val="16"/>
          <w:szCs w:val="16"/>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166" w:lineRule="exact"/>
        <w:rPr>
          <w:sz w:val="20"/>
          <w:szCs w:val="20"/>
          <w:color w:val="auto"/>
        </w:rPr>
      </w:pPr>
    </w:p>
    <w:p>
      <w:pPr>
        <w:ind w:right="460" w:firstLine="510"/>
        <w:spacing w:after="0" w:line="286" w:lineRule="auto"/>
        <w:rPr>
          <w:sz w:val="20"/>
          <w:szCs w:val="20"/>
          <w:color w:val="auto"/>
        </w:rPr>
      </w:pPr>
      <w:r>
        <w:rPr>
          <w:rFonts w:ascii="Arial" w:cs="Arial" w:eastAsia="Arial" w:hAnsi="Arial"/>
          <w:sz w:val="17"/>
          <w:szCs w:val="17"/>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165" w:lineRule="exact"/>
        <w:rPr>
          <w:sz w:val="20"/>
          <w:szCs w:val="20"/>
          <w:color w:val="auto"/>
        </w:rPr>
      </w:pPr>
    </w:p>
    <w:p>
      <w:pPr>
        <w:jc w:val="both"/>
        <w:ind w:right="160" w:firstLine="510"/>
        <w:spacing w:after="0" w:line="259" w:lineRule="auto"/>
        <w:rPr>
          <w:sz w:val="20"/>
          <w:szCs w:val="20"/>
          <w:color w:val="auto"/>
        </w:rPr>
      </w:pPr>
      <w:r>
        <w:rPr>
          <w:rFonts w:ascii="Arial" w:cs="Arial" w:eastAsia="Arial" w:hAnsi="Arial"/>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187"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2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9"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ind w:right="280" w:firstLine="510"/>
        <w:spacing w:after="0" w:line="301"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15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2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188"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Some of our third-party manufacturers which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our clinical development.</w:t>
      </w:r>
    </w:p>
    <w:p>
      <w:pPr>
        <w:spacing w:after="0" w:line="1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jc w:val="both"/>
        <w:ind w:right="200"/>
        <w:spacing w:after="0" w:line="311" w:lineRule="auto"/>
        <w:rPr>
          <w:sz w:val="20"/>
          <w:szCs w:val="20"/>
          <w:color w:val="auto"/>
        </w:rPr>
      </w:pPr>
      <w:r>
        <w:rPr>
          <w:rFonts w:ascii="Arial" w:cs="Arial" w:eastAsia="Arial" w:hAnsi="Arial"/>
          <w:sz w:val="16"/>
          <w:szCs w:val="16"/>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4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69" w:lineRule="exact"/>
        <w:rPr>
          <w:sz w:val="20"/>
          <w:szCs w:val="20"/>
          <w:color w:val="auto"/>
        </w:rPr>
      </w:pPr>
    </w:p>
    <w:p>
      <w:pPr>
        <w:ind w:left="1000" w:right="20" w:hanging="493"/>
        <w:spacing w:after="0" w:line="254"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86" w:lineRule="exact"/>
        <w:rPr>
          <w:rFonts w:ascii="Arial" w:cs="Arial" w:eastAsia="Arial" w:hAnsi="Arial"/>
          <w:sz w:val="18"/>
          <w:szCs w:val="18"/>
          <w:color w:val="auto"/>
        </w:rPr>
      </w:pPr>
    </w:p>
    <w:p>
      <w:pPr>
        <w:ind w:left="1000" w:right="100" w:hanging="493"/>
        <w:spacing w:after="0" w:line="25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79" w:lineRule="exact"/>
        <w:rPr>
          <w:rFonts w:ascii="Arial" w:cs="Arial" w:eastAsia="Arial" w:hAnsi="Arial"/>
          <w:sz w:val="18"/>
          <w:szCs w:val="18"/>
          <w:color w:val="auto"/>
        </w:rPr>
      </w:pPr>
    </w:p>
    <w:p>
      <w:pPr>
        <w:ind w:left="1000" w:hanging="493"/>
        <w:spacing w:after="0" w:line="254"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86" w:lineRule="exact"/>
        <w:rPr>
          <w:rFonts w:ascii="Arial" w:cs="Arial" w:eastAsia="Arial" w:hAnsi="Arial"/>
          <w:sz w:val="18"/>
          <w:szCs w:val="18"/>
          <w:color w:val="auto"/>
        </w:rPr>
      </w:pPr>
    </w:p>
    <w:p>
      <w:pPr>
        <w:ind w:left="1000" w:right="120" w:hanging="493"/>
        <w:spacing w:after="0" w:line="291"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such obligations will include payments and other transfers of value provided in the previous year to certain other healthcare professionals, including physician assistants, nurse practitioners, clinical nurse specialists, certified nurse anesthetists, anesthesiology assistants and certified nurse-midwives;</w:t>
      </w:r>
    </w:p>
    <w:p>
      <w:pPr>
        <w:spacing w:after="0" w:line="58" w:lineRule="exact"/>
        <w:rPr>
          <w:rFonts w:ascii="Arial" w:cs="Arial" w:eastAsia="Arial" w:hAnsi="Arial"/>
          <w:sz w:val="16"/>
          <w:szCs w:val="16"/>
          <w:color w:val="auto"/>
        </w:rPr>
      </w:pPr>
    </w:p>
    <w:p>
      <w:pPr>
        <w:ind w:left="1000" w:right="24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00" w:right="40" w:hanging="493"/>
        <w:spacing w:after="0" w:line="254"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ind w:firstLine="510"/>
        <w:spacing w:after="0" w:line="272"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7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If we and our collaborators are unable to obtain and maintain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57" w:lineRule="exact"/>
        <w:rPr>
          <w:sz w:val="20"/>
          <w:szCs w:val="20"/>
          <w:color w:val="auto"/>
        </w:rPr>
      </w:pPr>
    </w:p>
    <w:p>
      <w:pPr>
        <w:ind w:right="40" w:firstLine="510"/>
        <w:spacing w:after="0" w:line="219" w:lineRule="exact"/>
        <w:rPr>
          <w:sz w:val="20"/>
          <w:szCs w:val="20"/>
          <w:color w:val="auto"/>
        </w:rPr>
      </w:pPr>
      <w:r>
        <w:rPr>
          <w:rFonts w:ascii="Arial" w:cs="Arial" w:eastAsia="Arial" w:hAnsi="Arial"/>
          <w:sz w:val="16"/>
          <w:szCs w:val="16"/>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We do not own any issued patents with respect to our programs, including our CHB and NASH programs, and we do not own or in-license any issued patents with claims that specifically recite our ALG</w:t>
      </w:r>
      <w:r>
        <w:rPr>
          <w:rFonts w:ascii="MS PGothic" w:cs="MS PGothic" w:eastAsia="MS PGothic" w:hAnsi="MS PGothic"/>
          <w:sz w:val="16"/>
          <w:szCs w:val="16"/>
          <w:color w:val="auto"/>
        </w:rPr>
        <w:t>‑</w:t>
      </w:r>
      <w:r>
        <w:rPr>
          <w:rFonts w:ascii="Arial" w:cs="Arial" w:eastAsia="Arial" w:hAnsi="Arial"/>
          <w:sz w:val="16"/>
          <w:szCs w:val="16"/>
          <w:color w:val="auto"/>
        </w:rPr>
        <w:t>010133, ALG</w:t>
      </w:r>
      <w:r>
        <w:rPr>
          <w:rFonts w:ascii="MS PGothic" w:cs="MS PGothic" w:eastAsia="MS PGothic" w:hAnsi="MS PGothic"/>
          <w:sz w:val="16"/>
          <w:szCs w:val="16"/>
          <w:color w:val="auto"/>
        </w:rPr>
        <w:t>‑</w:t>
      </w:r>
      <w:r>
        <w:rPr>
          <w:rFonts w:ascii="Arial" w:cs="Arial" w:eastAsia="Arial" w:hAnsi="Arial"/>
          <w:sz w:val="16"/>
          <w:szCs w:val="16"/>
          <w:color w:val="auto"/>
        </w:rPr>
        <w:t>000184, ALG</w:t>
      </w:r>
      <w:r>
        <w:rPr>
          <w:rFonts w:ascii="MS PGothic" w:cs="MS PGothic" w:eastAsia="MS PGothic" w:hAnsi="MS PGothic"/>
          <w:sz w:val="16"/>
          <w:szCs w:val="16"/>
          <w:color w:val="auto"/>
        </w:rPr>
        <w:t>‑</w:t>
      </w:r>
      <w:r>
        <w:rPr>
          <w:rFonts w:ascii="Arial" w:cs="Arial" w:eastAsia="Arial" w:hAnsi="Arial"/>
          <w:sz w:val="16"/>
          <w:szCs w:val="16"/>
          <w:color w:val="auto"/>
        </w:rPr>
        <w:t>020572, ALG</w:t>
      </w:r>
      <w:r>
        <w:rPr>
          <w:rFonts w:ascii="MS PGothic" w:cs="MS PGothic" w:eastAsia="MS PGothic" w:hAnsi="MS PGothic"/>
          <w:sz w:val="16"/>
          <w:szCs w:val="16"/>
          <w:color w:val="auto"/>
        </w:rPr>
        <w:t>‑</w:t>
      </w:r>
      <w:r>
        <w:rPr>
          <w:rFonts w:ascii="Arial" w:cs="Arial" w:eastAsia="Arial" w:hAnsi="Arial"/>
          <w:sz w:val="16"/>
          <w:szCs w:val="16"/>
          <w:color w:val="auto"/>
        </w:rPr>
        <w:t>125097 and ALG</w:t>
      </w:r>
      <w:r>
        <w:rPr>
          <w:rFonts w:ascii="MS PGothic" w:cs="MS PGothic" w:eastAsia="MS PGothic" w:hAnsi="MS PGothic"/>
          <w:sz w:val="16"/>
          <w:szCs w:val="16"/>
          <w:color w:val="auto"/>
        </w:rPr>
        <w:t>‑</w:t>
      </w:r>
      <w:r>
        <w:rPr>
          <w:rFonts w:ascii="Arial" w:cs="Arial" w:eastAsia="Arial" w:hAnsi="Arial"/>
          <w:sz w:val="16"/>
          <w:szCs w:val="16"/>
          <w:color w:val="auto"/>
        </w:rPr>
        <w:t>055009 drug candidates, and we can provide no assurance that any of our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For example, there are certain patents and patent applications (and there may be other patents and patent applications) that are owned by third parties, including our competitors, that have (or may have) an earlier filing date, and could be determined to have an earlier priority date, than our patent applications relating to our STOPS candidate, ALG</w:t>
      </w:r>
      <w:r>
        <w:rPr>
          <w:rFonts w:ascii="MS PGothic" w:cs="MS PGothic" w:eastAsia="MS PGothic" w:hAnsi="MS PGothic"/>
          <w:sz w:val="16"/>
          <w:szCs w:val="16"/>
          <w:color w:val="auto"/>
        </w:rPr>
        <w:t>‑</w:t>
      </w:r>
      <w:r>
        <w:rPr>
          <w:rFonts w:ascii="Arial" w:cs="Arial" w:eastAsia="Arial" w:hAnsi="Arial"/>
          <w:sz w:val="16"/>
          <w:szCs w:val="16"/>
          <w:color w:val="auto"/>
        </w:rPr>
        <w:t>010133. If a patent or patent application is determined to have an earlier priority date, it may prevent our patent applications from issuing at all or issuing in a form that provides any competitive advantage for our product candidates. Failure to obtain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product candidates. We may not be able to obtain these licenses on acceptable or commercially reasonable terms, if at all, or these licenses may be non-exclusive, which could result in our competitors using the same intellectual property.</w:t>
      </w:r>
    </w:p>
    <w:p>
      <w:pPr>
        <w:spacing w:after="0" w:line="385"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100" w:firstLine="510"/>
        <w:spacing w:after="0" w:line="293" w:lineRule="auto"/>
        <w:rPr>
          <w:sz w:val="20"/>
          <w:szCs w:val="20"/>
          <w:color w:val="auto"/>
        </w:rPr>
      </w:pPr>
      <w:r>
        <w:rPr>
          <w:rFonts w:ascii="Arial" w:cs="Arial" w:eastAsia="Arial" w:hAnsi="Arial"/>
          <w:sz w:val="16"/>
          <w:szCs w:val="16"/>
          <w:color w:val="auto"/>
        </w:rPr>
        <w:t>We currently are the assignee of a number of U.S. provisional patent applications. U.S. provisional patent applications are not eligible to become issued patents until, among other things, we file a non-provisional patent application within 12 months of filing of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16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7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18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86"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ind w:right="60"/>
        <w:spacing w:after="0" w:line="259" w:lineRule="auto"/>
        <w:rPr>
          <w:sz w:val="20"/>
          <w:szCs w:val="20"/>
          <w:color w:val="auto"/>
        </w:rPr>
      </w:pPr>
      <w:r>
        <w:rPr>
          <w:rFonts w:ascii="Arial" w:cs="Arial" w:eastAsia="Arial" w:hAnsi="Arial"/>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9"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17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8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8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ind w:right="60" w:firstLine="510"/>
        <w:spacing w:after="0" w:line="270"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1"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76"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intellectual property of the other party that are not subject to the licensing agreement;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44"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25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92"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18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previously filed with the SEC.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40"/>
        <w:spacing w:after="0" w:line="253" w:lineRule="auto"/>
        <w:rPr>
          <w:sz w:val="20"/>
          <w:szCs w:val="20"/>
          <w:color w:val="auto"/>
        </w:rPr>
      </w:pPr>
      <w:r>
        <w:rPr>
          <w:rFonts w:ascii="Arial" w:cs="Arial" w:eastAsia="Arial" w:hAnsi="Arial"/>
          <w:sz w:val="18"/>
          <w:szCs w:val="18"/>
          <w:color w:val="auto"/>
        </w:rPr>
        <w:t>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Beginning in June 2022, the license to such patents will become non-exclusive with respect to all fields except for the treatment and prevention of HBV. For more information regarding our license agreements, see the section titled “Business—License agreements and collaborations” of our Annual Report on Form 10-K previously filed with the SEC. Any of the foregoing could harm our competitive position, business, financial condition, results of operations and prospects.</w:t>
      </w:r>
    </w:p>
    <w:p>
      <w:pPr>
        <w:spacing w:after="0" w:line="30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38"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171" w:lineRule="exact"/>
        <w:rPr>
          <w:sz w:val="20"/>
          <w:szCs w:val="20"/>
          <w:color w:val="auto"/>
        </w:rPr>
      </w:pPr>
    </w:p>
    <w:p>
      <w:pPr>
        <w:ind w:right="40" w:firstLine="510"/>
        <w:spacing w:after="0" w:line="218" w:lineRule="exact"/>
        <w:rPr>
          <w:sz w:val="20"/>
          <w:szCs w:val="20"/>
          <w:color w:val="auto"/>
        </w:rPr>
      </w:pPr>
      <w:r>
        <w:rPr>
          <w:rFonts w:ascii="Arial" w:cs="Arial" w:eastAsia="Arial" w:hAnsi="Arial"/>
          <w:sz w:val="17"/>
          <w:szCs w:val="17"/>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7"/>
          <w:szCs w:val="17"/>
          <w:color w:val="auto"/>
        </w:rPr>
        <w:t>‑</w:t>
      </w:r>
      <w:r>
        <w:rPr>
          <w:rFonts w:ascii="Arial" w:cs="Arial" w:eastAsia="Arial" w:hAnsi="Arial"/>
          <w:sz w:val="17"/>
          <w:szCs w:val="17"/>
          <w:color w:val="auto"/>
        </w:rPr>
        <w:t>055009, ALG</w:t>
      </w:r>
      <w:r>
        <w:rPr>
          <w:rFonts w:ascii="MS PGothic" w:cs="MS PGothic" w:eastAsia="MS PGothic" w:hAnsi="MS PGothic"/>
          <w:sz w:val="17"/>
          <w:szCs w:val="17"/>
          <w:color w:val="auto"/>
        </w:rPr>
        <w:t>‑</w:t>
      </w:r>
      <w:r>
        <w:rPr>
          <w:rFonts w:ascii="Arial" w:cs="Arial" w:eastAsia="Arial" w:hAnsi="Arial"/>
          <w:sz w:val="17"/>
          <w:szCs w:val="17"/>
          <w:color w:val="auto"/>
        </w:rPr>
        <w:t>125097 and ALG</w:t>
      </w:r>
      <w:r>
        <w:rPr>
          <w:rFonts w:ascii="MS PGothic" w:cs="MS PGothic" w:eastAsia="MS PGothic" w:hAnsi="MS PGothic"/>
          <w:sz w:val="17"/>
          <w:szCs w:val="17"/>
          <w:color w:val="auto"/>
        </w:rPr>
        <w:t>‑</w:t>
      </w:r>
      <w:r>
        <w:rPr>
          <w:rFonts w:ascii="Arial" w:cs="Arial" w:eastAsia="Arial" w:hAnsi="Arial"/>
          <w:sz w:val="17"/>
          <w:szCs w:val="17"/>
          <w:color w:val="auto"/>
        </w:rPr>
        <w:t>010133.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20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establish our competitive position on our drug candidates for an adequate amount of time.</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ind w:right="40" w:firstLine="510"/>
        <w:spacing w:after="0" w:line="268" w:lineRule="auto"/>
        <w:rPr>
          <w:sz w:val="20"/>
          <w:szCs w:val="20"/>
          <w:color w:val="auto"/>
        </w:rPr>
      </w:pPr>
      <w:r>
        <w:rPr>
          <w:rFonts w:ascii="Arial" w:cs="Arial" w:eastAsia="Arial" w:hAnsi="Arial"/>
          <w:sz w:val="17"/>
          <w:szCs w:val="17"/>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18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95"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drug candidates.</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19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288"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68"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ind w:right="100"/>
        <w:spacing w:after="0" w:line="257" w:lineRule="auto"/>
        <w:rPr>
          <w:sz w:val="20"/>
          <w:szCs w:val="20"/>
          <w:color w:val="auto"/>
        </w:rPr>
      </w:pPr>
      <w:r>
        <w:rPr>
          <w:rFonts w:ascii="Arial" w:cs="Arial" w:eastAsia="Arial" w:hAnsi="Arial"/>
          <w:sz w:val="18"/>
          <w:szCs w:val="18"/>
          <w:color w:val="auto"/>
        </w:rPr>
        <w:t>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8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16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19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000" w:right="36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55" w:lineRule="exact"/>
        <w:rPr>
          <w:rFonts w:ascii="Arial" w:cs="Arial" w:eastAsia="Arial" w:hAnsi="Arial"/>
          <w:sz w:val="17"/>
          <w:szCs w:val="17"/>
          <w:color w:val="auto"/>
        </w:rPr>
      </w:pPr>
    </w:p>
    <w:p>
      <w:pPr>
        <w:ind w:left="1000" w:right="740" w:hanging="493"/>
        <w:spacing w:after="0" w:line="308"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intellectual property rights of others may harm our business;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left="1000" w:right="28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directed to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14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3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2"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As of March 31, 2021, we had 69 full-time employees, including 55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44"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expanding and enhancing our operational, financial and management controls, reporting systems and procedures.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75" w:name="page76"/>
    <w:bookmarkEnd w:id="75"/>
    <w:p>
      <w:pPr>
        <w:ind w:right="100" w:firstLine="510"/>
        <w:spacing w:after="0" w:line="259"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16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firstLine="510"/>
        <w:spacing w:after="0" w:line="217" w:lineRule="exact"/>
        <w:rPr>
          <w:sz w:val="20"/>
          <w:szCs w:val="20"/>
          <w:color w:val="auto"/>
        </w:rPr>
      </w:pPr>
      <w:r>
        <w:rPr>
          <w:rFonts w:ascii="Arial" w:cs="Arial" w:eastAsia="Arial" w:hAnsi="Arial"/>
          <w:sz w:val="16"/>
          <w:szCs w:val="16"/>
          <w:color w:val="auto"/>
        </w:rPr>
        <w:t>Our corporate headquarters and other facilities are located in the San Francisco Bay Area, which in the past has experienced both severe earthquakes and wildfires. We are also conducting our initial clinical trials for ALG</w:t>
      </w:r>
      <w:r>
        <w:rPr>
          <w:rFonts w:ascii="MS PGothic" w:cs="MS PGothic" w:eastAsia="MS PGothic" w:hAnsi="MS PGothic"/>
          <w:sz w:val="16"/>
          <w:szCs w:val="16"/>
          <w:color w:val="auto"/>
        </w:rPr>
        <w:t>‑</w:t>
      </w:r>
      <w:r>
        <w:rPr>
          <w:rFonts w:ascii="Arial" w:cs="Arial" w:eastAsia="Arial" w:hAnsi="Arial"/>
          <w:sz w:val="16"/>
          <w:szCs w:val="16"/>
          <w:color w:val="auto"/>
        </w:rPr>
        <w:t>010133 and ALG</w:t>
      </w:r>
      <w:r>
        <w:rPr>
          <w:rFonts w:ascii="MS PGothic" w:cs="MS PGothic" w:eastAsia="MS PGothic" w:hAnsi="MS PGothic"/>
          <w:sz w:val="16"/>
          <w:szCs w:val="16"/>
          <w:color w:val="auto"/>
        </w:rPr>
        <w:t>‑</w:t>
      </w:r>
      <w:r>
        <w:rPr>
          <w:rFonts w:ascii="Arial" w:cs="Arial" w:eastAsia="Arial" w:hAnsi="Arial"/>
          <w:sz w:val="16"/>
          <w:szCs w:val="16"/>
          <w:color w:val="auto"/>
        </w:rPr>
        <w:t>000184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6" w:name="page77"/>
    <w:bookmarkEnd w:id="76"/>
    <w:p>
      <w:pPr>
        <w:ind w:right="36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investors.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ongoing COVID-19 pandemic, for example, has negatively affected the stock market and investor sentiment and has resulted in significant volatility. The market price for our common stock may be influenced by many factors, including:</w:t>
      </w:r>
    </w:p>
    <w:p>
      <w:pPr>
        <w:spacing w:after="0" w:line="79" w:lineRule="exact"/>
        <w:rPr>
          <w:sz w:val="20"/>
          <w:szCs w:val="20"/>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our and competitive products or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of clinical trials and nonclinical studies or those of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expenses related to our drug candidates or clinical development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drug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ind w:right="20" w:firstLine="510"/>
        <w:spacing w:after="0" w:line="263"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84"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p>
    <w:p>
      <w:pPr>
        <w:spacing w:after="0" w:line="184"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29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8"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p>
    <w:p>
      <w:pPr>
        <w:spacing w:after="0" w:line="19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7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right="40" w:firstLine="51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2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6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As of March 31, 2021, our executive officers, directors and their affiliates beneficially own, in the aggregate, approximately 60.7%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53" w:lineRule="exact"/>
        <w:rPr>
          <w:sz w:val="20"/>
          <w:szCs w:val="20"/>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May 7, 2021,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Exchange Act of 1934, as amended (the Exchange Act), and may not be subject to the short-swing profit provisions of Section 16(b) of the Exchange Act.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of March 31, 2021, approximately 8,740,647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8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In addition, the holders of approximately 38.1 million of our total common stock and non-voting common stock (including 3,092,338 shares of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an IRC Section 382 analysis in 2020 and determined there was an ownership change that resulted in Section 382 limitations. The ownership change limited our ability to utilize net operating losses against future taxable income but will not result in the expiration of any NOLs. We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ind w:right="20"/>
        <w:spacing w:after="0" w:line="259" w:lineRule="auto"/>
        <w:rPr>
          <w:sz w:val="20"/>
          <w:szCs w:val="20"/>
          <w:color w:val="auto"/>
        </w:rPr>
      </w:pPr>
      <w:r>
        <w:rPr>
          <w:rFonts w:ascii="Arial" w:cs="Arial" w:eastAsia="Arial" w:hAnsi="Arial"/>
          <w:sz w:val="18"/>
          <w:szCs w:val="18"/>
          <w:color w:val="auto"/>
        </w:rPr>
        <w:t>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95"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19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38" w:lineRule="exact"/>
        <w:rPr>
          <w:sz w:val="20"/>
          <w:szCs w:val="20"/>
          <w:color w:val="auto"/>
        </w:rPr>
      </w:pPr>
    </w:p>
    <w:p>
      <w:pPr>
        <w:ind w:left="1000" w:right="240" w:hanging="493"/>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44" w:lineRule="exact"/>
        <w:rPr>
          <w:rFonts w:ascii="Arial" w:cs="Arial" w:eastAsia="Arial" w:hAnsi="Arial"/>
          <w:sz w:val="18"/>
          <w:szCs w:val="18"/>
          <w:color w:val="auto"/>
        </w:rPr>
      </w:pPr>
    </w:p>
    <w:p>
      <w:pPr>
        <w:ind w:left="1000" w:right="480" w:hanging="493"/>
        <w:spacing w:after="0" w:line="342"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1000" w:right="80" w:hanging="493"/>
        <w:spacing w:after="0" w:line="263"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0" w:name="page81"/>
    <w:bookmarkEnd w:id="80"/>
    <w:p>
      <w:pPr>
        <w:ind w:left="1000" w:right="180" w:hanging="493"/>
        <w:spacing w:after="0" w:line="26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75"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1000" w:right="140" w:hanging="493"/>
        <w:spacing w:after="0" w:line="279"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00" w:hanging="493"/>
        <w:spacing w:after="0"/>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67" w:lineRule="exact"/>
        <w:rPr>
          <w:rFonts w:ascii="Arial" w:cs="Arial" w:eastAsia="Arial" w:hAnsi="Arial"/>
          <w:sz w:val="16"/>
          <w:szCs w:val="16"/>
          <w:color w:val="auto"/>
        </w:rPr>
      </w:pPr>
    </w:p>
    <w:p>
      <w:pPr>
        <w:jc w:val="both"/>
        <w:ind w:left="1000" w:right="220" w:hanging="493"/>
        <w:spacing w:after="0" w:line="342"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00" w:right="380" w:hanging="493"/>
        <w:spacing w:after="0" w:line="308"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38" w:lineRule="exact"/>
        <w:rPr>
          <w:rFonts w:ascii="Arial" w:cs="Arial" w:eastAsia="Arial" w:hAnsi="Arial"/>
          <w:sz w:val="17"/>
          <w:szCs w:val="17"/>
          <w:color w:val="auto"/>
        </w:rPr>
      </w:pPr>
    </w:p>
    <w:p>
      <w:pPr>
        <w:ind w:left="1000" w:right="580" w:hanging="493"/>
        <w:spacing w:after="0" w:line="342"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15" w:lineRule="exact"/>
        <w:rPr>
          <w:rFonts w:ascii="Arial" w:cs="Arial" w:eastAsia="Arial" w:hAnsi="Arial"/>
          <w:sz w:val="16"/>
          <w:szCs w:val="16"/>
          <w:color w:val="auto"/>
        </w:rPr>
      </w:pPr>
    </w:p>
    <w:p>
      <w:pPr>
        <w:ind w:left="1000" w:right="180" w:hanging="49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1" w:name="page82"/>
    <w:bookmarkEnd w:id="81"/>
    <w:p>
      <w:pPr>
        <w:ind w:right="20"/>
        <w:spacing w:after="0" w:line="269" w:lineRule="auto"/>
        <w:rPr>
          <w:sz w:val="20"/>
          <w:szCs w:val="20"/>
          <w:color w:val="auto"/>
        </w:rPr>
      </w:pPr>
      <w:r>
        <w:rPr>
          <w:rFonts w:ascii="Arial" w:cs="Arial" w:eastAsia="Arial" w:hAnsi="Arial"/>
          <w:sz w:val="17"/>
          <w:szCs w:val="17"/>
          <w:color w:val="auto"/>
        </w:rPr>
        <w:t>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14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such as the 2008 global financial crisis, could result in a variety of risks to our business, including, weakened demand for any drug candidates we may develop and our ability to raise additional capital when needed on acceptable terms, if at all. A weak or declining economy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4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ind w:right="140" w:firstLine="510"/>
        <w:spacing w:after="0" w:line="259" w:lineRule="auto"/>
        <w:rPr>
          <w:sz w:val="20"/>
          <w:szCs w:val="20"/>
          <w:color w:val="auto"/>
        </w:rPr>
      </w:pPr>
      <w:r>
        <w:rPr>
          <w:rFonts w:ascii="Arial" w:cs="Arial" w:eastAsia="Arial" w:hAnsi="Arial"/>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6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29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166"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ind w:right="540"/>
        <w:spacing w:after="0" w:line="308" w:lineRule="auto"/>
        <w:rPr>
          <w:sz w:val="20"/>
          <w:szCs w:val="20"/>
          <w:color w:val="auto"/>
        </w:rPr>
      </w:pPr>
      <w:r>
        <w:rPr>
          <w:rFonts w:ascii="Arial" w:cs="Arial" w:eastAsia="Arial" w:hAnsi="Arial"/>
          <w:sz w:val="17"/>
          <w:szCs w:val="17"/>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38"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w:t>
      </w:r>
    </w:p>
    <w:p>
      <w:pPr>
        <w:spacing w:after="0" w:line="17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62"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2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As a public company, we are incurring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68"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 which could materially and adversely affect our results of operations.</w:t>
      </w:r>
    </w:p>
    <w:p>
      <w:pPr>
        <w:spacing w:after="0" w:line="14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30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6"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IPO</w:t>
      </w:r>
    </w:p>
    <w:p>
      <w:pPr>
        <w:spacing w:after="0" w:line="11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On October 15, 2020, our registration statement on Form S-1 (File No. 333-249077) relating to our IPO of Common Stock became effective. The IPO closed on October 20, 2020 at which time we issued 10,000,000 shares of common stock at a public offering price of $15.00 per share. We received net proceeds from the IPO of approximately $135.4 million, after deducting the underwriting discounts and commissions of $10.5 million and expenses of $4.1 million. None of the expenses associated with the IPO were paid to directors, officers, persons owning 10% or more of any class of equity securities, or to our affiliates. On November 5, 2020 the underwriters of the IPO partially exercised their overallotment option by purchasing an additional 1,150,000 shares from the Company at the IPO price, resulting in an additional $16.0 million in net proceeds after deducting the underwriting discounts and commissions. J.P. Morgan Securities LLC, Jefferies LLC, Piper Sandler &amp; Co. acted as joint book-running managers for the offering.</w:t>
      </w:r>
    </w:p>
    <w:p>
      <w:pPr>
        <w:spacing w:after="0" w:line="16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19,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purchasers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910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0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86" w:name="page87"/>
    <w:bookmarkEnd w:id="86"/>
    <w:p>
      <w:pPr>
        <w:ind w:left="20"/>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40"/>
          </w:cols>
          <w:pgMar w:left="320" w:top="337" w:right="33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600" w:type="dxa"/>
            <w:vAlign w:val="bottom"/>
            <w:tcBorders>
              <w:bottom w:val="single" w:sz="8" w:color="auto"/>
            </w:tcBorders>
          </w:tcPr>
          <w:p>
            <w:pPr>
              <w:spacing w:after="0"/>
              <w:rPr>
                <w:sz w:val="14"/>
                <w:szCs w:val="14"/>
                <w:color w:val="auto"/>
              </w:rPr>
            </w:pPr>
          </w:p>
        </w:tc>
      </w:tr>
      <w:tr>
        <w:trPr>
          <w:trHeight w:val="142"/>
        </w:trPr>
        <w:tc>
          <w:tcPr>
            <w:tcW w:w="106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gridSpan w:val="20"/>
          </w:tcPr>
          <w:p>
            <w:pPr>
              <w:ind w:left="120"/>
              <w:spacing w:after="0" w:line="142" w:lineRule="exact"/>
              <w:rPr>
                <w:sz w:val="20"/>
                <w:szCs w:val="20"/>
                <w:color w:val="auto"/>
              </w:rPr>
            </w:pPr>
            <w:r>
              <w:rPr>
                <w:rFonts w:ascii="Arial" w:cs="Arial" w:eastAsia="Arial" w:hAnsi="Arial"/>
                <w:sz w:val="14"/>
                <w:szCs w:val="14"/>
                <w:b w:val="1"/>
                <w:bCs w:val="1"/>
                <w:color w:val="auto"/>
              </w:rPr>
              <w:t>Exhibit Description</w:t>
            </w:r>
          </w:p>
        </w:tc>
        <w:tc>
          <w:tcPr>
            <w:tcW w:w="140" w:type="dxa"/>
            <w:vAlign w:val="bottom"/>
          </w:tcPr>
          <w:p>
            <w:pPr>
              <w:spacing w:after="0"/>
              <w:rPr>
                <w:sz w:val="12"/>
                <w:szCs w:val="12"/>
                <w:color w:val="auto"/>
              </w:rPr>
            </w:pPr>
          </w:p>
        </w:tc>
        <w:tc>
          <w:tcPr>
            <w:tcW w:w="5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97"/>
              </w:rPr>
              <w:t>Form</w:t>
            </w:r>
          </w:p>
        </w:tc>
        <w:tc>
          <w:tcPr>
            <w:tcW w:w="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bottom w:val="single" w:sz="8" w:color="auto"/>
            </w:tcBorders>
          </w:tcPr>
          <w:p>
            <w:pPr>
              <w:jc w:val="center"/>
              <w:ind w:left="48"/>
              <w:spacing w:after="0" w:line="142" w:lineRule="exact"/>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r>
      <w:tr>
        <w:trPr>
          <w:trHeight w:val="290"/>
        </w:trPr>
        <w:tc>
          <w:tcPr>
            <w:tcW w:w="106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740" w:type="dxa"/>
            <w:vAlign w:val="bottom"/>
            <w:tcBorders>
              <w:bottom w:val="single" w:sz="8" w:color="0000EE"/>
            </w:tcBorders>
            <w:gridSpan w:val="9"/>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Amended and Restated Certificate of Incorporation.</w:t>
              </w:r>
            </w:hyperlink>
          </w:p>
        </w:tc>
        <w:tc>
          <w:tcPr>
            <w:tcW w:w="2300" w:type="dxa"/>
            <w:vAlign w:val="bottom"/>
            <w:gridSpan w:val="14"/>
          </w:tcPr>
          <w:p>
            <w:pPr>
              <w:spacing w:after="0"/>
              <w:rPr>
                <w:sz w:val="24"/>
                <w:szCs w:val="24"/>
                <w:color w:val="auto"/>
              </w:rPr>
            </w:pPr>
          </w:p>
        </w:tc>
        <w:tc>
          <w:tcPr>
            <w:tcW w:w="580" w:type="dxa"/>
            <w:vAlign w:val="bottom"/>
          </w:tcPr>
          <w:p>
            <w:pPr>
              <w:jc w:val="center"/>
              <w:ind w:left="15"/>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155"/>
              <w:spacing w:after="0"/>
              <w:rPr>
                <w:sz w:val="20"/>
                <w:szCs w:val="20"/>
                <w:color w:val="auto"/>
              </w:rPr>
            </w:pPr>
            <w:r>
              <w:rPr>
                <w:rFonts w:ascii="Arial" w:cs="Arial" w:eastAsia="Arial" w:hAnsi="Arial"/>
                <w:sz w:val="18"/>
                <w:szCs w:val="18"/>
                <w:color w:val="auto"/>
                <w:w w:val="90"/>
              </w:rPr>
              <w:t>10/20/2020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3.1</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300" w:type="dxa"/>
            <w:vAlign w:val="bottom"/>
            <w:tcBorders>
              <w:bottom w:val="single" w:sz="8" w:color="0000EE"/>
            </w:tcBorders>
            <w:gridSpan w:val="2"/>
          </w:tcPr>
          <w:p>
            <w:pPr>
              <w:spacing w:after="0"/>
              <w:rPr>
                <w:rFonts w:ascii="Arial" w:cs="Arial" w:eastAsia="Arial" w:hAnsi="Arial"/>
                <w:sz w:val="18"/>
                <w:szCs w:val="18"/>
                <w:color w:val="0000EE"/>
                <w:w w:val="88"/>
              </w:rPr>
            </w:pPr>
            <w:hyperlink r:id="rId108">
              <w:r>
                <w:rPr>
                  <w:rFonts w:ascii="Arial" w:cs="Arial" w:eastAsia="Arial" w:hAnsi="Arial"/>
                  <w:sz w:val="18"/>
                  <w:szCs w:val="18"/>
                  <w:color w:val="0000EE"/>
                  <w:w w:val="88"/>
                </w:rPr>
                <w:t>Amended and Restated Bylaws.</w:t>
              </w:r>
            </w:hyperlink>
          </w:p>
        </w:tc>
        <w:tc>
          <w:tcPr>
            <w:tcW w:w="3740" w:type="dxa"/>
            <w:vAlign w:val="bottom"/>
            <w:gridSpan w:val="21"/>
          </w:tcPr>
          <w:p>
            <w:pPr>
              <w:spacing w:after="0"/>
              <w:rPr>
                <w:sz w:val="24"/>
                <w:szCs w:val="24"/>
                <w:color w:val="auto"/>
              </w:rPr>
            </w:pPr>
          </w:p>
        </w:tc>
        <w:tc>
          <w:tcPr>
            <w:tcW w:w="580" w:type="dxa"/>
            <w:vAlign w:val="bottom"/>
          </w:tcPr>
          <w:p>
            <w:pPr>
              <w:jc w:val="center"/>
              <w:ind w:left="15"/>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155"/>
              <w:spacing w:after="0"/>
              <w:rPr>
                <w:sz w:val="20"/>
                <w:szCs w:val="20"/>
                <w:color w:val="auto"/>
              </w:rPr>
            </w:pPr>
            <w:r>
              <w:rPr>
                <w:rFonts w:ascii="Arial" w:cs="Arial" w:eastAsia="Arial" w:hAnsi="Arial"/>
                <w:sz w:val="18"/>
                <w:szCs w:val="18"/>
                <w:color w:val="auto"/>
                <w:w w:val="90"/>
              </w:rPr>
              <w:t>10/20/2020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3.2</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6040" w:type="dxa"/>
            <w:vAlign w:val="bottom"/>
            <w:gridSpan w:val="23"/>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07">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08">
              <w:r>
                <w:rPr>
                  <w:rFonts w:ascii="Arial" w:cs="Arial" w:eastAsia="Arial" w:hAnsi="Arial"/>
                  <w:sz w:val="18"/>
                  <w:szCs w:val="18"/>
                  <w:color w:val="0000EE"/>
                </w:rPr>
                <w:t>3.2</w:t>
              </w:r>
            </w:hyperlink>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600" w:type="dxa"/>
            <w:vAlign w:val="bottom"/>
            <w:tcBorders>
              <w:bottom w:val="single" w:sz="8" w:color="0000EE"/>
            </w:tcBorders>
            <w:gridSpan w:val="4"/>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Form of Common Stock Certificate.</w:t>
              </w:r>
            </w:hyperlink>
          </w:p>
        </w:tc>
        <w:tc>
          <w:tcPr>
            <w:tcW w:w="3440" w:type="dxa"/>
            <w:vAlign w:val="bottom"/>
            <w:gridSpan w:val="19"/>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80" w:type="dxa"/>
            <w:vAlign w:val="bottom"/>
            <w:gridSpan w:val="3"/>
          </w:tcPr>
          <w:p>
            <w:pPr>
              <w:jc w:val="center"/>
              <w:ind w:left="135"/>
              <w:spacing w:after="0"/>
              <w:rPr>
                <w:sz w:val="20"/>
                <w:szCs w:val="20"/>
                <w:color w:val="auto"/>
              </w:rPr>
            </w:pPr>
            <w:r>
              <w:rPr>
                <w:rFonts w:ascii="Arial" w:cs="Arial" w:eastAsia="Arial" w:hAnsi="Arial"/>
                <w:sz w:val="18"/>
                <w:szCs w:val="18"/>
                <w:color w:val="auto"/>
                <w:w w:val="89"/>
              </w:rPr>
              <w:t>10/9/2020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4.2</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55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Amended and Restated Employment Agreement, effective as of February 10,</w:t>
              </w:r>
            </w:hyperlink>
          </w:p>
        </w:tc>
        <w:tc>
          <w:tcPr>
            <w:tcW w:w="48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2021, by and between the Company and Leonid Beigelman.</w:t>
              </w:r>
            </w:hyperlink>
          </w:p>
        </w:tc>
        <w:tc>
          <w:tcPr>
            <w:tcW w:w="172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55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Amended and Restated Employment Agreement, effective as of February 10,</w:t>
              </w:r>
            </w:hyperlink>
          </w:p>
        </w:tc>
        <w:tc>
          <w:tcPr>
            <w:tcW w:w="48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2021, by and between the Company and Lawrence M. Blatt.</w:t>
              </w:r>
            </w:hyperlink>
          </w:p>
        </w:tc>
        <w:tc>
          <w:tcPr>
            <w:tcW w:w="170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6040" w:type="dxa"/>
            <w:vAlign w:val="bottom"/>
            <w:gridSpan w:val="23"/>
          </w:tcPr>
          <w:p>
            <w:pPr>
              <w:spacing w:after="0"/>
              <w:rPr>
                <w:rFonts w:ascii="Arial" w:cs="Arial" w:eastAsia="Arial" w:hAnsi="Arial"/>
                <w:sz w:val="18"/>
                <w:szCs w:val="18"/>
                <w:color w:val="0000EE"/>
                <w:w w:val="97"/>
              </w:rPr>
            </w:pPr>
            <w:hyperlink w:anchor="page115">
              <w:r>
                <w:rPr>
                  <w:rFonts w:ascii="Arial" w:cs="Arial" w:eastAsia="Arial" w:hAnsi="Arial"/>
                  <w:sz w:val="18"/>
                  <w:szCs w:val="18"/>
                  <w:color w:val="0000EE"/>
                  <w:w w:val="97"/>
                </w:rPr>
                <w:t>Employment Agreement by and between Aligos Therapeutics, Inc. and Julian</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15">
              <w:r>
                <w:rPr>
                  <w:rFonts w:ascii="Arial" w:cs="Arial" w:eastAsia="Arial" w:hAnsi="Arial"/>
                  <w:sz w:val="18"/>
                  <w:szCs w:val="18"/>
                  <w:color w:val="0000EE"/>
                  <w:w w:val="91"/>
                </w:rPr>
                <w:t>Symons, D.Phil., effective as of May 14, 2019</w:t>
              </w:r>
            </w:hyperlink>
          </w:p>
        </w:tc>
        <w:tc>
          <w:tcPr>
            <w:tcW w:w="2240" w:type="dxa"/>
            <w:vAlign w:val="bottom"/>
            <w:tcBorders>
              <w:top w:val="single" w:sz="8" w:color="0000EE"/>
            </w:tcBorders>
            <w:gridSpan w:val="10"/>
          </w:tcPr>
          <w:p>
            <w:pPr>
              <w:spacing w:after="0"/>
              <w:rPr>
                <w:sz w:val="17"/>
                <w:szCs w:val="17"/>
                <w:color w:val="auto"/>
              </w:rPr>
            </w:pPr>
          </w:p>
        </w:tc>
        <w:tc>
          <w:tcPr>
            <w:tcW w:w="46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90"/>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39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Form of Change in Control and Severance Agreement.</w:t>
              </w:r>
            </w:hyperlink>
          </w:p>
        </w:tc>
        <w:tc>
          <w:tcPr>
            <w:tcW w:w="2100" w:type="dxa"/>
            <w:vAlign w:val="bottom"/>
            <w:gridSpan w:val="13"/>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586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31">
              <w:r>
                <w:rPr>
                  <w:rFonts w:ascii="Arial" w:cs="Arial" w:eastAsia="Arial" w:hAnsi="Arial"/>
                  <w:sz w:val="18"/>
                  <w:szCs w:val="18"/>
                  <w:color w:val="0000EE"/>
                  <w:w w:val="91"/>
                </w:rPr>
                <w:t>Certification of Principal Executive Officer Pursuant to Rules 13a-14(a) and 15d-</w:t>
              </w:r>
            </w:hyperlink>
          </w:p>
        </w:tc>
        <w:tc>
          <w:tcPr>
            <w:tcW w:w="18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14(a) under the Securities Exchange Act of 1934, as Adopted Pursuant to</w:t>
              </w:r>
            </w:hyperlink>
          </w:p>
        </w:tc>
        <w:tc>
          <w:tcPr>
            <w:tcW w:w="76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Section 302 of the Sarbanes-Oxley Act of 2002.</w:t>
              </w:r>
            </w:hyperlink>
          </w:p>
        </w:tc>
        <w:tc>
          <w:tcPr>
            <w:tcW w:w="2580" w:type="dxa"/>
            <w:vAlign w:val="bottom"/>
            <w:gridSpan w:val="15"/>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6040" w:type="dxa"/>
            <w:vAlign w:val="bottom"/>
            <w:gridSpan w:val="23"/>
          </w:tcPr>
          <w:p>
            <w:pPr>
              <w:spacing w:after="0"/>
              <w:rPr>
                <w:rFonts w:ascii="Arial" w:cs="Arial" w:eastAsia="Arial" w:hAnsi="Arial"/>
                <w:sz w:val="18"/>
                <w:szCs w:val="18"/>
                <w:color w:val="0000EE"/>
                <w:w w:val="95"/>
              </w:rPr>
            </w:pPr>
            <w:hyperlink w:anchor="page132">
              <w:r>
                <w:rPr>
                  <w:rFonts w:ascii="Arial" w:cs="Arial" w:eastAsia="Arial" w:hAnsi="Arial"/>
                  <w:sz w:val="18"/>
                  <w:szCs w:val="18"/>
                  <w:color w:val="0000EE"/>
                  <w:w w:val="95"/>
                </w:rPr>
                <w:t>Certification of Principal Financial Officer Pursuant to Rules 13a-14(a) and 15d-</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32">
              <w:r>
                <w:rPr>
                  <w:rFonts w:ascii="Arial" w:cs="Arial" w:eastAsia="Arial" w:hAnsi="Arial"/>
                  <w:sz w:val="18"/>
                  <w:szCs w:val="18"/>
                  <w:color w:val="0000EE"/>
                  <w:w w:val="89"/>
                </w:rPr>
                <w:t>14(a) under the Securities Exchange Act of 1934, as Adopted Pursuant to</w:t>
              </w:r>
            </w:hyperlink>
          </w:p>
        </w:tc>
        <w:tc>
          <w:tcPr>
            <w:tcW w:w="520" w:type="dxa"/>
            <w:vAlign w:val="bottom"/>
            <w:tcBorders>
              <w:top w:val="single" w:sz="8" w:color="0000EE"/>
            </w:tcBorders>
            <w:gridSpan w:val="5"/>
          </w:tcPr>
          <w:p>
            <w:pPr>
              <w:spacing w:after="0"/>
              <w:rPr>
                <w:sz w:val="17"/>
                <w:szCs w:val="17"/>
                <w:color w:val="auto"/>
              </w:rPr>
            </w:pPr>
          </w:p>
        </w:tc>
        <w:tc>
          <w:tcPr>
            <w:tcW w:w="2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Section 302 of the Sarbanes-Oxley Act of 2002.</w:t>
              </w:r>
            </w:hyperlink>
          </w:p>
        </w:tc>
        <w:tc>
          <w:tcPr>
            <w:tcW w:w="2580" w:type="dxa"/>
            <w:vAlign w:val="bottom"/>
            <w:gridSpan w:val="15"/>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91"/>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6040" w:type="dxa"/>
            <w:vAlign w:val="bottom"/>
            <w:gridSpan w:val="23"/>
          </w:tcPr>
          <w:p>
            <w:pPr>
              <w:spacing w:after="0"/>
              <w:rPr>
                <w:rFonts w:ascii="Arial" w:cs="Arial" w:eastAsia="Arial" w:hAnsi="Arial"/>
                <w:sz w:val="18"/>
                <w:szCs w:val="18"/>
                <w:color w:val="0000EE"/>
                <w:w w:val="96"/>
              </w:rPr>
            </w:pPr>
            <w:hyperlink w:anchor="page133">
              <w:r>
                <w:rPr>
                  <w:rFonts w:ascii="Arial" w:cs="Arial" w:eastAsia="Arial" w:hAnsi="Arial"/>
                  <w:sz w:val="18"/>
                  <w:szCs w:val="18"/>
                  <w:color w:val="0000EE"/>
                  <w:w w:val="96"/>
                </w:rPr>
                <w:t>Certification of Principal Executive Officer Pursuant to 18 U.S.C. Section 1350,</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as Adopted Pursuant to Section 906 of the Sarbanes-Oxley Act of 2002.</w:t>
              </w:r>
            </w:hyperlink>
          </w:p>
        </w:tc>
        <w:tc>
          <w:tcPr>
            <w:tcW w:w="560" w:type="dxa"/>
            <w:vAlign w:val="bottom"/>
            <w:tcBorders>
              <w:top w:val="single" w:sz="8" w:color="0000EE"/>
            </w:tcBorders>
            <w:gridSpan w:val="5"/>
          </w:tcPr>
          <w:p>
            <w:pPr>
              <w:spacing w:after="0"/>
              <w:rPr>
                <w:sz w:val="17"/>
                <w:szCs w:val="17"/>
                <w:color w:val="auto"/>
              </w:rPr>
            </w:pPr>
          </w:p>
        </w:tc>
        <w:tc>
          <w:tcPr>
            <w:tcW w:w="28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90"/>
        </w:trPr>
        <w:tc>
          <w:tcPr>
            <w:tcW w:w="1060" w:type="dxa"/>
            <w:vAlign w:val="bottom"/>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572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134">
              <w:r>
                <w:rPr>
                  <w:rFonts w:ascii="Arial" w:cs="Arial" w:eastAsia="Arial" w:hAnsi="Arial"/>
                  <w:sz w:val="18"/>
                  <w:szCs w:val="18"/>
                  <w:color w:val="0000EE"/>
                  <w:w w:val="92"/>
                </w:rPr>
                <w:t>Certification of Principal Financial Officer Pursuant to 18 U.S.C. Section 1350,</w:t>
              </w:r>
            </w:hyperlink>
          </w:p>
        </w:tc>
        <w:tc>
          <w:tcPr>
            <w:tcW w:w="32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as Adopted Pursuant to Section 906 of the Sarbanes-Oxley Act of 2002.</w:t>
              </w:r>
            </w:hyperlink>
          </w:p>
        </w:tc>
        <w:tc>
          <w:tcPr>
            <w:tcW w:w="86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31"/>
        </w:trPr>
        <w:tc>
          <w:tcPr>
            <w:tcW w:w="12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4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1"/>
        </w:trPr>
        <w:tc>
          <w:tcPr>
            <w:tcW w:w="12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4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0"/>
        </w:trPr>
        <w:tc>
          <w:tcPr>
            <w:tcW w:w="12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4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0"/>
        </w:trPr>
        <w:tc>
          <w:tcPr>
            <w:tcW w:w="12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4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0"/>
        </w:trPr>
        <w:tc>
          <w:tcPr>
            <w:tcW w:w="12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4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0"/>
        </w:trPr>
        <w:tc>
          <w:tcPr>
            <w:tcW w:w="12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4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160" w:firstLine="8"/>
        <w:spacing w:after="0" w:line="342" w:lineRule="auto"/>
        <w:rPr>
          <w:sz w:val="20"/>
          <w:szCs w:val="20"/>
          <w:color w:val="auto"/>
        </w:rPr>
      </w:pPr>
      <w:r>
        <w:rPr>
          <w:rFonts w:ascii="Arial" w:cs="Arial" w:eastAsia="Arial" w:hAnsi="Arial"/>
          <w:sz w:val="12"/>
          <w:szCs w:val="12"/>
          <w:b w:val="1"/>
          <w:bCs w:val="1"/>
          <w:color w:val="auto"/>
        </w:rPr>
        <w:t>Provided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-46355</wp:posOffset>
            </wp:positionV>
            <wp:extent cx="6515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211" w:lineRule="exact"/>
        <w:rPr>
          <w:sz w:val="20"/>
          <w:szCs w:val="20"/>
          <w:color w:val="auto"/>
        </w:rPr>
      </w:pPr>
    </w:p>
    <w:p>
      <w:pPr>
        <w:sectPr>
          <w:pgSz w:w="11900" w:h="16838" w:orient="portrait"/>
          <w:cols w:equalWidth="0" w:num="2">
            <w:col w:w="10100" w:space="420"/>
            <w:col w:w="720"/>
          </w:cols>
          <w:pgMar w:left="320" w:top="337" w:right="339" w:bottom="1440" w:gutter="0" w:footer="0" w:header="0"/>
          <w:type w:val="continuous"/>
        </w:sect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500" w:hanging="492"/>
        <w:spacing w:after="0" w:line="279"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120"/>
              <w:spacing w:after="0"/>
              <w:rPr>
                <w:sz w:val="20"/>
                <w:szCs w:val="20"/>
                <w:color w:val="auto"/>
              </w:rPr>
            </w:pPr>
            <w:r>
              <w:rPr>
                <w:rFonts w:ascii="Arial" w:cs="Arial" w:eastAsia="Arial" w:hAnsi="Arial"/>
                <w:sz w:val="18"/>
                <w:szCs w:val="18"/>
                <w:color w:val="auto"/>
              </w:rPr>
              <w:t>ALIGOS THERAPEUTICS,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10, 2021</w:t>
            </w:r>
          </w:p>
        </w:tc>
        <w:tc>
          <w:tcPr>
            <w:tcW w:w="2500" w:type="dxa"/>
            <w:vAlign w:val="bottom"/>
          </w:tcPr>
          <w:p>
            <w:pPr>
              <w:ind w:left="21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Lawrence Blatt</w:t>
            </w:r>
          </w:p>
        </w:tc>
      </w:tr>
      <w:tr>
        <w:trPr>
          <w:trHeight w:val="191"/>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Pr>
          <w:p>
            <w:pPr>
              <w:jc w:val="center"/>
              <w:ind w:left="50"/>
              <w:spacing w:after="0" w:line="191" w:lineRule="exact"/>
              <w:rPr>
                <w:sz w:val="20"/>
                <w:szCs w:val="20"/>
                <w:color w:val="auto"/>
              </w:rPr>
            </w:pPr>
            <w:r>
              <w:rPr>
                <w:rFonts w:ascii="Arial" w:cs="Arial" w:eastAsia="Arial" w:hAnsi="Arial"/>
                <w:sz w:val="18"/>
                <w:szCs w:val="18"/>
                <w:b w:val="1"/>
                <w:bCs w:val="1"/>
                <w:color w:val="auto"/>
                <w:w w:val="92"/>
              </w:rPr>
              <w:t>Lawrence Blatt</w:t>
            </w:r>
          </w:p>
        </w:tc>
      </w:tr>
      <w:tr>
        <w:trPr>
          <w:trHeight w:val="234"/>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Chief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10, 2021</w:t>
            </w:r>
          </w:p>
        </w:tc>
        <w:tc>
          <w:tcPr>
            <w:tcW w:w="2500" w:type="dxa"/>
            <w:vAlign w:val="bottom"/>
          </w:tcPr>
          <w:p>
            <w:pPr>
              <w:ind w:left="21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Lesley Ann Calhoun</w:t>
            </w:r>
          </w:p>
        </w:tc>
      </w:tr>
      <w:tr>
        <w:trPr>
          <w:trHeight w:val="191"/>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Pr>
          <w:p>
            <w:pPr>
              <w:jc w:val="center"/>
              <w:ind w:left="50"/>
              <w:spacing w:after="0" w:line="191" w:lineRule="exact"/>
              <w:rPr>
                <w:sz w:val="20"/>
                <w:szCs w:val="20"/>
                <w:color w:val="auto"/>
              </w:rPr>
            </w:pPr>
            <w:r>
              <w:rPr>
                <w:rFonts w:ascii="Arial" w:cs="Arial" w:eastAsia="Arial" w:hAnsi="Arial"/>
                <w:sz w:val="18"/>
                <w:szCs w:val="18"/>
                <w:b w:val="1"/>
                <w:bCs w:val="1"/>
                <w:color w:val="auto"/>
                <w:w w:val="91"/>
              </w:rPr>
              <w:t>Lesley Ann Calhoun</w:t>
            </w:r>
          </w:p>
        </w:tc>
      </w:tr>
      <w:tr>
        <w:trPr>
          <w:trHeight w:val="234"/>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648"/>
        </w:trPr>
        <w:tc>
          <w:tcPr>
            <w:tcW w:w="3500" w:type="dxa"/>
            <w:vAlign w:val="bottom"/>
          </w:tcPr>
          <w:p>
            <w:pPr>
              <w:spacing w:after="0"/>
              <w:rPr>
                <w:sz w:val="24"/>
                <w:szCs w:val="24"/>
                <w:color w:val="auto"/>
              </w:rPr>
            </w:pPr>
          </w:p>
        </w:tc>
        <w:tc>
          <w:tcPr>
            <w:tcW w:w="2500" w:type="dxa"/>
            <w:vAlign w:val="bottom"/>
          </w:tcPr>
          <w:p>
            <w:pPr>
              <w:jc w:val="right"/>
              <w:ind w:right="190"/>
              <w:spacing w:after="0"/>
              <w:rPr>
                <w:sz w:val="20"/>
                <w:szCs w:val="20"/>
                <w:color w:val="auto"/>
              </w:rPr>
            </w:pPr>
            <w:r>
              <w:rPr>
                <w:rFonts w:ascii="Arial" w:cs="Arial" w:eastAsia="Arial" w:hAnsi="Arial"/>
                <w:sz w:val="18"/>
                <w:szCs w:val="18"/>
                <w:color w:val="auto"/>
              </w:rPr>
              <w:t>83</w:t>
            </w:r>
          </w:p>
        </w:tc>
        <w:tc>
          <w:tcPr>
            <w:tcW w:w="52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19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This Amended and Restated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effective as of February 10, 2021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Aligos Therapeutics,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Leonid Beigelman, Ph.D.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83" w:lineRule="exact"/>
        <w:rPr>
          <w:sz w:val="20"/>
          <w:szCs w:val="20"/>
          <w:color w:val="auto"/>
        </w:rPr>
      </w:pPr>
    </w:p>
    <w:p>
      <w:pPr>
        <w:ind w:firstLine="872"/>
        <w:spacing w:after="0" w:line="250" w:lineRule="auto"/>
        <w:tabs>
          <w:tab w:leader="none" w:pos="1721"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Company and the Executive are currently parties to that certain Employment Agreement entered into on and effective as of August 16, 2018 (the “</w:t>
      </w:r>
      <w:r>
        <w:rPr>
          <w:rFonts w:ascii="Arial" w:cs="Arial" w:eastAsia="Arial" w:hAnsi="Arial"/>
          <w:sz w:val="22"/>
          <w:szCs w:val="22"/>
          <w:b w:val="1"/>
          <w:bCs w:val="1"/>
          <w:color w:val="auto"/>
        </w:rPr>
        <w:t>Prior Agreement</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firstLine="872"/>
        <w:spacing w:after="0" w:line="250" w:lineRule="auto"/>
        <w:tabs>
          <w:tab w:leader="none" w:pos="171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Company desires to continue to assure itself of the continued services Executive as its President, and Executive desires to accept such continued employment; and</w:t>
      </w:r>
    </w:p>
    <w:p>
      <w:pPr>
        <w:spacing w:after="0" w:line="188" w:lineRule="exact"/>
        <w:rPr>
          <w:rFonts w:ascii="Arial" w:cs="Arial" w:eastAsia="Arial" w:hAnsi="Arial"/>
          <w:sz w:val="22"/>
          <w:szCs w:val="22"/>
          <w:color w:val="auto"/>
        </w:rPr>
      </w:pPr>
    </w:p>
    <w:p>
      <w:pPr>
        <w:ind w:firstLine="872"/>
        <w:spacing w:after="0" w:line="250" w:lineRule="auto"/>
        <w:tabs>
          <w:tab w:leader="none" w:pos="171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Company and Executive have reached agreement concerning the terms and conditions of his continued employment and wish to execute this Agreement to supersede the Prior Agreement in its entirety.</w:t>
      </w:r>
    </w:p>
    <w:p>
      <w:pPr>
        <w:spacing w:after="0" w:line="17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In consideration of the mutual terms, covenants and conditions stated in this Agreement, the Company and Executive hereby agree as follows:</w:t>
      </w:r>
    </w:p>
    <w:p>
      <w:pPr>
        <w:spacing w:after="0" w:line="169" w:lineRule="exact"/>
        <w:rPr>
          <w:sz w:val="20"/>
          <w:szCs w:val="20"/>
          <w:color w:val="auto"/>
        </w:rPr>
      </w:pPr>
    </w:p>
    <w:p>
      <w:pPr>
        <w:ind w:firstLine="872"/>
        <w:spacing w:after="0" w:line="256" w:lineRule="auto"/>
        <w:tabs>
          <w:tab w:leader="none" w:pos="1674"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 Effective as of the Effective Date, the Company hereby employs Executive and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accepts employment by the Company on the terms and conditions set forth herein.</w:t>
      </w:r>
    </w:p>
    <w:p>
      <w:pPr>
        <w:spacing w:after="0" w:line="162" w:lineRule="exact"/>
        <w:rPr>
          <w:rFonts w:ascii="Arial" w:cs="Arial" w:eastAsia="Arial" w:hAnsi="Arial"/>
          <w:sz w:val="22"/>
          <w:szCs w:val="22"/>
          <w:color w:val="auto"/>
        </w:rPr>
      </w:pPr>
    </w:p>
    <w:p>
      <w:pPr>
        <w:ind w:left="1680" w:hanging="808"/>
        <w:spacing w:after="0"/>
        <w:tabs>
          <w:tab w:leader="none" w:pos="1680"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Duties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735"/>
        <w:spacing w:after="0" w:line="274" w:lineRule="auto"/>
        <w:tabs>
          <w:tab w:leader="none" w:pos="2615"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Company hereby agrees to employ Executive as its President, reporting to the Company’s Chief Executive Officer. Executive agrees that he will perform all lawful duties assigned to him by the Company, and will serve with no additional compensation in any other office or position of the Company and its Affiliates (as defined below) as reasonably determined by the Company’s Chief Executive Officer or the Company’s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Executive agrees that he will devote his full attention, time, and effort to the business and affairs of the Company and its Affiliates and that he makes a full commitment to the business and affairs of the Company and its Affiliates except as described in subsection 2(c) below. Executive further agrees that he will use his reasonable best efforts to promote the interests of the Company and its Affiliates. Executive shall continue to serve as a member of the Board as of the Effective Date. The Company shall nominate Executive as a director for stockholder approval at each annual meeting during the term of Executive’s employment with the Company in which his term as a director is due to expire.</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firstLine="1735"/>
        <w:spacing w:after="0" w:line="234" w:lineRule="auto"/>
        <w:tabs>
          <w:tab w:leader="none" w:pos="2627" w:val="left"/>
        </w:tabs>
        <w:numPr>
          <w:ilvl w:val="1"/>
          <w:numId w:val="60"/>
        </w:numPr>
        <w:rPr>
          <w:rFonts w:ascii="Arial" w:cs="Arial" w:eastAsia="Arial" w:hAnsi="Arial"/>
          <w:sz w:val="22"/>
          <w:szCs w:val="22"/>
          <w:color w:val="auto"/>
        </w:rPr>
      </w:pPr>
      <w:r>
        <w:rPr>
          <w:rFonts w:ascii="Arial" w:cs="Arial" w:eastAsia="Arial" w:hAnsi="Arial"/>
          <w:sz w:val="22"/>
          <w:szCs w:val="22"/>
          <w:color w:val="auto"/>
        </w:rPr>
        <w:t>Executive will perform his duties diligently and competently and shall act in conformity with all Company policies, and within the limits, budgets and business plans set by the Company. Executive will at all times comply with all applicable laws pertaining to the performance of this Agreement, and strictly adhere to and obey all of the rules, regulations, policies, codes of conduct, procedures and instructions in effect from time to time relating to the conduct of executives of the Company. Except as provided in subsection 2(c) below or with the Board’s prior written consent, Executive shall not engage in consulting work or any trade or business for his own account or for or on behalf of any other person, firm or company during his employment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jc w:val="both"/>
        <w:ind w:firstLine="1735"/>
        <w:spacing w:after="0" w:line="246" w:lineRule="auto"/>
        <w:tabs>
          <w:tab w:leader="none" w:pos="2615" w:val="left"/>
        </w:tabs>
        <w:numPr>
          <w:ilvl w:val="1"/>
          <w:numId w:val="61"/>
        </w:numPr>
        <w:rPr>
          <w:rFonts w:ascii="Arial" w:cs="Arial" w:eastAsia="Arial" w:hAnsi="Arial"/>
          <w:sz w:val="21"/>
          <w:szCs w:val="21"/>
          <w:color w:val="auto"/>
        </w:rPr>
      </w:pPr>
      <w:r>
        <w:rPr>
          <w:rFonts w:ascii="Arial" w:cs="Arial" w:eastAsia="Arial" w:hAnsi="Arial"/>
          <w:sz w:val="21"/>
          <w:szCs w:val="21"/>
          <w:color w:val="auto"/>
        </w:rPr>
        <w:t>Executive may devote reasonable time to unpaid activities such as supervision of personal investments and activities involving professional, charitable, educational, religious, civic and similar types of activities, speaking engagements and membership on committees, provided such activities do not individually or in the aggregate interfere with the performance of his duties under this Agreement, violate the Company’s standards of conduct then in effect, or raise a conflict under the Company’s conflict of interest policies. Executive cannot serve on the board of directors of a private or publicly traded company (other than the Company’s Board) without the Board’s prior written consent. Executive shall not work for persons or companies other than the Company for compensation for his own account or for or on behalf of any other person, firm or company without the Board’s prior written consent.</w:t>
      </w:r>
    </w:p>
    <w:p>
      <w:pPr>
        <w:spacing w:after="0" w:line="173" w:lineRule="exact"/>
        <w:rPr>
          <w:rFonts w:ascii="Arial" w:cs="Arial" w:eastAsia="Arial" w:hAnsi="Arial"/>
          <w:sz w:val="21"/>
          <w:szCs w:val="21"/>
          <w:color w:val="auto"/>
        </w:rPr>
      </w:pPr>
    </w:p>
    <w:p>
      <w:pPr>
        <w:jc w:val="both"/>
        <w:ind w:firstLine="1735"/>
        <w:spacing w:after="0" w:line="239" w:lineRule="auto"/>
        <w:tabs>
          <w:tab w:leader="none" w:pos="2627" w:val="left"/>
        </w:tabs>
        <w:numPr>
          <w:ilvl w:val="1"/>
          <w:numId w:val="61"/>
        </w:numPr>
        <w:rPr>
          <w:rFonts w:ascii="Arial" w:cs="Arial" w:eastAsia="Arial" w:hAnsi="Arial"/>
          <w:sz w:val="22"/>
          <w:szCs w:val="22"/>
          <w:color w:val="auto"/>
        </w:rPr>
      </w:pPr>
      <w:r>
        <w:rPr>
          <w:rFonts w:ascii="Arial" w:cs="Arial" w:eastAsia="Arial" w:hAnsi="Arial"/>
          <w:sz w:val="22"/>
          <w:szCs w:val="22"/>
          <w:color w:val="auto"/>
        </w:rPr>
        <w:t>For purposes of this Agreement, the term “</w:t>
      </w:r>
      <w:r>
        <w:rPr>
          <w:rFonts w:ascii="Arial" w:cs="Arial" w:eastAsia="Arial" w:hAnsi="Arial"/>
          <w:sz w:val="22"/>
          <w:szCs w:val="22"/>
          <w:b w:val="1"/>
          <w:bCs w:val="1"/>
          <w:color w:val="auto"/>
        </w:rPr>
        <w:t>Affiliates</w:t>
      </w:r>
      <w:r>
        <w:rPr>
          <w:rFonts w:ascii="Arial" w:cs="Arial" w:eastAsia="Arial" w:hAnsi="Arial"/>
          <w:sz w:val="22"/>
          <w:szCs w:val="22"/>
          <w:color w:val="auto"/>
        </w:rPr>
        <w:t>” includes any corporation, company or other entity whose outstanding shares or securities are, now or hereafter, owned or controlled, directly or indirectly, by the Company and any partnership, joint venture, unincorporated association or limited liability company in which the Company has a direct or indirect ownership interest.</w:t>
      </w:r>
    </w:p>
    <w:p>
      <w:pPr>
        <w:spacing w:after="0" w:line="180" w:lineRule="exact"/>
        <w:rPr>
          <w:rFonts w:ascii="Arial" w:cs="Arial" w:eastAsia="Arial" w:hAnsi="Arial"/>
          <w:sz w:val="22"/>
          <w:szCs w:val="22"/>
          <w:color w:val="auto"/>
        </w:rPr>
      </w:pPr>
    </w:p>
    <w:p>
      <w:pPr>
        <w:jc w:val="both"/>
        <w:ind w:firstLine="872"/>
        <w:spacing w:after="0" w:line="289" w:lineRule="auto"/>
        <w:tabs>
          <w:tab w:leader="none" w:pos="1674"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For all services rendered by Executive and all covenants and conditions undertaken by him</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this Agreement, the Company shall pay Executive in accordance with its normal payroll practices (but not less frequently than semi-monthly) an annual base salary of $464,094 (as adjusted from time to time, the “</w:t>
      </w:r>
      <w:r>
        <w:rPr>
          <w:rFonts w:ascii="Arial" w:cs="Arial" w:eastAsia="Arial" w:hAnsi="Arial"/>
          <w:sz w:val="19"/>
          <w:szCs w:val="19"/>
          <w:b w:val="1"/>
          <w:bCs w:val="1"/>
          <w:color w:val="auto"/>
        </w:rPr>
        <w:t>Base Salary</w:t>
      </w:r>
      <w:r>
        <w:rPr>
          <w:rFonts w:ascii="Arial" w:cs="Arial" w:eastAsia="Arial" w:hAnsi="Arial"/>
          <w:sz w:val="19"/>
          <w:szCs w:val="19"/>
          <w:color w:val="auto"/>
        </w:rPr>
        <w:t>”). Such Base Salary shall be reviewed annually by the Board taking into consideration all appropriate performance metrics.</w:t>
      </w:r>
    </w:p>
    <w:p>
      <w:pPr>
        <w:spacing w:after="0" w:line="135" w:lineRule="exact"/>
        <w:rPr>
          <w:rFonts w:ascii="Arial" w:cs="Arial" w:eastAsia="Arial" w:hAnsi="Arial"/>
          <w:sz w:val="19"/>
          <w:szCs w:val="19"/>
          <w:color w:val="auto"/>
        </w:rPr>
      </w:pPr>
    </w:p>
    <w:p>
      <w:pPr>
        <w:ind w:left="1680" w:hanging="808"/>
        <w:spacing w:after="0"/>
        <w:tabs>
          <w:tab w:leader="none" w:pos="1680"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Bonuses and Equity Awards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735"/>
        <w:spacing w:after="0" w:line="235" w:lineRule="auto"/>
        <w:tabs>
          <w:tab w:leader="none" w:pos="2615"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In addition to the Base Salary, Executive shall be eligible for a potential annual incentive bonus of up to forty-five percent (45%) of the Base Salary upon the achievement, as determined by the Board and/or the Compensation Committee of the Board, during the calendar year of one hundred percent (100%) of the performance metrics that include personal and corporate goals that will be established by the Company in its sole discretion (the “</w:t>
      </w:r>
      <w:r>
        <w:rPr>
          <w:rFonts w:ascii="Arial" w:cs="Arial" w:eastAsia="Arial" w:hAnsi="Arial"/>
          <w:sz w:val="22"/>
          <w:szCs w:val="22"/>
          <w:u w:val="single" w:color="auto"/>
          <w:color w:val="auto"/>
        </w:rPr>
        <w:t>Annual Bonus</w:t>
      </w:r>
      <w:r>
        <w:rPr>
          <w:rFonts w:ascii="Arial" w:cs="Arial" w:eastAsia="Arial" w:hAnsi="Arial"/>
          <w:sz w:val="22"/>
          <w:szCs w:val="22"/>
          <w:color w:val="auto"/>
        </w:rPr>
        <w:t>”). Any Annual Bonus Executive may earn in accordance with the preceding sentence will be paid by March 15 of the year following the year in which the bonus was earned.</w:t>
      </w:r>
    </w:p>
    <w:p>
      <w:pPr>
        <w:spacing w:after="0" w:line="187" w:lineRule="exact"/>
        <w:rPr>
          <w:rFonts w:ascii="Arial" w:cs="Arial" w:eastAsia="Arial" w:hAnsi="Arial"/>
          <w:sz w:val="22"/>
          <w:szCs w:val="22"/>
          <w:color w:val="auto"/>
        </w:rPr>
      </w:pPr>
    </w:p>
    <w:p>
      <w:pPr>
        <w:jc w:val="both"/>
        <w:ind w:firstLine="1735"/>
        <w:spacing w:after="0" w:line="236" w:lineRule="auto"/>
        <w:tabs>
          <w:tab w:leader="none" w:pos="2627"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Executive was previously issued restricted stock and granted stock options. Executive shall be eligible for future equity awards in the discretion of the Board. Upon a Change in Control (as defined in Section 7(e) below), all shares of restricted stock purchased by Executive on or around November 15, 2018 shall immediately vest in full and any risk of forfeiture shall fully lapse, subject to Executive’s continued service to the Company as of immediately prior to such Change in Control.</w:t>
      </w:r>
    </w:p>
    <w:p>
      <w:pPr>
        <w:spacing w:after="0" w:line="187" w:lineRule="exact"/>
        <w:rPr>
          <w:rFonts w:ascii="Arial" w:cs="Arial" w:eastAsia="Arial" w:hAnsi="Arial"/>
          <w:sz w:val="22"/>
          <w:szCs w:val="22"/>
          <w:color w:val="auto"/>
        </w:rPr>
      </w:pPr>
    </w:p>
    <w:p>
      <w:pPr>
        <w:jc w:val="both"/>
        <w:ind w:firstLine="1735"/>
        <w:spacing w:after="0"/>
        <w:tabs>
          <w:tab w:leader="none" w:pos="2615"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Annual Review</w:t>
      </w:r>
      <w:r>
        <w:rPr>
          <w:rFonts w:ascii="Arial" w:cs="Arial" w:eastAsia="Arial" w:hAnsi="Arial"/>
          <w:sz w:val="22"/>
          <w:szCs w:val="22"/>
          <w:color w:val="auto"/>
        </w:rPr>
        <w:t>. Executive’s opportunity for future bonuses and Executive’s eligibility for additional equity awards, if any, shall be reviewed annually by the Board and/or the Compensation Committee of the Board based upon appropriate performance metrics.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0" w:name="page91"/>
    <w:bookmarkEnd w:id="90"/>
    <w:p>
      <w:pPr>
        <w:ind w:left="1680" w:hanging="808"/>
        <w:spacing w:after="0"/>
        <w:tabs>
          <w:tab w:leader="none" w:pos="1680"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Fringe Benefits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735"/>
        <w:spacing w:after="0" w:line="275" w:lineRule="auto"/>
        <w:tabs>
          <w:tab w:leader="none" w:pos="2615"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Benefit Plans</w:t>
      </w:r>
      <w:r>
        <w:rPr>
          <w:rFonts w:ascii="Arial" w:cs="Arial" w:eastAsia="Arial" w:hAnsi="Arial"/>
          <w:sz w:val="19"/>
          <w:szCs w:val="19"/>
          <w:color w:val="auto"/>
        </w:rPr>
        <w:t>. Executive will be eligible to participate on substantially the same basis as the Company’s other senior executive officers in any executive benefit plans offered by the Company including, without limitation, medical, dental, disability, life, pension, profit sharing and nonqualified deferred compensation arrangements. The Company will pay the full amount for all medical, dental, disability, and life insurance including the full amount for dependent care. To the extent any such payment is taxable to Executive, the Company shall reimburse Executive for the full amount of such taxes along with any additional tax due in connection with such reimbursement. The Company reserves the right to modify, suspend or discontinue any and all of the plans, practices, policies and programs at any time without recourse by Executive, so long as the Company takes such action generally with respect to other similarly situated senior executive officers.</w:t>
      </w:r>
    </w:p>
    <w:p>
      <w:pPr>
        <w:spacing w:after="0" w:line="157" w:lineRule="exact"/>
        <w:rPr>
          <w:rFonts w:ascii="Arial" w:cs="Arial" w:eastAsia="Arial" w:hAnsi="Arial"/>
          <w:sz w:val="19"/>
          <w:szCs w:val="19"/>
          <w:color w:val="auto"/>
        </w:rPr>
      </w:pPr>
    </w:p>
    <w:p>
      <w:pPr>
        <w:jc w:val="both"/>
        <w:ind w:firstLine="1735"/>
        <w:spacing w:after="0" w:line="249" w:lineRule="auto"/>
        <w:tabs>
          <w:tab w:leader="none" w:pos="2627"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Vacation</w:t>
      </w:r>
      <w:r>
        <w:rPr>
          <w:rFonts w:ascii="Arial" w:cs="Arial" w:eastAsia="Arial" w:hAnsi="Arial"/>
          <w:sz w:val="21"/>
          <w:szCs w:val="21"/>
          <w:color w:val="auto"/>
        </w:rPr>
        <w:t>. Executive will accrue paid vacation time at a rate of four (4) weeks per calendar year or, if greater, in accordance with the Company’s vacation policy for senior executive officers; provided that if Executive’s accrued but unused vacation time reaches eight (8) weeks, then Executive shall cease accruing paid vacation time hereunder until such time as Executive’s accrued but unused vacation time is reduced. In the event of termination for any reason, the Company shall pay Executive for all accrued but unused vacation time.</w:t>
      </w:r>
    </w:p>
    <w:p>
      <w:pPr>
        <w:spacing w:after="0" w:line="178" w:lineRule="exact"/>
        <w:rPr>
          <w:rFonts w:ascii="Arial" w:cs="Arial" w:eastAsia="Arial" w:hAnsi="Arial"/>
          <w:sz w:val="21"/>
          <w:szCs w:val="21"/>
          <w:color w:val="auto"/>
        </w:rPr>
      </w:pPr>
    </w:p>
    <w:p>
      <w:pPr>
        <w:ind w:firstLine="1735"/>
        <w:spacing w:after="0" w:line="250" w:lineRule="auto"/>
        <w:tabs>
          <w:tab w:leader="none" w:pos="2615"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Perquisites</w:t>
      </w:r>
      <w:r>
        <w:rPr>
          <w:rFonts w:ascii="Arial" w:cs="Arial" w:eastAsia="Arial" w:hAnsi="Arial"/>
          <w:sz w:val="22"/>
          <w:szCs w:val="22"/>
          <w:color w:val="auto"/>
        </w:rPr>
        <w:t>. Executive shall be entitled to substantially the same Company-provided perquisites made generally available to other officers of the Company.</w:t>
      </w:r>
    </w:p>
    <w:p>
      <w:pPr>
        <w:spacing w:after="0" w:line="168" w:lineRule="exact"/>
        <w:rPr>
          <w:rFonts w:ascii="Arial" w:cs="Arial" w:eastAsia="Arial" w:hAnsi="Arial"/>
          <w:sz w:val="22"/>
          <w:szCs w:val="22"/>
          <w:color w:val="auto"/>
        </w:rPr>
      </w:pPr>
    </w:p>
    <w:p>
      <w:pPr>
        <w:jc w:val="both"/>
        <w:ind w:firstLine="872"/>
        <w:spacing w:after="0" w:line="280" w:lineRule="auto"/>
        <w:tabs>
          <w:tab w:leader="none" w:pos="1674" w:val="left"/>
        </w:tabs>
        <w:numPr>
          <w:ilvl w:val="0"/>
          <w:numId w:val="63"/>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color w:val="auto"/>
        </w:rPr>
        <w:t>. The Company shall reimburse Executive for all reasonable and necessary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incurred in the performance of his duties for the Company, in accordance with the Company’s policies with respect to documentation and reimbursement of such expenses. In agreeing to reimburse these expenses, the Company is not providing Executive any tax advice. To the extent any taxes are owed by Executive concerning any such expenses pursuant to applicable law, Executive agrees to pay all such taxes and to indemnify and hold harmless the Company from any claim, demand, penalty, fine, damages, costs, fees or assessment arising from a failure to pay such taxes to the maximum extent allowed by law.</w:t>
      </w:r>
    </w:p>
    <w:p>
      <w:pPr>
        <w:spacing w:after="0" w:line="144" w:lineRule="exact"/>
        <w:rPr>
          <w:rFonts w:ascii="Arial" w:cs="Arial" w:eastAsia="Arial" w:hAnsi="Arial"/>
          <w:sz w:val="19"/>
          <w:szCs w:val="19"/>
          <w:color w:val="auto"/>
        </w:rPr>
      </w:pPr>
    </w:p>
    <w:p>
      <w:pPr>
        <w:ind w:left="1680" w:hanging="808"/>
        <w:spacing w:after="0"/>
        <w:tabs>
          <w:tab w:leader="none" w:pos="1680" w:val="left"/>
        </w:tabs>
        <w:numPr>
          <w:ilvl w:val="0"/>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w:t>
      </w:r>
      <w:r>
        <w:rPr>
          <w:rFonts w:ascii="Arial" w:cs="Arial" w:eastAsia="Arial" w:hAnsi="Arial"/>
          <w:sz w:val="21"/>
          <w:szCs w:val="21"/>
          <w:color w:val="auto"/>
        </w:rPr>
        <w:t>. Executive’s employment with the Company may be terminated in the following ways:</w:t>
      </w:r>
    </w:p>
    <w:p>
      <w:pPr>
        <w:spacing w:after="0" w:line="223" w:lineRule="exact"/>
        <w:rPr>
          <w:rFonts w:ascii="Arial" w:cs="Arial" w:eastAsia="Arial" w:hAnsi="Arial"/>
          <w:sz w:val="21"/>
          <w:szCs w:val="21"/>
          <w:color w:val="auto"/>
        </w:rPr>
      </w:pPr>
    </w:p>
    <w:p>
      <w:pPr>
        <w:jc w:val="both"/>
        <w:ind w:firstLine="1735"/>
        <w:spacing w:after="0" w:line="275" w:lineRule="auto"/>
        <w:tabs>
          <w:tab w:leader="none" w:pos="2615"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Voluntary Resignation</w:t>
      </w:r>
      <w:r>
        <w:rPr>
          <w:rFonts w:ascii="Arial" w:cs="Arial" w:eastAsia="Arial" w:hAnsi="Arial"/>
          <w:sz w:val="19"/>
          <w:szCs w:val="19"/>
          <w:color w:val="auto"/>
        </w:rPr>
        <w:t>. While Executive is committed to provide services to the Company according to the terms of the Agreement, in the event that Executive terminates his employment, he shall provide sixty (60) days written notice of resignation to the Company; provided, however, that the Company, in its sole discretion, may permit a shorter period of notice. If Executive voluntarily terminates his employment, then he shall have no further right to receive any payments under this Agreement, except: (i) all Base Salary accrued and unpaid as of the date of termination, payable in accordance with normal payroll practices; (ii) any Annual Bonus earned according to Section 4(a) above, in the year prior to the year in which the termination occurs, to the extent unpaid as of the date of termination, payable at the same time it would become payable notwithstanding the termination; (iii) the prorated portion of the Annual Bonus earned according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1" w:name="page92"/>
    <w:bookmarkEnd w:id="91"/>
    <w:p>
      <w:pPr>
        <w:jc w:val="both"/>
        <w:spacing w:after="0" w:line="277" w:lineRule="auto"/>
        <w:rPr>
          <w:sz w:val="20"/>
          <w:szCs w:val="20"/>
          <w:color w:val="auto"/>
        </w:rPr>
      </w:pPr>
      <w:r>
        <w:rPr>
          <w:rFonts w:ascii="Arial" w:cs="Arial" w:eastAsia="Arial" w:hAnsi="Arial"/>
          <w:sz w:val="19"/>
          <w:szCs w:val="19"/>
          <w:color w:val="auto"/>
        </w:rPr>
        <w:t>to Section 4(a) above in the year in which the termination occurs, which shall be payable at the same time it would become payable notwithstanding the termination; (iv) any unreimbursed business expenses incurred by Executive on the Company’s behalf; (v) any accrued but unused vacation; and (vi) any other amounts required to be paid under any benefit plan or program in which Executive participates or any other amounts mandated by law, payable in accordance with the terms of such plans or requirements of applicable law. For avoidance of doubt, the determination of whether any Annual Bonus shall be have been earned and payable in accordance with subsections (ii) and (iii) of this paragraph shall be made by the Board and/or the Compensation Committee of the Board, in their sole discretion and in accordance with Section 4(a).</w:t>
      </w:r>
    </w:p>
    <w:p>
      <w:pPr>
        <w:spacing w:after="0" w:line="152" w:lineRule="exact"/>
        <w:rPr>
          <w:sz w:val="20"/>
          <w:szCs w:val="20"/>
          <w:color w:val="auto"/>
        </w:rPr>
      </w:pPr>
    </w:p>
    <w:p>
      <w:pPr>
        <w:jc w:val="both"/>
        <w:ind w:firstLine="1735"/>
        <w:spacing w:after="0" w:line="269" w:lineRule="auto"/>
        <w:tabs>
          <w:tab w:leader="none" w:pos="2627"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for Cause</w:t>
      </w:r>
      <w:r>
        <w:rPr>
          <w:rFonts w:ascii="Arial" w:cs="Arial" w:eastAsia="Arial" w:hAnsi="Arial"/>
          <w:sz w:val="19"/>
          <w:szCs w:val="19"/>
          <w:color w:val="auto"/>
        </w:rPr>
        <w:t>. The Company may terminate Executive’s employment at any time for Cause (as defined below) by giving Executive written notice of such termination. In the event of termination of Executive’s employment for Cause, Executive’s rights to any additional payments under this Agreement shall be limited to those made available to Executive if he resigned as set forth in Section 7(a) above, excluding any Annual Bonus payments pursuant to 7(a)(ii) and 7(a)(iii). 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will mean Executive’s: (i) material breach of any of Executive’s representations or obligations contained in the Agreement, including Executive’s willful failure or refusal to perform the job duties and responsibilities assigned to him by the Company, which if such material breach is reasonably susceptible of cure is not cured after thirty (30) days have elapsed following the date on which the Company gives Executive written notice of such breach;</w:t>
      </w:r>
    </w:p>
    <w:p>
      <w:pPr>
        <w:spacing w:after="0" w:line="2" w:lineRule="exact"/>
        <w:rPr>
          <w:rFonts w:ascii="Arial" w:cs="Arial" w:eastAsia="Arial" w:hAnsi="Arial"/>
          <w:sz w:val="19"/>
          <w:szCs w:val="19"/>
          <w:color w:val="auto"/>
        </w:rPr>
      </w:pPr>
    </w:p>
    <w:p>
      <w:pPr>
        <w:jc w:val="both"/>
        <w:ind w:firstLine="8"/>
        <w:spacing w:after="0" w:line="245" w:lineRule="auto"/>
        <w:tabs>
          <w:tab w:leader="none" w:pos="327" w:val="left"/>
        </w:tabs>
        <w:numPr>
          <w:ilvl w:val="0"/>
          <w:numId w:val="65"/>
        </w:numPr>
        <w:rPr>
          <w:rFonts w:ascii="Arial" w:cs="Arial" w:eastAsia="Arial" w:hAnsi="Arial"/>
          <w:sz w:val="21"/>
          <w:szCs w:val="21"/>
          <w:color w:val="auto"/>
        </w:rPr>
      </w:pPr>
      <w:r>
        <w:rPr>
          <w:rFonts w:ascii="Arial" w:cs="Arial" w:eastAsia="Arial" w:hAnsi="Arial"/>
          <w:sz w:val="21"/>
          <w:szCs w:val="21"/>
          <w:color w:val="auto"/>
        </w:rPr>
        <w:t>conviction, or plea of guilty or nolo contendere, of any felony or any crime involving moral turpitude; (iii) participation in a fraud, act of dishonesty or misappropriation or similar conduct against the Company; (iv) conduct that is materially injurious to the Company or its Affiliates or subsidiaries, monetarily or otherwise; (v) improper use or disclosure of the Company’s confidential or proprietary information; or (vi) obtaining a direct or indirect personal benefit from the transfer or use of the Company’s trade secrets or intellectual property other than on the Company’s behalf.</w:t>
      </w:r>
    </w:p>
    <w:p>
      <w:pPr>
        <w:spacing w:after="0" w:line="180" w:lineRule="exact"/>
        <w:rPr>
          <w:rFonts w:ascii="Arial" w:cs="Arial" w:eastAsia="Arial" w:hAnsi="Arial"/>
          <w:sz w:val="21"/>
          <w:szCs w:val="21"/>
          <w:color w:val="auto"/>
        </w:rPr>
      </w:pPr>
    </w:p>
    <w:p>
      <w:pPr>
        <w:jc w:val="both"/>
        <w:ind w:firstLine="1735"/>
        <w:spacing w:after="0" w:line="272" w:lineRule="auto"/>
        <w:tabs>
          <w:tab w:leader="none" w:pos="2615"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Termination by Death or Disability</w:t>
      </w:r>
      <w:r>
        <w:rPr>
          <w:rFonts w:ascii="Arial" w:cs="Arial" w:eastAsia="Arial" w:hAnsi="Arial"/>
          <w:sz w:val="19"/>
          <w:szCs w:val="19"/>
          <w:color w:val="auto"/>
        </w:rPr>
        <w:t>. In the event that Executive dies or becomes Disabled (as defined below) during his employment, Executive’s employment shall terminate when such death or Disability occurs and Executive (or his legal representative, estate, or beneficiary under any applicable benefit plan in accordance with its terms, as the case may be) shall receive all amounts payable to Executive under the Company’s life and/or disability insurance plans, and any other payments determined under Section 7(a) above. In the event that Executive’s employment is terminated due to Executive’s death in accordance with the preceding sentence, the Restricted Stock shall automatically become vested, and any risk of forfeiture thereon shall immediately lapse, with respect to that number of unvested shares of Restricted Stock that would otherwise have vested and such risk of forfeiture lapsed had Executive remained employed by the Company for the twelve (12) month period following the date of such termination of employment. For purposes of this Agreement, Executive shall be deemed to be “</w:t>
      </w:r>
      <w:r>
        <w:rPr>
          <w:rFonts w:ascii="Arial" w:cs="Arial" w:eastAsia="Arial" w:hAnsi="Arial"/>
          <w:sz w:val="19"/>
          <w:szCs w:val="19"/>
          <w:b w:val="1"/>
          <w:bCs w:val="1"/>
          <w:color w:val="auto"/>
        </w:rPr>
        <w:t>Disabled</w:t>
      </w:r>
      <w:r>
        <w:rPr>
          <w:rFonts w:ascii="Arial" w:cs="Arial" w:eastAsia="Arial" w:hAnsi="Arial"/>
          <w:sz w:val="19"/>
          <w:szCs w:val="19"/>
          <w:color w:val="auto"/>
        </w:rPr>
        <w:t>” or have a “</w:t>
      </w:r>
      <w:r>
        <w:rPr>
          <w:rFonts w:ascii="Arial" w:cs="Arial" w:eastAsia="Arial" w:hAnsi="Arial"/>
          <w:sz w:val="19"/>
          <w:szCs w:val="19"/>
          <w:b w:val="1"/>
          <w:bCs w:val="1"/>
          <w:color w:val="auto"/>
        </w:rPr>
        <w:t>Disability</w:t>
      </w:r>
      <w:r>
        <w:rPr>
          <w:rFonts w:ascii="Arial" w:cs="Arial" w:eastAsia="Arial" w:hAnsi="Arial"/>
          <w:sz w:val="19"/>
          <w:szCs w:val="19"/>
          <w:color w:val="auto"/>
        </w:rPr>
        <w:t>” if, because of Executive’s physical or mental condition, he has been substantially unable to perform his duties hereunder for a cumulative period of ninety (90) days in any consecutive twelve (12) month period. Executive shall be considered to have been substantially unable to perform his duties hereunder if he is unable to reasonably and effectively to carry out his duties as determined by the Board in its sole discretion without Executive’s participation.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2" w:name="page93"/>
    <w:bookmarkEnd w:id="92"/>
    <w:p>
      <w:pPr>
        <w:jc w:val="both"/>
        <w:spacing w:after="0" w:line="282" w:lineRule="auto"/>
        <w:rPr>
          <w:sz w:val="20"/>
          <w:szCs w:val="20"/>
          <w:color w:val="auto"/>
        </w:rPr>
      </w:pPr>
      <w:r>
        <w:rPr>
          <w:rFonts w:ascii="Arial" w:cs="Arial" w:eastAsia="Arial" w:hAnsi="Arial"/>
          <w:sz w:val="19"/>
          <w:szCs w:val="19"/>
          <w:color w:val="auto"/>
        </w:rPr>
        <w:t>Executive acknowledges that the payments referred to in this Section 7(c), together with any rights or benefits under any written plan or agreement that have vested on or prior to the termination date of Executive’s employment under this Section 7(c), constitute the only payments that Executive (or his legal representative, as the case may be) shall be entitled to receive from the Company in the event of a termination of his employment for death or Disability, and the Company shall have no further liability or obligation to him (or his legal representative, as the case may be) or otherwise in respect of his employment.</w:t>
      </w:r>
    </w:p>
    <w:p>
      <w:pPr>
        <w:spacing w:after="0" w:line="147" w:lineRule="exact"/>
        <w:rPr>
          <w:sz w:val="20"/>
          <w:szCs w:val="20"/>
          <w:color w:val="auto"/>
        </w:rPr>
      </w:pPr>
    </w:p>
    <w:p>
      <w:pPr>
        <w:jc w:val="both"/>
        <w:ind w:firstLine="1735"/>
        <w:spacing w:after="0" w:line="238" w:lineRule="auto"/>
        <w:tabs>
          <w:tab w:leader="none" w:pos="2627"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Resignation for Good Reason or Termination Without Cause</w:t>
      </w:r>
      <w:r>
        <w:rPr>
          <w:rFonts w:ascii="Arial" w:cs="Arial" w:eastAsia="Arial" w:hAnsi="Arial"/>
          <w:sz w:val="22"/>
          <w:szCs w:val="22"/>
          <w:color w:val="auto"/>
        </w:rPr>
        <w:t>. In the event Executive resigns his employment with the Company for Good Reason (as defined below) or Executive’s employment with the Company is terminated by the Company without Cause, Executive shall be entitled to all amounts determined under Section 7(a) above, and shall be eligible to receive the following:</w:t>
      </w:r>
    </w:p>
    <w:p>
      <w:pPr>
        <w:spacing w:after="0" w:line="184" w:lineRule="exact"/>
        <w:rPr>
          <w:rFonts w:ascii="Arial" w:cs="Arial" w:eastAsia="Arial" w:hAnsi="Arial"/>
          <w:sz w:val="22"/>
          <w:szCs w:val="22"/>
          <w:color w:val="auto"/>
        </w:rPr>
      </w:pPr>
    </w:p>
    <w:p>
      <w:pPr>
        <w:jc w:val="both"/>
        <w:ind w:left="880" w:firstLine="1586"/>
        <w:spacing w:after="0" w:line="273" w:lineRule="auto"/>
        <w:tabs>
          <w:tab w:leader="none" w:pos="3326" w:val="left"/>
        </w:tabs>
        <w:numPr>
          <w:ilvl w:val="2"/>
          <w:numId w:val="66"/>
        </w:numPr>
        <w:rPr>
          <w:rFonts w:ascii="Arial" w:cs="Arial" w:eastAsia="Arial" w:hAnsi="Arial"/>
          <w:sz w:val="19"/>
          <w:szCs w:val="19"/>
          <w:color w:val="auto"/>
        </w:rPr>
      </w:pPr>
      <w:r>
        <w:rPr>
          <w:rFonts w:ascii="Arial" w:cs="Arial" w:eastAsia="Arial" w:hAnsi="Arial"/>
          <w:sz w:val="19"/>
          <w:szCs w:val="19"/>
          <w:color w:val="auto"/>
        </w:rPr>
        <w:t>Executive shall receive amount equal to the sum of (A) his Base Salary (as of the date of termination) and (B) his bonus earned under Section 4(a) above in the calendar year preceding his termination of employment occurs. For the avoidance of doubt, the determination of whether any bonus shall have been earned and payable for the calendar year preceding Executive’s termination of employment in accordance with the preceding sentence shall be made by the Board and/or Compensation Committee of the Board, in their sole discretion and in accordance with Section 4(a). This severance amount shall be paid in substantially equal installments, in accordance with the Company’s normal payroll practices, over a period of twelve (12) months following the date of termination, with such payments to commence on the first payroll date after Executive’s Release (as defined below) becomes no longer subject to revocation (with any such payments that would otherwise have been made before the Release is not subject to revocation to be made as soon as administratively practicable thereafter). Required withholdings and authorized deductions shall be taken from each of the foregoing payments before it is transferred to Executive;</w:t>
      </w:r>
    </w:p>
    <w:p>
      <w:pPr>
        <w:spacing w:after="0" w:line="155" w:lineRule="exact"/>
        <w:rPr>
          <w:rFonts w:ascii="Arial" w:cs="Arial" w:eastAsia="Arial" w:hAnsi="Arial"/>
          <w:sz w:val="19"/>
          <w:szCs w:val="19"/>
          <w:color w:val="auto"/>
        </w:rPr>
      </w:pPr>
    </w:p>
    <w:p>
      <w:pPr>
        <w:jc w:val="both"/>
        <w:ind w:left="880" w:firstLine="1586"/>
        <w:spacing w:after="0" w:line="269" w:lineRule="auto"/>
        <w:tabs>
          <w:tab w:leader="none" w:pos="3386" w:val="left"/>
        </w:tabs>
        <w:numPr>
          <w:ilvl w:val="2"/>
          <w:numId w:val="66"/>
        </w:numPr>
        <w:rPr>
          <w:rFonts w:ascii="Arial" w:cs="Arial" w:eastAsia="Arial" w:hAnsi="Arial"/>
          <w:sz w:val="19"/>
          <w:szCs w:val="19"/>
          <w:color w:val="auto"/>
        </w:rPr>
      </w:pPr>
      <w:r>
        <w:rPr>
          <w:rFonts w:ascii="Arial" w:cs="Arial" w:eastAsia="Arial" w:hAnsi="Arial"/>
          <w:sz w:val="19"/>
          <w:szCs w:val="19"/>
          <w:color w:val="auto"/>
        </w:rPr>
        <w:t>During the period commencing on the date of Executive’s termination of employment and ending on the first anniversary of the date of Executive’s termination of employment or, if earlier, the date on which Executive becomes eligible for comparable replacement coverage under a subsequent employer’s group health plan (in any case, the “</w:t>
      </w:r>
      <w:r>
        <w:rPr>
          <w:rFonts w:ascii="Arial" w:cs="Arial" w:eastAsia="Arial" w:hAnsi="Arial"/>
          <w:sz w:val="19"/>
          <w:szCs w:val="19"/>
          <w:b w:val="1"/>
          <w:bCs w:val="1"/>
          <w:color w:val="auto"/>
        </w:rPr>
        <w:t>COBRA Period</w:t>
      </w:r>
      <w:r>
        <w:rPr>
          <w:rFonts w:ascii="Arial" w:cs="Arial" w:eastAsia="Arial" w:hAnsi="Arial"/>
          <w:sz w:val="19"/>
          <w:szCs w:val="19"/>
          <w:color w:val="auto"/>
        </w:rPr>
        <w:t>”), subject to Executive’s valid election to continue healthcare coverage under Section 4980B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Executive terminates employment; provided, however, that if</w:t>
      </w:r>
    </w:p>
    <w:p>
      <w:pPr>
        <w:spacing w:after="0" w:line="2" w:lineRule="exact"/>
        <w:rPr>
          <w:rFonts w:ascii="Arial" w:cs="Arial" w:eastAsia="Arial" w:hAnsi="Arial"/>
          <w:sz w:val="19"/>
          <w:szCs w:val="19"/>
          <w:color w:val="auto"/>
        </w:rPr>
      </w:pPr>
    </w:p>
    <w:p>
      <w:pPr>
        <w:jc w:val="both"/>
        <w:ind w:left="880" w:hanging="8"/>
        <w:spacing w:after="0" w:line="266" w:lineRule="auto"/>
        <w:tabs>
          <w:tab w:leader="none" w:pos="1203"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plan pursuant to which such benefits are provided is not, or ceases prior to the expiration of the continuation coverage period to be, exempt from the application of Section 409A under Treasury Regulation Section 1.409A-1(a)</w:t>
      </w:r>
    </w:p>
    <w:p>
      <w:pPr>
        <w:spacing w:after="0" w:line="1" w:lineRule="exact"/>
        <w:rPr>
          <w:rFonts w:ascii="Arial" w:cs="Arial" w:eastAsia="Arial" w:hAnsi="Arial"/>
          <w:sz w:val="19"/>
          <w:szCs w:val="19"/>
          <w:color w:val="auto"/>
        </w:rPr>
      </w:pPr>
    </w:p>
    <w:p>
      <w:pPr>
        <w:jc w:val="both"/>
        <w:ind w:left="880"/>
        <w:spacing w:after="0" w:line="233" w:lineRule="auto"/>
        <w:rPr>
          <w:rFonts w:ascii="Arial" w:cs="Arial" w:eastAsia="Arial" w:hAnsi="Arial"/>
          <w:sz w:val="19"/>
          <w:szCs w:val="19"/>
          <w:color w:val="auto"/>
        </w:rPr>
      </w:pPr>
      <w:r>
        <w:rPr>
          <w:rFonts w:ascii="Arial" w:cs="Arial" w:eastAsia="Arial" w:hAnsi="Arial"/>
          <w:sz w:val="22"/>
          <w:szCs w:val="22"/>
          <w:color w:val="auto"/>
        </w:rPr>
        <w:t>(5),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COBRA Period (or remaining portion thereof);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3" w:name="page94"/>
    <w:bookmarkEnd w:id="93"/>
    <w:p>
      <w:pPr>
        <w:jc w:val="both"/>
        <w:ind w:left="880" w:firstLine="1586"/>
        <w:spacing w:after="0" w:line="275" w:lineRule="auto"/>
        <w:tabs>
          <w:tab w:leader="none" w:pos="3446"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outstanding and unvested equity award (excluding any such awards that vest in whole or in part based on the attainment of performance-vesting conditions) held by Executive shall automatically become vested and, if applicable, exercisable and any forfeiture restrictions or rights of repurchase thereon shall immediately lapse as of immediately prior to the date of termination, in each case, with respect to the number of shares that would have become vested and, if applicable, exercisable during the twelve (12)-month period following the date of termination had Executive’s employment continued during such period, and each option held by Executive to purchase the Company’s common stock that is vested as of the date of termination (after giving effect to any applicable accelerated vesting) will remain exercisable until the earlier of the twelve (12)-month anniversary of the date of termination or the original expiration date of the option.</w:t>
      </w:r>
    </w:p>
    <w:p>
      <w:pPr>
        <w:spacing w:after="0" w:line="40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The payments and benefits described in subsections (i), (ii) and (iii) of this Section 7(d) shall be subject to and in consideration of Executive’s execution and delivery (and any revocation period having expired) of a general release of all claims against the Company in a form acceptable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within sixty (60) days following Executive’s termination of employment. For the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shall mean the continuance of any of the following events without Executive’s written consent: (i) any material breach of the terms of this Agreement by the Company;</w:t>
      </w:r>
    </w:p>
    <w:p>
      <w:pPr>
        <w:spacing w:after="0" w:line="4" w:lineRule="exact"/>
        <w:rPr>
          <w:sz w:val="20"/>
          <w:szCs w:val="20"/>
          <w:color w:val="auto"/>
        </w:rPr>
      </w:pPr>
    </w:p>
    <w:p>
      <w:pPr>
        <w:jc w:val="both"/>
        <w:ind w:firstLine="8"/>
        <w:spacing w:after="0" w:line="242" w:lineRule="auto"/>
        <w:tabs>
          <w:tab w:leader="none" w:pos="326"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material restriction or diminution in Executive’s responsibilities; (iii) introduction of a requirement that Executive report to anyone other than the Company’s Chief Executive Officer or the Board; (iv) any change in the location of Executive’s principal place of employment that increases Executive’s one-way commute in excess of fifty (50) miles from Executive’s principal place of employment prior to such change; (v) any material failure by the Company to pay Executive’s Base Salary, bonuses that Executive has earned, or benefits that Executive is entitled to receive under this Agreement, or any material reduction by the Company of Executive’s Base Salary under this Agreement, provided, however, that if the Company institutes a Company-wide reduction in salaries, bonuses and benefits for other executive management team members, such reduction shall not be deemed “material” for this subsection (d). Notwithstanding the foregoing, Executive’s resignation shall not constitute a resignation for “Good Reason” unless (X) Executive provides advance written notice of such resignation to the Company within sixty (60) days of the initial occurrence of the event or action giving rise to Good Reason, (Y) such written notice specifies that Executive’s resignation is effective not less than thirty (30) days, nor more than sixty (60) days, after the date of the written notice, and (Z) the Company fails to remedy the basis for Good Reason prior to the date of resignation specified in the written notice.</w:t>
      </w:r>
    </w:p>
    <w:p>
      <w:pPr>
        <w:spacing w:after="0" w:line="191" w:lineRule="exact"/>
        <w:rPr>
          <w:rFonts w:ascii="Arial" w:cs="Arial" w:eastAsia="Arial" w:hAnsi="Arial"/>
          <w:sz w:val="21"/>
          <w:szCs w:val="21"/>
          <w:color w:val="auto"/>
        </w:rPr>
      </w:pPr>
    </w:p>
    <w:p>
      <w:pPr>
        <w:jc w:val="both"/>
        <w:ind w:firstLine="1735"/>
        <w:spacing w:after="0" w:line="282" w:lineRule="auto"/>
        <w:tabs>
          <w:tab w:leader="none" w:pos="2615"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Termination as a Result of Change in Control</w:t>
      </w:r>
      <w:r>
        <w:rPr>
          <w:rFonts w:ascii="Arial" w:cs="Arial" w:eastAsia="Arial" w:hAnsi="Arial"/>
          <w:sz w:val="19"/>
          <w:szCs w:val="19"/>
          <w:color w:val="auto"/>
        </w:rPr>
        <w:t>. In the event Executive resigns his employment with the Company for Good Reason or Executive’s employment with the Company is terminated by the Company without Cause, in each case, during the period commencing three months prior to the consummation of a Change in Control and ending on the twelve (12) month anniversary of such Change in Control, then in addition to any other payments determined under Section 7(a) above and in lieu of any amount otherwise payable under Section 7(d), Executive shall be eligible to receive the following: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4" w:name="page95"/>
    <w:bookmarkEnd w:id="94"/>
    <w:p>
      <w:pPr>
        <w:jc w:val="both"/>
        <w:ind w:left="880" w:firstLine="1586"/>
        <w:spacing w:after="0" w:line="238" w:lineRule="auto"/>
        <w:tabs>
          <w:tab w:leader="none" w:pos="3326" w:val="left"/>
        </w:tabs>
        <w:numPr>
          <w:ilvl w:val="0"/>
          <w:numId w:val="70"/>
        </w:numPr>
        <w:rPr>
          <w:rFonts w:ascii="Arial" w:cs="Arial" w:eastAsia="Arial" w:hAnsi="Arial"/>
          <w:sz w:val="22"/>
          <w:szCs w:val="22"/>
          <w:color w:val="auto"/>
        </w:rPr>
      </w:pPr>
      <w:r>
        <w:rPr>
          <w:rFonts w:ascii="Arial" w:cs="Arial" w:eastAsia="Arial" w:hAnsi="Arial"/>
          <w:sz w:val="22"/>
          <w:szCs w:val="22"/>
          <w:color w:val="auto"/>
        </w:rPr>
        <w:t>Executive shall receive an amount equal to the sum of (A) his Base Salary (as of the date of termination) and (B) his target Annual Bonus (as of the date of termination), payable in a cash lump sum, less applicable withholdings, on the first payroll date following the date Executive’s Release becomes no longer subject to revocation;</w:t>
      </w:r>
    </w:p>
    <w:p>
      <w:pPr>
        <w:spacing w:after="0" w:line="184" w:lineRule="exact"/>
        <w:rPr>
          <w:rFonts w:ascii="Arial" w:cs="Arial" w:eastAsia="Arial" w:hAnsi="Arial"/>
          <w:sz w:val="22"/>
          <w:szCs w:val="22"/>
          <w:color w:val="auto"/>
        </w:rPr>
      </w:pPr>
    </w:p>
    <w:p>
      <w:pPr>
        <w:jc w:val="both"/>
        <w:ind w:left="880" w:firstLine="1586"/>
        <w:spacing w:after="0" w:line="271" w:lineRule="auto"/>
        <w:tabs>
          <w:tab w:leader="none" w:pos="3386" w:val="left"/>
        </w:tabs>
        <w:numPr>
          <w:ilvl w:val="0"/>
          <w:numId w:val="70"/>
        </w:numPr>
        <w:rPr>
          <w:rFonts w:ascii="Arial" w:cs="Arial" w:eastAsia="Arial" w:hAnsi="Arial"/>
          <w:sz w:val="19"/>
          <w:szCs w:val="19"/>
          <w:color w:val="auto"/>
        </w:rPr>
      </w:pPr>
      <w:r>
        <w:rPr>
          <w:rFonts w:ascii="Arial" w:cs="Arial" w:eastAsia="Arial" w:hAnsi="Arial"/>
          <w:sz w:val="19"/>
          <w:szCs w:val="19"/>
          <w:color w:val="auto"/>
        </w:rPr>
        <w:t>During the period commencing on the date of Executive’s termination of employment and ending on the 12-month anniversary of the date of Executive’s termination of employment or, if earlier, the date on which Executive becomes eligible for comparable replacement coverage under a subsequent employer’s group health plan (in any case, the “</w:t>
      </w:r>
      <w:r>
        <w:rPr>
          <w:rFonts w:ascii="Arial" w:cs="Arial" w:eastAsia="Arial" w:hAnsi="Arial"/>
          <w:sz w:val="19"/>
          <w:szCs w:val="19"/>
          <w:b w:val="1"/>
          <w:bCs w:val="1"/>
          <w:color w:val="auto"/>
        </w:rPr>
        <w:t>CIC COBRA Period</w:t>
      </w:r>
      <w:r>
        <w:rPr>
          <w:rFonts w:ascii="Arial" w:cs="Arial" w:eastAsia="Arial" w:hAnsi="Arial"/>
          <w:sz w:val="19"/>
          <w:szCs w:val="19"/>
          <w:color w:val="auto"/>
        </w:rPr>
        <w:t>”), subject to Executive’s valid election to continue healthcare coverage under Section 4980B of the Code and the regulation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Executive terminates employment; provided, however,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 and</w:t>
      </w:r>
    </w:p>
    <w:p>
      <w:pPr>
        <w:spacing w:after="0" w:line="164" w:lineRule="exact"/>
        <w:rPr>
          <w:rFonts w:ascii="Arial" w:cs="Arial" w:eastAsia="Arial" w:hAnsi="Arial"/>
          <w:sz w:val="19"/>
          <w:szCs w:val="19"/>
          <w:color w:val="auto"/>
        </w:rPr>
      </w:pPr>
    </w:p>
    <w:p>
      <w:pPr>
        <w:jc w:val="both"/>
        <w:ind w:left="880" w:firstLine="1586"/>
        <w:spacing w:after="0" w:line="275" w:lineRule="auto"/>
        <w:tabs>
          <w:tab w:leader="none" w:pos="3446" w:val="left"/>
        </w:tabs>
        <w:numPr>
          <w:ilvl w:val="0"/>
          <w:numId w:val="70"/>
        </w:numPr>
        <w:rPr>
          <w:rFonts w:ascii="Arial" w:cs="Arial" w:eastAsia="Arial" w:hAnsi="Arial"/>
          <w:sz w:val="19"/>
          <w:szCs w:val="19"/>
          <w:color w:val="auto"/>
        </w:rPr>
      </w:pPr>
      <w:r>
        <w:rPr>
          <w:rFonts w:ascii="Arial" w:cs="Arial" w:eastAsia="Arial" w:hAnsi="Arial"/>
          <w:sz w:val="19"/>
          <w:szCs w:val="19"/>
          <w:color w:val="auto"/>
        </w:rPr>
        <w:t>Each outstanding and unvested equity award held by Executive shall automatically become vested and, if applicable, exercisable and any forfeiture restrictions or rights of repurchase thereon shall immediately lapse with respect to one hundred percent (100%) of the shares subject thereto, as of immediately prior to the date of termination, and each option held by Executive to purchase the Company’s common stock will remain exercisable until the earlier of the twelve (12)-month anniversary of the date of termination or the original expiration of the option. Unless otherwise set forth in an applicable award agreement, for purposes of this Section 4(e), each award subject to performance-based vesting will be deemed earned at the greater of (i) target or (ii) actual achievement measured as of the termination date (to the extent then measurable).</w:t>
      </w:r>
    </w:p>
    <w:p>
      <w:pPr>
        <w:spacing w:after="0" w:line="157"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The payments and benefits described in subsections (i), (ii) and (iii) of this Section 7(e) shall be subject to and in consideration of Executive’s execution and delivery (and any revocation period having expired) of a Release within sixty (60) days following termination. In no event shall Executive be entitled to receive payments under Section 7(d) and under this Section 7(e) at the same time. For the purposes of this Agreement, “</w:t>
      </w:r>
      <w:r>
        <w:rPr>
          <w:rFonts w:ascii="Arial" w:cs="Arial" w:eastAsia="Arial" w:hAnsi="Arial"/>
          <w:sz w:val="21"/>
          <w:szCs w:val="21"/>
          <w:b w:val="1"/>
          <w:bCs w:val="1"/>
          <w:color w:val="auto"/>
        </w:rPr>
        <w:t>Change in Control</w:t>
      </w:r>
      <w:r>
        <w:rPr>
          <w:rFonts w:ascii="Arial" w:cs="Arial" w:eastAsia="Arial" w:hAnsi="Arial"/>
          <w:sz w:val="21"/>
          <w:szCs w:val="21"/>
          <w:color w:val="auto"/>
        </w:rPr>
        <w:t>” shall have the meaning ascribed to such term under the Company’s 2020 Incentive Award Plan; provided, that such transaction must also constitute a “change in control event” within the meaning of Treasury Regulation Section 1.409A-3(i)(5).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5" w:name="page96"/>
    <w:bookmarkEnd w:id="95"/>
    <w:p>
      <w:pPr>
        <w:jc w:val="both"/>
        <w:ind w:firstLine="872"/>
        <w:spacing w:after="0" w:line="237" w:lineRule="auto"/>
        <w:tabs>
          <w:tab w:leader="none" w:pos="1674" w:val="left"/>
        </w:tabs>
        <w:numPr>
          <w:ilvl w:val="0"/>
          <w:numId w:val="71"/>
        </w:numPr>
        <w:rPr>
          <w:rFonts w:ascii="Arial" w:cs="Arial" w:eastAsia="Arial" w:hAnsi="Arial"/>
          <w:sz w:val="22"/>
          <w:szCs w:val="22"/>
          <w:color w:val="auto"/>
        </w:rPr>
      </w:pPr>
      <w:r>
        <w:rPr>
          <w:rFonts w:ascii="Arial" w:cs="Arial" w:eastAsia="Arial" w:hAnsi="Arial"/>
          <w:sz w:val="22"/>
          <w:szCs w:val="22"/>
          <w:b w:val="1"/>
          <w:bCs w:val="1"/>
          <w:u w:val="single" w:color="auto"/>
          <w:color w:val="auto"/>
        </w:rPr>
        <w:t>Proprietary Information</w:t>
      </w:r>
      <w:r>
        <w:rPr>
          <w:rFonts w:ascii="Arial" w:cs="Arial" w:eastAsia="Arial" w:hAnsi="Arial"/>
          <w:sz w:val="22"/>
          <w:szCs w:val="22"/>
          <w:color w:val="auto"/>
        </w:rPr>
        <w:t>. The Parties have executed the Company’s standard agreement with regard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protection of the Company’s proprietary information, which shall be defined in such agreement, but may include, without limitation (a) certain intellectual property conceived, developed, or reduced to practice by Executive during his employment, (b) confidential information communicated to or by Executive during the Employment Term and (c) non-solicitation of the Company’s employees.</w:t>
      </w:r>
    </w:p>
    <w:p>
      <w:pPr>
        <w:spacing w:after="0" w:line="181" w:lineRule="exact"/>
        <w:rPr>
          <w:rFonts w:ascii="Arial" w:cs="Arial" w:eastAsia="Arial" w:hAnsi="Arial"/>
          <w:sz w:val="22"/>
          <w:szCs w:val="22"/>
          <w:color w:val="auto"/>
        </w:rPr>
      </w:pPr>
    </w:p>
    <w:p>
      <w:pPr>
        <w:jc w:val="both"/>
        <w:ind w:firstLine="872"/>
        <w:spacing w:after="0" w:line="249" w:lineRule="auto"/>
        <w:tabs>
          <w:tab w:leader="none" w:pos="1674" w:val="left"/>
        </w:tabs>
        <w:numPr>
          <w:ilvl w:val="0"/>
          <w:numId w:val="71"/>
        </w:numPr>
        <w:rPr>
          <w:rFonts w:ascii="Arial" w:cs="Arial" w:eastAsia="Arial" w:hAnsi="Arial"/>
          <w:sz w:val="21"/>
          <w:szCs w:val="21"/>
          <w:color w:val="auto"/>
        </w:rPr>
      </w:pPr>
      <w:r>
        <w:rPr>
          <w:rFonts w:ascii="Arial" w:cs="Arial" w:eastAsia="Arial" w:hAnsi="Arial"/>
          <w:sz w:val="21"/>
          <w:szCs w:val="21"/>
          <w:b w:val="1"/>
          <w:bCs w:val="1"/>
          <w:u w:val="single" w:color="auto"/>
          <w:color w:val="auto"/>
        </w:rPr>
        <w:t>Indemnification and Insurance</w:t>
      </w:r>
      <w:r>
        <w:rPr>
          <w:rFonts w:ascii="Arial" w:cs="Arial" w:eastAsia="Arial" w:hAnsi="Arial"/>
          <w:sz w:val="21"/>
          <w:szCs w:val="21"/>
          <w:color w:val="auto"/>
        </w:rPr>
        <w:t>. During Executive’s employment, the Company shall maintain Executive as</w:t>
      </w:r>
      <w:r>
        <w:rPr>
          <w:rFonts w:ascii="Arial" w:cs="Arial" w:eastAsia="Arial" w:hAnsi="Arial"/>
          <w:sz w:val="21"/>
          <w:szCs w:val="21"/>
          <w:b w:val="1"/>
          <w:bCs w:val="1"/>
          <w:color w:val="auto"/>
        </w:rPr>
        <w:t xml:space="preserve"> </w:t>
      </w:r>
      <w:r>
        <w:rPr>
          <w:rFonts w:ascii="Arial" w:cs="Arial" w:eastAsia="Arial" w:hAnsi="Arial"/>
          <w:sz w:val="21"/>
          <w:szCs w:val="21"/>
          <w:color w:val="auto"/>
        </w:rPr>
        <w:t>an insured party on all insurance maintained by the Company for the benefit of its directors and officers on at least the same basis as all other covered individuals and provide Executive with indemnification to the fullest extent permitted and/or required by law. The Company shall obtain and retain directors and officers and employment practices insurance reasonably appropriate for the Company’s business activities and ensure that Executive is a covered beneficiary while employed by the Company and for a period of five (5) years after termination.</w:t>
      </w:r>
    </w:p>
    <w:p>
      <w:pPr>
        <w:spacing w:after="0" w:line="170" w:lineRule="exact"/>
        <w:rPr>
          <w:rFonts w:ascii="Arial" w:cs="Arial" w:eastAsia="Arial" w:hAnsi="Arial"/>
          <w:sz w:val="21"/>
          <w:szCs w:val="21"/>
          <w:color w:val="auto"/>
        </w:rPr>
      </w:pPr>
    </w:p>
    <w:p>
      <w:pPr>
        <w:jc w:val="both"/>
        <w:ind w:firstLine="872"/>
        <w:spacing w:after="0" w:line="278" w:lineRule="auto"/>
        <w:tabs>
          <w:tab w:leader="none" w:pos="1782"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No Conflicting Agreements</w:t>
      </w:r>
      <w:r>
        <w:rPr>
          <w:rFonts w:ascii="Arial" w:cs="Arial" w:eastAsia="Arial" w:hAnsi="Arial"/>
          <w:sz w:val="19"/>
          <w:szCs w:val="19"/>
          <w:color w:val="auto"/>
        </w:rPr>
        <w:t>. Executive hereby represents and warrants to the Company that he is not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or subject to any restrictive covenants, legal restrictions or other agreements in favor of any entity or person that would in any way preclude, inhibit, impair or limit Executive’s ability to perform his obligations under this Agreement, and that his execution of this Agreement and the performance of his obligations hereunder will not breach or be in conflict with any other agreements to which he may be a party, in each case including but not limited to employment agreements, confidentiality agreements, noncompetition agreements, and nonsolicitation agreements. Executive agrees that he will not use for the benefit of the Company any proprietary information of a third party without such third party’s prior written consent.</w:t>
      </w:r>
    </w:p>
    <w:p>
      <w:pPr>
        <w:spacing w:after="0" w:line="145" w:lineRule="exact"/>
        <w:rPr>
          <w:rFonts w:ascii="Arial" w:cs="Arial" w:eastAsia="Arial" w:hAnsi="Arial"/>
          <w:sz w:val="19"/>
          <w:szCs w:val="19"/>
          <w:color w:val="auto"/>
        </w:rPr>
      </w:pPr>
    </w:p>
    <w:p>
      <w:pPr>
        <w:ind w:firstLine="872"/>
        <w:spacing w:after="0" w:line="334" w:lineRule="auto"/>
        <w:tabs>
          <w:tab w:leader="none" w:pos="1774" w:val="left"/>
        </w:tabs>
        <w:numPr>
          <w:ilvl w:val="0"/>
          <w:numId w:val="71"/>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Effect; Assignment</w:t>
      </w:r>
      <w:r>
        <w:rPr>
          <w:rFonts w:ascii="Arial" w:cs="Arial" w:eastAsia="Arial" w:hAnsi="Arial"/>
          <w:sz w:val="19"/>
          <w:szCs w:val="19"/>
          <w:color w:val="auto"/>
        </w:rPr>
        <w:t>. This Agreement shall be binding upon Executive, his heirs and his personal</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and may be assigned by the Company in its sole discretion to its Affiliates, successors and assigns.</w:t>
      </w:r>
    </w:p>
    <w:p>
      <w:pPr>
        <w:spacing w:after="0" w:line="93" w:lineRule="exact"/>
        <w:rPr>
          <w:rFonts w:ascii="Arial" w:cs="Arial" w:eastAsia="Arial" w:hAnsi="Arial"/>
          <w:sz w:val="19"/>
          <w:szCs w:val="19"/>
          <w:color w:val="auto"/>
        </w:rPr>
      </w:pPr>
    </w:p>
    <w:p>
      <w:pPr>
        <w:ind w:left="1780" w:hanging="908"/>
        <w:spacing w:after="0"/>
        <w:tabs>
          <w:tab w:leader="none" w:pos="1780" w:val="left"/>
        </w:tabs>
        <w:numPr>
          <w:ilvl w:val="0"/>
          <w:numId w:val="71"/>
        </w:numPr>
        <w:rPr>
          <w:rFonts w:ascii="Arial" w:cs="Arial" w:eastAsia="Arial" w:hAnsi="Arial"/>
          <w:sz w:val="22"/>
          <w:szCs w:val="22"/>
          <w:color w:val="auto"/>
        </w:rPr>
      </w:pPr>
      <w:r>
        <w:rPr>
          <w:rFonts w:ascii="Arial" w:cs="Arial" w:eastAsia="Arial" w:hAnsi="Arial"/>
          <w:sz w:val="22"/>
          <w:szCs w:val="22"/>
          <w:b w:val="1"/>
          <w:bCs w:val="1"/>
          <w:u w:val="single" w:color="auto"/>
          <w:color w:val="auto"/>
        </w:rPr>
        <w:t>Golden Parachute Excise Tax</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735"/>
        <w:spacing w:after="0" w:line="273" w:lineRule="auto"/>
        <w:tabs>
          <w:tab w:leader="none" w:pos="2615"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Best Pay</w:t>
      </w:r>
      <w:r>
        <w:rPr>
          <w:rFonts w:ascii="Arial" w:cs="Arial" w:eastAsia="Arial" w:hAnsi="Arial"/>
          <w:sz w:val="19"/>
          <w:szCs w:val="19"/>
          <w:color w:val="auto"/>
        </w:rPr>
        <w:t>. Any provision of this Agreement to the contrary notwithstanding, if any payment or benefit Executive would receive from the Company pursuant to this Agreement or otherwise (“</w:t>
      </w:r>
      <w:r>
        <w:rPr>
          <w:rFonts w:ascii="Arial" w:cs="Arial" w:eastAsia="Arial" w:hAnsi="Arial"/>
          <w:sz w:val="19"/>
          <w:szCs w:val="19"/>
          <w:b w:val="1"/>
          <w:b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such Payment will be equal to the Reduced Amount (as defined below). The “</w:t>
      </w:r>
      <w:r>
        <w:rPr>
          <w:rFonts w:ascii="Arial" w:cs="Arial" w:eastAsia="Arial" w:hAnsi="Arial"/>
          <w:sz w:val="19"/>
          <w:szCs w:val="19"/>
          <w:b w:val="1"/>
          <w:bCs w:val="1"/>
          <w:color w:val="auto"/>
        </w:rPr>
        <w:t>Reduced Amount</w:t>
      </w:r>
      <w:r>
        <w:rPr>
          <w:rFonts w:ascii="Arial" w:cs="Arial" w:eastAsia="Arial" w:hAnsi="Arial"/>
          <w:sz w:val="19"/>
          <w:szCs w:val="19"/>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6" w:name="page97"/>
    <w:bookmarkEnd w:id="96"/>
    <w:p>
      <w:pPr>
        <w:jc w:val="both"/>
        <w:spacing w:after="0" w:line="273" w:lineRule="auto"/>
        <w:rPr>
          <w:sz w:val="20"/>
          <w:szCs w:val="20"/>
          <w:color w:val="auto"/>
        </w:rPr>
      </w:pPr>
      <w:r>
        <w:rPr>
          <w:rFonts w:ascii="Arial" w:cs="Arial" w:eastAsia="Arial" w:hAnsi="Arial"/>
          <w:sz w:val="19"/>
          <w:szCs w:val="19"/>
          <w:color w:val="auto"/>
        </w:rPr>
        <w:t>for Executive. If more than one method of reduction will result in the same economic benefit, the items so reduced will be reduced pro rata (the “</w:t>
      </w:r>
      <w:r>
        <w:rPr>
          <w:rFonts w:ascii="Arial" w:cs="Arial" w:eastAsia="Arial" w:hAnsi="Arial"/>
          <w:sz w:val="19"/>
          <w:szCs w:val="19"/>
          <w:b w:val="1"/>
          <w:bCs w:val="1"/>
          <w:color w:val="auto"/>
        </w:rPr>
        <w:t>Pro Rata Reduction Method</w:t>
      </w:r>
      <w:r>
        <w:rPr>
          <w:rFonts w:ascii="Arial" w:cs="Arial" w:eastAsia="Arial" w:hAnsi="Arial"/>
          <w:sz w:val="19"/>
          <w:szCs w:val="19"/>
          <w:color w:val="auto"/>
        </w:rPr>
        <w:t>”).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(1) as a first priority, the modification shall preserve to the greatest extent possible, the greatest economic benefit for Executive as determined on an after-tax basis; (2) as a second priority, Payments that are contingent on future events (e.g., being terminated without cause), shall be reduced (or eliminated) before Payments that are not contingent on future events; and (3) as a third priority, Payments that are “deferred compensation” within the meaning of Section 409A of the Code shall be reduced (or eliminated) before Payments that are not deferred compensation within the meaning of Section 409A of the Code.</w:t>
      </w:r>
    </w:p>
    <w:p>
      <w:pPr>
        <w:spacing w:after="0" w:line="161" w:lineRule="exact"/>
        <w:rPr>
          <w:sz w:val="20"/>
          <w:szCs w:val="20"/>
          <w:color w:val="auto"/>
        </w:rPr>
      </w:pPr>
    </w:p>
    <w:p>
      <w:pPr>
        <w:jc w:val="both"/>
        <w:ind w:firstLine="1735"/>
        <w:spacing w:after="0" w:line="273" w:lineRule="auto"/>
        <w:tabs>
          <w:tab w:leader="none" w:pos="2627"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Accounting Firm</w:t>
      </w:r>
      <w:r>
        <w:rPr>
          <w:rFonts w:ascii="Arial" w:cs="Arial" w:eastAsia="Arial" w:hAnsi="Arial"/>
          <w:sz w:val="19"/>
          <w:szCs w:val="19"/>
          <w:color w:val="auto"/>
        </w:rPr>
        <w:t>. The accounting firm engaged by the Company for general tax purposes as of the day prior to the Change in Control will perform the calculations set forth in Section 12(a)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149" w:lineRule="exact"/>
        <w:rPr>
          <w:rFonts w:ascii="Arial" w:cs="Arial" w:eastAsia="Arial" w:hAnsi="Arial"/>
          <w:sz w:val="19"/>
          <w:szCs w:val="19"/>
          <w:color w:val="auto"/>
        </w:rPr>
      </w:pPr>
    </w:p>
    <w:p>
      <w:pPr>
        <w:ind w:left="1780" w:hanging="908"/>
        <w:spacing w:after="0"/>
        <w:tabs>
          <w:tab w:leader="none" w:pos="1780"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firstLine="1735"/>
        <w:spacing w:after="0" w:line="250" w:lineRule="auto"/>
        <w:tabs>
          <w:tab w:leader="none" w:pos="2615"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or other communication provided for in this Agreement or contemplated hereby shall be sufficiently given if given in writing to the following:</w:t>
      </w:r>
    </w:p>
    <w:p>
      <w:pPr>
        <w:spacing w:after="0" w:line="182"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To the</w:t>
            </w:r>
          </w:p>
        </w:tc>
        <w:tc>
          <w:tcPr>
            <w:tcW w:w="3660" w:type="dxa"/>
            <w:vAlign w:val="bottom"/>
          </w:tcPr>
          <w:p>
            <w:pPr>
              <w:ind w:left="100"/>
              <w:spacing w:after="0"/>
              <w:rPr>
                <w:sz w:val="20"/>
                <w:szCs w:val="20"/>
                <w:color w:val="auto"/>
              </w:rPr>
            </w:pPr>
            <w:r>
              <w:rPr>
                <w:rFonts w:ascii="Arial" w:cs="Arial" w:eastAsia="Arial" w:hAnsi="Arial"/>
                <w:sz w:val="18"/>
                <w:szCs w:val="18"/>
                <w:color w:val="auto"/>
              </w:rPr>
              <w:t>. Aligos Therapeutics, Inc</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Company:</w:t>
            </w:r>
          </w:p>
        </w:tc>
        <w:tc>
          <w:tcPr>
            <w:tcW w:w="3660" w:type="dxa"/>
            <w:vAlign w:val="bottom"/>
            <w:vMerge w:val="restart"/>
          </w:tcPr>
          <w:p>
            <w:pPr>
              <w:ind w:left="180"/>
              <w:spacing w:after="0"/>
              <w:rPr>
                <w:sz w:val="20"/>
                <w:szCs w:val="20"/>
                <w:color w:val="auto"/>
              </w:rPr>
            </w:pPr>
            <w:r>
              <w:rPr>
                <w:rFonts w:ascii="Arial" w:cs="Arial" w:eastAsia="Arial" w:hAnsi="Arial"/>
                <w:sz w:val="18"/>
                <w:szCs w:val="18"/>
                <w:color w:val="auto"/>
              </w:rPr>
              <w:t>One Corporate Drive, 2</w:t>
            </w:r>
            <w:r>
              <w:rPr>
                <w:rFonts w:ascii="Arial" w:cs="Arial" w:eastAsia="Arial" w:hAnsi="Arial"/>
                <w:sz w:val="15"/>
                <w:szCs w:val="15"/>
                <w:color w:val="auto"/>
              </w:rPr>
              <w:t>nd</w:t>
            </w: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3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Floor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South San Francisco, CA</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94080</w:t>
            </w:r>
          </w:p>
        </w:tc>
        <w:tc>
          <w:tcPr>
            <w:tcW w:w="0" w:type="dxa"/>
            <w:vAlign w:val="bottom"/>
          </w:tcPr>
          <w:p>
            <w:pPr>
              <w:spacing w:after="0"/>
              <w:rPr>
                <w:sz w:val="1"/>
                <w:szCs w:val="1"/>
                <w:color w:val="auto"/>
              </w:rPr>
            </w:pPr>
          </w:p>
        </w:tc>
      </w:tr>
      <w:tr>
        <w:trPr>
          <w:trHeight w:val="445"/>
        </w:trPr>
        <w:tc>
          <w:tcPr>
            <w:tcW w:w="1080" w:type="dxa"/>
            <w:vAlign w:val="bottom"/>
          </w:tcPr>
          <w:p>
            <w:pPr>
              <w:spacing w:after="0"/>
              <w:rPr>
                <w:sz w:val="20"/>
                <w:szCs w:val="20"/>
                <w:color w:val="auto"/>
              </w:rPr>
            </w:pPr>
            <w:r>
              <w:rPr>
                <w:rFonts w:ascii="Arial" w:cs="Arial" w:eastAsia="Arial" w:hAnsi="Arial"/>
                <w:sz w:val="18"/>
                <w:szCs w:val="18"/>
                <w:color w:val="auto"/>
              </w:rPr>
              <w:t>Attention:</w:t>
            </w:r>
          </w:p>
        </w:tc>
        <w:tc>
          <w:tcPr>
            <w:tcW w:w="3660" w:type="dxa"/>
            <w:vAlign w:val="bottom"/>
          </w:tcPr>
          <w:p>
            <w:pPr>
              <w:ind w:left="3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w w:val="97"/>
              </w:rPr>
              <w:t>To Executive:</w:t>
            </w:r>
          </w:p>
        </w:tc>
        <w:tc>
          <w:tcPr>
            <w:tcW w:w="3660" w:type="dxa"/>
            <w:vAlign w:val="bottom"/>
          </w:tcPr>
          <w:p>
            <w:pPr>
              <w:ind w:left="380"/>
              <w:spacing w:after="0"/>
              <w:rPr>
                <w:sz w:val="20"/>
                <w:szCs w:val="20"/>
                <w:color w:val="auto"/>
              </w:rPr>
            </w:pPr>
            <w:r>
              <w:rPr>
                <w:rFonts w:ascii="Arial" w:cs="Arial" w:eastAsia="Arial" w:hAnsi="Arial"/>
                <w:sz w:val="18"/>
                <w:szCs w:val="18"/>
                <w:color w:val="auto"/>
                <w:w w:val="89"/>
              </w:rPr>
              <w:t>at the last address provided in the Company’s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660" w:type="dxa"/>
            <w:vAlign w:val="bottom"/>
          </w:tcPr>
          <w:p>
            <w:pPr>
              <w:ind w:left="380"/>
              <w:spacing w:after="0"/>
              <w:rPr>
                <w:sz w:val="20"/>
                <w:szCs w:val="20"/>
                <w:color w:val="auto"/>
              </w:rPr>
            </w:pPr>
            <w:r>
              <w:rPr>
                <w:rFonts w:ascii="Arial" w:cs="Arial" w:eastAsia="Arial" w:hAnsi="Arial"/>
                <w:sz w:val="18"/>
                <w:szCs w:val="18"/>
                <w:color w:val="auto"/>
              </w:rPr>
              <w:t>personnel records</w:t>
            </w: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4"/>
                <w:szCs w:val="24"/>
                <w:color w:val="auto"/>
              </w:rPr>
            </w:pPr>
          </w:p>
        </w:tc>
        <w:tc>
          <w:tcPr>
            <w:tcW w:w="3660" w:type="dxa"/>
            <w:vAlign w:val="bottom"/>
          </w:tcPr>
          <w:p>
            <w:pPr>
              <w:ind w:left="190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7" w:name="page98"/>
    <w:bookmarkEnd w:id="97"/>
    <w:p>
      <w:pPr>
        <w:jc w:val="both"/>
        <w:ind w:firstLine="1727"/>
        <w:spacing w:after="0" w:line="273" w:lineRule="auto"/>
        <w:rPr>
          <w:sz w:val="20"/>
          <w:szCs w:val="20"/>
          <w:color w:val="auto"/>
        </w:rPr>
      </w:pPr>
      <w:r>
        <w:rPr>
          <w:rFonts w:ascii="Arial" w:cs="Arial" w:eastAsia="Arial" w:hAnsi="Arial"/>
          <w:sz w:val="19"/>
          <w:szCs w:val="19"/>
          <w:color w:val="auto"/>
        </w:rPr>
        <w:t>Such notice shall be deemed delivered: (i) upon delivery if delivered in person; (ii) five (5) business days after deposit in the United States Mail, certified mail, return receipt requested and postage prepaid; (iii) upon transmission by facsimile, with a confirmation copy sent via overnight mail provided that confirmation of such overnight delivery is received; or</w:t>
      </w:r>
    </w:p>
    <w:p>
      <w:pPr>
        <w:spacing w:after="0" w:line="1" w:lineRule="exact"/>
        <w:rPr>
          <w:sz w:val="20"/>
          <w:szCs w:val="20"/>
          <w:color w:val="auto"/>
        </w:rPr>
      </w:pPr>
    </w:p>
    <w:p>
      <w:pPr>
        <w:jc w:val="both"/>
        <w:ind w:firstLine="8"/>
        <w:spacing w:after="0" w:line="287" w:lineRule="auto"/>
        <w:tabs>
          <w:tab w:leader="none" w:pos="366" w:val="left"/>
        </w:tabs>
        <w:numPr>
          <w:ilvl w:val="0"/>
          <w:numId w:val="74"/>
        </w:numPr>
        <w:rPr>
          <w:rFonts w:ascii="Arial" w:cs="Arial" w:eastAsia="Arial" w:hAnsi="Arial"/>
          <w:sz w:val="19"/>
          <w:szCs w:val="19"/>
          <w:color w:val="auto"/>
        </w:rPr>
      </w:pPr>
      <w:r>
        <w:rPr>
          <w:rFonts w:ascii="Arial" w:cs="Arial" w:eastAsia="Arial" w:hAnsi="Arial"/>
          <w:sz w:val="19"/>
          <w:szCs w:val="19"/>
          <w:color w:val="auto"/>
        </w:rPr>
        <w:t>two (2) business days after deposit with a national overnight carrier, provided that confirmation of delivery is received. Either party may change the person and/or address to whom the other party must give notice under this Section 13(a) by giving such other party written notice of such change, in accordance with the procedures described above.</w:t>
      </w:r>
    </w:p>
    <w:p>
      <w:pPr>
        <w:spacing w:after="0" w:line="143" w:lineRule="exact"/>
        <w:rPr>
          <w:rFonts w:ascii="Arial" w:cs="Arial" w:eastAsia="Arial" w:hAnsi="Arial"/>
          <w:sz w:val="19"/>
          <w:szCs w:val="19"/>
          <w:color w:val="auto"/>
        </w:rPr>
      </w:pPr>
    </w:p>
    <w:p>
      <w:pPr>
        <w:jc w:val="both"/>
        <w:ind w:firstLine="1735"/>
        <w:spacing w:after="0" w:line="238" w:lineRule="auto"/>
        <w:tabs>
          <w:tab w:leader="none" w:pos="2627"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Each provision of this Agreement shall be interpreted in such manner as to be effective and valid under applicable law, but if any provisions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84" w:lineRule="exact"/>
        <w:rPr>
          <w:rFonts w:ascii="Arial" w:cs="Arial" w:eastAsia="Arial" w:hAnsi="Arial"/>
          <w:sz w:val="22"/>
          <w:szCs w:val="22"/>
          <w:color w:val="auto"/>
        </w:rPr>
      </w:pPr>
    </w:p>
    <w:p>
      <w:pPr>
        <w:jc w:val="both"/>
        <w:ind w:firstLine="1735"/>
        <w:spacing w:after="0" w:line="287" w:lineRule="auto"/>
        <w:tabs>
          <w:tab w:leader="none" w:pos="2615"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Entire Agreement; Modification</w:t>
      </w:r>
      <w:r>
        <w:rPr>
          <w:rFonts w:ascii="Arial" w:cs="Arial" w:eastAsia="Arial" w:hAnsi="Arial"/>
          <w:sz w:val="19"/>
          <w:szCs w:val="19"/>
          <w:color w:val="auto"/>
        </w:rPr>
        <w:t>. This Agreement sets forth the entire agreement between the parties hereto with respect to the subject matter hereof, and supersedes all other agreements and understandings, written or oral, between the parties hereto with respect to the subject matter hereof, including without limitation, the Prior Agreement. This Agreement shall not be amended, modified or changed except by an instrument in writing signed by the parties hereto.</w:t>
      </w:r>
    </w:p>
    <w:p>
      <w:pPr>
        <w:spacing w:after="0" w:line="142" w:lineRule="exact"/>
        <w:rPr>
          <w:rFonts w:ascii="Arial" w:cs="Arial" w:eastAsia="Arial" w:hAnsi="Arial"/>
          <w:sz w:val="19"/>
          <w:szCs w:val="19"/>
          <w:color w:val="auto"/>
        </w:rPr>
      </w:pPr>
    </w:p>
    <w:p>
      <w:pPr>
        <w:ind w:firstLine="1735"/>
        <w:spacing w:after="0" w:line="250" w:lineRule="auto"/>
        <w:tabs>
          <w:tab w:leader="none" w:pos="2627"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A waiver of the breach of any term or condition of this Agreement shall not be deemed to constitute a waiver of any subsequent breach of the same or any other term or condition.</w:t>
      </w:r>
    </w:p>
    <w:p>
      <w:pPr>
        <w:spacing w:after="0" w:line="174" w:lineRule="exact"/>
        <w:rPr>
          <w:rFonts w:ascii="Arial" w:cs="Arial" w:eastAsia="Arial" w:hAnsi="Arial"/>
          <w:sz w:val="22"/>
          <w:szCs w:val="22"/>
          <w:color w:val="auto"/>
        </w:rPr>
      </w:pPr>
    </w:p>
    <w:p>
      <w:pPr>
        <w:ind w:firstLine="1735"/>
        <w:spacing w:after="0" w:line="250" w:lineRule="auto"/>
        <w:tabs>
          <w:tab w:leader="none" w:pos="2615"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Controlling Law</w:t>
      </w:r>
      <w:r>
        <w:rPr>
          <w:rFonts w:ascii="Arial" w:cs="Arial" w:eastAsia="Arial" w:hAnsi="Arial"/>
          <w:sz w:val="22"/>
          <w:szCs w:val="22"/>
          <w:color w:val="auto"/>
        </w:rPr>
        <w:t>. This Agreement will be governed by the laws of the State of California without regard to conflicts of laws principles, except where preemptive federal law governs.</w:t>
      </w:r>
    </w:p>
    <w:p>
      <w:pPr>
        <w:spacing w:after="0" w:line="174" w:lineRule="exact"/>
        <w:rPr>
          <w:rFonts w:ascii="Arial" w:cs="Arial" w:eastAsia="Arial" w:hAnsi="Arial"/>
          <w:sz w:val="22"/>
          <w:szCs w:val="22"/>
          <w:color w:val="auto"/>
        </w:rPr>
      </w:pPr>
    </w:p>
    <w:p>
      <w:pPr>
        <w:ind w:left="2600" w:hanging="865"/>
        <w:spacing w:after="0"/>
        <w:tabs>
          <w:tab w:leader="none" w:pos="2600"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Deductions</w:t>
      </w:r>
      <w:r>
        <w:rPr>
          <w:rFonts w:ascii="Arial" w:cs="Arial" w:eastAsia="Arial" w:hAnsi="Arial"/>
          <w:sz w:val="19"/>
          <w:szCs w:val="19"/>
          <w:color w:val="auto"/>
        </w:rPr>
        <w:t>. All wages and cash compensation shall be less any legally required withholding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authorized deductions.</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1586"/>
        <w:spacing w:after="0" w:line="245" w:lineRule="auto"/>
        <w:tabs>
          <w:tab w:leader="none" w:pos="3326" w:val="left"/>
        </w:tabs>
        <w:numPr>
          <w:ilvl w:val="2"/>
          <w:numId w:val="74"/>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no benefits deemed deferred compensation subject to Section 409A of the Code, shall be payable pursuant to Section 7 of this Agreement unless Executive’s termination of employment constitutes a “separation from service” with the Company within the meaning of Section 409A of the Code and the Department of Treasury regulations and other guidance promulgated thereunder (a “</w:t>
      </w:r>
      <w:r>
        <w:rPr>
          <w:rFonts w:ascii="Arial" w:cs="Arial" w:eastAsia="Arial" w:hAnsi="Arial"/>
          <w:sz w:val="21"/>
          <w:szCs w:val="21"/>
          <w:b w:val="1"/>
          <w:bCs w:val="1"/>
          <w:color w:val="auto"/>
        </w:rPr>
        <w:t>Separation from Service</w:t>
      </w:r>
      <w:r>
        <w:rPr>
          <w:rFonts w:ascii="Arial" w:cs="Arial" w:eastAsia="Arial" w:hAnsi="Arial"/>
          <w:sz w:val="21"/>
          <w:szCs w:val="21"/>
          <w:color w:val="auto"/>
        </w:rPr>
        <w:t>”) and, except as provided under Section 12(g)(ii) of this Agreement, any such termination benefits shall not be paid, or, in the case of installments, shall not commence payment, until the sixtieth (60th) day following Executive’s Separation from Service. Any installment payments that would have been made to Executive during the sixty (60) day period immediately following Executive’s Separation from Service but for the preceding sentence shall be paid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98" w:name="page99"/>
    <w:bookmarkEnd w:id="98"/>
    <w:p>
      <w:pPr>
        <w:ind w:left="880" w:right="20"/>
        <w:spacing w:after="0" w:line="250" w:lineRule="auto"/>
        <w:rPr>
          <w:sz w:val="20"/>
          <w:szCs w:val="20"/>
          <w:color w:val="auto"/>
        </w:rPr>
      </w:pPr>
      <w:r>
        <w:rPr>
          <w:rFonts w:ascii="Arial" w:cs="Arial" w:eastAsia="Arial" w:hAnsi="Arial"/>
          <w:sz w:val="22"/>
          <w:szCs w:val="22"/>
          <w:color w:val="auto"/>
        </w:rPr>
        <w:t>Executive on the sixtieth (60th) day following Executive’s Separation from Service and the remaining payments shall be made as provided in this Agreement.</w:t>
      </w:r>
    </w:p>
    <w:p>
      <w:pPr>
        <w:spacing w:after="0" w:line="175" w:lineRule="exact"/>
        <w:rPr>
          <w:sz w:val="20"/>
          <w:szCs w:val="20"/>
          <w:color w:val="auto"/>
        </w:rPr>
      </w:pPr>
    </w:p>
    <w:p>
      <w:pPr>
        <w:jc w:val="both"/>
        <w:ind w:left="880" w:firstLine="1586"/>
        <w:spacing w:after="0" w:line="271" w:lineRule="auto"/>
        <w:tabs>
          <w:tab w:leader="none" w:pos="3386" w:val="left"/>
        </w:tabs>
        <w:numPr>
          <w:ilvl w:val="1"/>
          <w:numId w:val="75"/>
        </w:numPr>
        <w:rPr>
          <w:rFonts w:ascii="Arial" w:cs="Arial" w:eastAsia="Arial" w:hAnsi="Arial"/>
          <w:sz w:val="19"/>
          <w:szCs w:val="19"/>
          <w:color w:val="auto"/>
        </w:rPr>
      </w:pPr>
      <w:r>
        <w:rPr>
          <w:rFonts w:ascii="Arial" w:cs="Arial" w:eastAsia="Arial" w:hAnsi="Arial"/>
          <w:sz w:val="19"/>
          <w:szCs w:val="19"/>
          <w:color w:val="auto"/>
        </w:rPr>
        <w:t>Notwithstanding any provision to the contrary in this Agreement, if Executive is deemed by the Company at the time of Executive’s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w:t>
      </w:r>
    </w:p>
    <w:p>
      <w:pPr>
        <w:spacing w:after="0" w:line="3" w:lineRule="exact"/>
        <w:rPr>
          <w:rFonts w:ascii="Arial" w:cs="Arial" w:eastAsia="Arial" w:hAnsi="Arial"/>
          <w:sz w:val="19"/>
          <w:szCs w:val="19"/>
          <w:color w:val="auto"/>
        </w:rPr>
      </w:pPr>
    </w:p>
    <w:p>
      <w:pPr>
        <w:jc w:val="both"/>
        <w:ind w:left="880"/>
        <w:spacing w:after="0" w:line="266" w:lineRule="auto"/>
        <w:rPr>
          <w:rFonts w:ascii="Arial" w:cs="Arial" w:eastAsia="Arial" w:hAnsi="Arial"/>
          <w:sz w:val="19"/>
          <w:szCs w:val="19"/>
          <w:color w:val="auto"/>
        </w:rPr>
      </w:pPr>
      <w:r>
        <w:rPr>
          <w:rFonts w:ascii="Arial" w:cs="Arial" w:eastAsia="Arial" w:hAnsi="Arial"/>
          <w:sz w:val="19"/>
          <w:szCs w:val="19"/>
          <w:color w:val="auto"/>
        </w:rPr>
        <w:t>(2)(B)(i) of the Code, such portion of Executive’s benefits shall not be provided to Executive prior to the earlier of (A) the expiration of the six-month period measured from the date of Executive’s Separation from Service or (B) the date of Executive’ s death. Upon the first business day following the expiration of the applicable Code Section 409A(a)(2)(B)</w:t>
      </w:r>
    </w:p>
    <w:p>
      <w:pPr>
        <w:spacing w:after="0" w:line="2" w:lineRule="exact"/>
        <w:rPr>
          <w:rFonts w:ascii="Arial" w:cs="Arial" w:eastAsia="Arial" w:hAnsi="Arial"/>
          <w:sz w:val="19"/>
          <w:szCs w:val="19"/>
          <w:color w:val="auto"/>
        </w:rPr>
      </w:pPr>
    </w:p>
    <w:p>
      <w:pPr>
        <w:ind w:left="880" w:hanging="8"/>
        <w:spacing w:after="0" w:line="236" w:lineRule="auto"/>
        <w:tabs>
          <w:tab w:leader="none" w:pos="1155" w:val="left"/>
        </w:tabs>
        <w:numPr>
          <w:ilvl w:val="0"/>
          <w:numId w:val="76"/>
        </w:numPr>
        <w:rPr>
          <w:rFonts w:ascii="Arial" w:cs="Arial" w:eastAsia="Arial" w:hAnsi="Arial"/>
          <w:sz w:val="22"/>
          <w:szCs w:val="22"/>
          <w:color w:val="auto"/>
        </w:rPr>
      </w:pPr>
      <w:r>
        <w:rPr>
          <w:rFonts w:ascii="Arial" w:cs="Arial" w:eastAsia="Arial" w:hAnsi="Arial"/>
          <w:sz w:val="22"/>
          <w:szCs w:val="22"/>
          <w:color w:val="auto"/>
        </w:rPr>
        <w:t>period, all payments deferred pursuant to this Section 12(g)(ii) shall be paid in a lump sum to Executive, and any remaining payments due under this Agreement shall be paid as otherwise provided herein.</w:t>
      </w:r>
    </w:p>
    <w:p>
      <w:pPr>
        <w:spacing w:after="0" w:line="186" w:lineRule="exact"/>
        <w:rPr>
          <w:rFonts w:ascii="Arial" w:cs="Arial" w:eastAsia="Arial" w:hAnsi="Arial"/>
          <w:sz w:val="22"/>
          <w:szCs w:val="22"/>
          <w:color w:val="auto"/>
        </w:rPr>
      </w:pPr>
    </w:p>
    <w:p>
      <w:pPr>
        <w:jc w:val="both"/>
        <w:ind w:left="880" w:firstLine="1586"/>
        <w:spacing w:after="0" w:line="235" w:lineRule="auto"/>
        <w:tabs>
          <w:tab w:leader="none" w:pos="3446" w:val="left"/>
        </w:tabs>
        <w:numPr>
          <w:ilvl w:val="1"/>
          <w:numId w:val="76"/>
        </w:numPr>
        <w:rPr>
          <w:rFonts w:ascii="Arial" w:cs="Arial" w:eastAsia="Arial" w:hAnsi="Arial"/>
          <w:sz w:val="22"/>
          <w:szCs w:val="22"/>
          <w:color w:val="auto"/>
        </w:rPr>
      </w:pPr>
      <w:r>
        <w:rPr>
          <w:rFonts w:ascii="Arial" w:cs="Arial" w:eastAsia="Arial" w:hAnsi="Arial"/>
          <w:sz w:val="22"/>
          <w:szCs w:val="22"/>
          <w:color w:val="auto"/>
        </w:rPr>
        <w:t>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7" w:lineRule="exact"/>
        <w:rPr>
          <w:rFonts w:ascii="Arial" w:cs="Arial" w:eastAsia="Arial" w:hAnsi="Arial"/>
          <w:sz w:val="22"/>
          <w:szCs w:val="22"/>
          <w:color w:val="auto"/>
        </w:rPr>
      </w:pPr>
    </w:p>
    <w:p>
      <w:pPr>
        <w:jc w:val="both"/>
        <w:ind w:left="880" w:firstLine="1586"/>
        <w:spacing w:after="0" w:line="252" w:lineRule="auto"/>
        <w:tabs>
          <w:tab w:leader="none" w:pos="3434" w:val="left"/>
        </w:tabs>
        <w:numPr>
          <w:ilvl w:val="1"/>
          <w:numId w:val="76"/>
        </w:numPr>
        <w:rPr>
          <w:rFonts w:ascii="Arial" w:cs="Arial" w:eastAsia="Arial" w:hAnsi="Arial"/>
          <w:sz w:val="21"/>
          <w:szCs w:val="21"/>
          <w:color w:val="auto"/>
        </w:rPr>
      </w:pPr>
      <w:r>
        <w:rPr>
          <w:rFonts w:ascii="Arial" w:cs="Arial" w:eastAsia="Arial" w:hAnsi="Arial"/>
          <w:sz w:val="21"/>
          <w:szCs w:val="21"/>
          <w:color w:val="auto"/>
        </w:rPr>
        <w:t>For purposes of Section 409A of the Code (including, without limitation, for purposes of Treasury Regulation Section 1.409A-2(b)(2)(iii)), Executive’s right to receive the installment payments under this Agreement shall be treated as a right to receive a series of separate payments and, accordingly, each such installment payment shall at all times be considered a separate and distinct payment.</w:t>
      </w:r>
    </w:p>
    <w:p>
      <w:pPr>
        <w:spacing w:after="0" w:line="173" w:lineRule="exact"/>
        <w:rPr>
          <w:rFonts w:ascii="Arial" w:cs="Arial" w:eastAsia="Arial" w:hAnsi="Arial"/>
          <w:sz w:val="21"/>
          <w:szCs w:val="21"/>
          <w:color w:val="auto"/>
        </w:rPr>
      </w:pPr>
    </w:p>
    <w:p>
      <w:pPr>
        <w:jc w:val="both"/>
        <w:ind w:left="880" w:firstLine="1586"/>
        <w:spacing w:after="0" w:line="245" w:lineRule="auto"/>
        <w:tabs>
          <w:tab w:leader="none" w:pos="3374" w:val="left"/>
        </w:tabs>
        <w:numPr>
          <w:ilvl w:val="1"/>
          <w:numId w:val="76"/>
        </w:numPr>
        <w:rPr>
          <w:rFonts w:ascii="Arial" w:cs="Arial" w:eastAsia="Arial" w:hAnsi="Arial"/>
          <w:sz w:val="21"/>
          <w:szCs w:val="21"/>
          <w:color w:val="auto"/>
        </w:rPr>
      </w:pPr>
      <w:r>
        <w:rPr>
          <w:rFonts w:ascii="Arial" w:cs="Arial" w:eastAsia="Arial" w:hAnsi="Arial"/>
          <w:sz w:val="21"/>
          <w:szCs w:val="21"/>
          <w:color w:val="auto"/>
        </w:rPr>
        <w:t>To the extent applicable, this Agreement shall be interpreted in accordance with Section 409A of the Code. Notwithstanding any provision of this Agreement to the contrary, in the event that the Company determines in good faith that any compensation or benefits payable under this Agreement may not be either exempt from or compliant with Section 409A of the Code, the Company may adopt such amendments to this Agreement or adopt other policies or procedures (including amendments, policies and procedures with retroactive effective), or take any other commercially reasonable actions necessary or appropriate (A) to preserve the intended tax treatment of the compensation and benefits payable hereunder and/or preserve the economic benefits of such compensation and benefits, and/or (B) to exempt the compensation and benefits payable hereunder from Section 409A of the Code or to comply with the requirements of Section 409A of the Code and thereby avoid the application of penalty taxes thereunder.</w:t>
      </w:r>
    </w:p>
    <w:p>
      <w:pPr>
        <w:spacing w:after="0" w:line="181" w:lineRule="exact"/>
        <w:rPr>
          <w:sz w:val="20"/>
          <w:szCs w:val="20"/>
          <w:color w:val="auto"/>
        </w:rPr>
      </w:pPr>
    </w:p>
    <w:p>
      <w:pPr>
        <w:jc w:val="both"/>
        <w:ind w:firstLine="1735"/>
        <w:spacing w:after="0"/>
        <w:tabs>
          <w:tab w:leader="none" w:pos="2627"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Voluntary Agreement</w:t>
      </w:r>
      <w:r>
        <w:rPr>
          <w:rFonts w:ascii="Arial" w:cs="Arial" w:eastAsia="Arial" w:hAnsi="Arial"/>
          <w:sz w:val="22"/>
          <w:szCs w:val="22"/>
          <w:color w:val="auto"/>
        </w:rPr>
        <w:t>. Executive and the Company represent and agree that each has reviewed all aspects of this Agreement, has carefully read and fully understands all provisions of this Agreement, and is voluntarily entering into this Agreement. Each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9" w:name="page100"/>
    <w:bookmarkEnd w:id="99"/>
    <w:p>
      <w:pPr>
        <w:jc w:val="both"/>
        <w:spacing w:after="0" w:line="246" w:lineRule="auto"/>
        <w:rPr>
          <w:sz w:val="20"/>
          <w:szCs w:val="20"/>
          <w:color w:val="auto"/>
        </w:rPr>
      </w:pPr>
      <w:r>
        <w:rPr>
          <w:rFonts w:ascii="Arial" w:cs="Arial" w:eastAsia="Arial" w:hAnsi="Arial"/>
          <w:sz w:val="21"/>
          <w:szCs w:val="21"/>
          <w:color w:val="auto"/>
        </w:rPr>
        <w:t>represents and agrees that such party has had the opportunity to review any and all aspects of this Agreement, with the legal, tax and other advisor and advisors of such party’s choice before executing this Agreement, and have been fully advised as to same. Executive acknowledges that the Company has made no representations or warranties to Executive concerning the terms, enforceability or implications of this Agreement other than as are reflected in this Agreement. This Agreement has been fully and freely negotiated by the parties hereto, shall be considered as having been drafted jointly by the parties hereto, and shall be interpreted and construed as if so drafted, without construction in favor of or against any party on account of its or his participation in the drafting hereof.</w:t>
      </w:r>
    </w:p>
    <w:p>
      <w:pPr>
        <w:spacing w:after="0" w:line="184" w:lineRule="exact"/>
        <w:rPr>
          <w:sz w:val="20"/>
          <w:szCs w:val="20"/>
          <w:color w:val="auto"/>
        </w:rPr>
      </w:pPr>
    </w:p>
    <w:p>
      <w:pPr>
        <w:ind w:right="20" w:firstLine="1735"/>
        <w:spacing w:after="0" w:line="250" w:lineRule="auto"/>
        <w:tabs>
          <w:tab w:leader="none" w:pos="257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execute this Agreement in one or more counterparts, all of which together shall constitute but one Agreement.</w:t>
      </w:r>
    </w:p>
    <w:p>
      <w:pPr>
        <w:spacing w:after="0" w:line="174" w:lineRule="exact"/>
        <w:rPr>
          <w:rFonts w:ascii="Arial" w:cs="Arial" w:eastAsia="Arial" w:hAnsi="Arial"/>
          <w:sz w:val="22"/>
          <w:szCs w:val="22"/>
          <w:color w:val="auto"/>
        </w:rPr>
      </w:pPr>
    </w:p>
    <w:p>
      <w:pPr>
        <w:jc w:val="both"/>
        <w:ind w:firstLine="1735"/>
        <w:spacing w:after="0"/>
        <w:tabs>
          <w:tab w:leader="none" w:pos="257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Warranty of Authority</w:t>
      </w:r>
      <w:r>
        <w:rPr>
          <w:rFonts w:ascii="Arial" w:cs="Arial" w:eastAsia="Arial" w:hAnsi="Arial"/>
          <w:sz w:val="22"/>
          <w:szCs w:val="22"/>
          <w:color w:val="auto"/>
        </w:rPr>
        <w:t>. The parties hereto, and each and all of them, collectively and individually as to each said party, represent and declare that each of the persons executing this agreement is and will be empowered and authorized to do so.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0" w:name="page101"/>
    <w:bookmarkEnd w:id="100"/>
    <w:p>
      <w:pPr>
        <w:ind w:left="88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effective as of the Effective Date above written.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ALIGOS THERAPEUTICS, INC.</w:t>
            </w:r>
          </w:p>
        </w:tc>
        <w:tc>
          <w:tcPr>
            <w:tcW w:w="5960" w:type="dxa"/>
            <w:vAlign w:val="bottom"/>
            <w:gridSpan w:val="2"/>
          </w:tcPr>
          <w:p>
            <w:pPr>
              <w:ind w:left="1600"/>
              <w:spacing w:after="0"/>
              <w:rPr>
                <w:sz w:val="20"/>
                <w:szCs w:val="20"/>
                <w:color w:val="auto"/>
              </w:rPr>
            </w:pPr>
            <w:r>
              <w:rPr>
                <w:rFonts w:ascii="Arial" w:cs="Arial" w:eastAsia="Arial" w:hAnsi="Arial"/>
                <w:sz w:val="18"/>
                <w:szCs w:val="18"/>
                <w:b w:val="1"/>
                <w:bCs w:val="1"/>
                <w:color w:val="auto"/>
              </w:rPr>
              <w:t>LEONID BEIGELMAN, Ph.D.</w:t>
            </w:r>
          </w:p>
        </w:tc>
      </w:tr>
      <w:tr>
        <w:trPr>
          <w:trHeight w:val="648"/>
        </w:trPr>
        <w:tc>
          <w:tcPr>
            <w:tcW w:w="1100" w:type="dxa"/>
            <w:vAlign w:val="bottom"/>
            <w:gridSpan w:val="2"/>
          </w:tcPr>
          <w:p>
            <w:pPr>
              <w:spacing w:after="0"/>
              <w:rPr>
                <w:sz w:val="20"/>
                <w:szCs w:val="20"/>
                <w:color w:val="auto"/>
              </w:rPr>
            </w:pPr>
            <w:r>
              <w:rPr>
                <w:rFonts w:ascii="Arial" w:cs="Arial" w:eastAsia="Arial" w:hAnsi="Arial"/>
                <w:sz w:val="18"/>
                <w:szCs w:val="18"/>
                <w:color w:val="auto"/>
              </w:rPr>
              <w:t>By:</w:t>
            </w:r>
          </w:p>
        </w:tc>
        <w:tc>
          <w:tcPr>
            <w:tcW w:w="4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1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Lawrence Blatt, Ph.D.</w:t>
            </w:r>
          </w:p>
        </w:tc>
        <w:tc>
          <w:tcPr>
            <w:tcW w:w="1600" w:type="dxa"/>
            <w:vAlign w:val="bottom"/>
          </w:tcPr>
          <w:p>
            <w:pPr>
              <w:spacing w:after="0"/>
              <w:rPr>
                <w:sz w:val="16"/>
                <w:szCs w:val="16"/>
                <w:color w:val="auto"/>
              </w:rPr>
            </w:pPr>
          </w:p>
        </w:tc>
        <w:tc>
          <w:tcPr>
            <w:tcW w:w="4360" w:type="dxa"/>
            <w:vAlign w:val="bottom"/>
            <w:tcBorders>
              <w:top w:val="single" w:sz="8" w:color="auto"/>
            </w:tcBorders>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1600" w:type="dxa"/>
            <w:vAlign w:val="bottom"/>
          </w:tcPr>
          <w:p>
            <w:pPr>
              <w:spacing w:after="0"/>
              <w:rPr>
                <w:sz w:val="20"/>
                <w:szCs w:val="20"/>
                <w:color w:val="auto"/>
              </w:rPr>
            </w:pPr>
          </w:p>
        </w:tc>
        <w:tc>
          <w:tcPr>
            <w:tcW w:w="436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US-DOCS\119697752.7</w:t>
      </w:r>
    </w:p>
    <w:p>
      <w:pPr>
        <w:sectPr>
          <w:pgSz w:w="11900" w:h="16838" w:orient="portrait"/>
          <w:cols w:equalWidth="0" w:num="1">
            <w:col w:w="11240"/>
          </w:cols>
          <w:pgMar w:left="320" w:top="57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10.2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w:t>
      </w: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19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This Amended and Restated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effective as of February 10, 2021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Aligos Therapeutics,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Lawrence M. Blatt, Ph.D.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83" w:lineRule="exact"/>
        <w:rPr>
          <w:sz w:val="20"/>
          <w:szCs w:val="20"/>
          <w:color w:val="auto"/>
        </w:rPr>
      </w:pPr>
    </w:p>
    <w:p>
      <w:pPr>
        <w:ind w:firstLine="872"/>
        <w:spacing w:after="0" w:line="250" w:lineRule="auto"/>
        <w:tabs>
          <w:tab w:leader="none" w:pos="1721"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and the Executive are currently parties to that certain Employment Agreement entered into on and effective as of August 16, 2018 (the “</w:t>
      </w:r>
      <w:r>
        <w:rPr>
          <w:rFonts w:ascii="Arial" w:cs="Arial" w:eastAsia="Arial" w:hAnsi="Arial"/>
          <w:sz w:val="22"/>
          <w:szCs w:val="22"/>
          <w:u w:val="single" w:color="auto"/>
          <w:color w:val="auto"/>
        </w:rPr>
        <w:t>Prior Agreement</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firstLine="872"/>
        <w:spacing w:after="0" w:line="250" w:lineRule="auto"/>
        <w:tabs>
          <w:tab w:leader="none" w:pos="171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desires to continue to assure itself of the continued services Executive as its Chief Executive Officer, and Executive desires to accept such continued employment; and</w:t>
      </w:r>
    </w:p>
    <w:p>
      <w:pPr>
        <w:spacing w:after="0" w:line="188" w:lineRule="exact"/>
        <w:rPr>
          <w:rFonts w:ascii="Arial" w:cs="Arial" w:eastAsia="Arial" w:hAnsi="Arial"/>
          <w:sz w:val="22"/>
          <w:szCs w:val="22"/>
          <w:color w:val="auto"/>
        </w:rPr>
      </w:pPr>
    </w:p>
    <w:p>
      <w:pPr>
        <w:ind w:firstLine="872"/>
        <w:spacing w:after="0" w:line="250" w:lineRule="auto"/>
        <w:tabs>
          <w:tab w:leader="none" w:pos="171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and Executive have reached agreement concerning the terms and conditions of his continued employment and wish to execute this Agreement to supersede the Prior Agreement in its entirety.</w:t>
      </w:r>
    </w:p>
    <w:p>
      <w:pPr>
        <w:spacing w:after="0" w:line="17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In consideration of the mutual terms, covenants and conditions stated in this Agreement, the Company and Executive hereby agree as follows:</w:t>
      </w:r>
    </w:p>
    <w:p>
      <w:pPr>
        <w:spacing w:after="0" w:line="169" w:lineRule="exact"/>
        <w:rPr>
          <w:sz w:val="20"/>
          <w:szCs w:val="20"/>
          <w:color w:val="auto"/>
        </w:rPr>
      </w:pPr>
    </w:p>
    <w:p>
      <w:pPr>
        <w:ind w:firstLine="872"/>
        <w:spacing w:after="0" w:line="256" w:lineRule="auto"/>
        <w:tabs>
          <w:tab w:leader="none" w:pos="1674"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 Effective as of the Effective Date, the Company hereby employs Executive and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accepts employment by the Company on the terms and conditions set forth herein.</w:t>
      </w:r>
    </w:p>
    <w:p>
      <w:pPr>
        <w:spacing w:after="0" w:line="162" w:lineRule="exact"/>
        <w:rPr>
          <w:rFonts w:ascii="Arial" w:cs="Arial" w:eastAsia="Arial" w:hAnsi="Arial"/>
          <w:sz w:val="22"/>
          <w:szCs w:val="22"/>
          <w:color w:val="auto"/>
        </w:rPr>
      </w:pPr>
    </w:p>
    <w:p>
      <w:pPr>
        <w:ind w:left="1680" w:hanging="808"/>
        <w:spacing w:after="0"/>
        <w:tabs>
          <w:tab w:leader="none" w:pos="168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Duties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35"/>
        <w:spacing w:after="0" w:line="245" w:lineRule="auto"/>
        <w:tabs>
          <w:tab w:leader="none" w:pos="2615"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Company hereby agrees to employ Executive as its Chief Executive Officer (“</w:t>
      </w:r>
      <w:r>
        <w:rPr>
          <w:rFonts w:ascii="Arial" w:cs="Arial" w:eastAsia="Arial" w:hAnsi="Arial"/>
          <w:sz w:val="21"/>
          <w:szCs w:val="21"/>
          <w:b w:val="1"/>
          <w:bCs w:val="1"/>
          <w:color w:val="auto"/>
        </w:rPr>
        <w:t>CEO</w:t>
      </w:r>
      <w:r>
        <w:rPr>
          <w:rFonts w:ascii="Arial" w:cs="Arial" w:eastAsia="Arial" w:hAnsi="Arial"/>
          <w:sz w:val="21"/>
          <w:szCs w:val="21"/>
          <w:color w:val="auto"/>
        </w:rPr>
        <w:t>”), reporting directly to the Company’s Board of Directors (the “</w:t>
      </w:r>
      <w:r>
        <w:rPr>
          <w:rFonts w:ascii="Arial" w:cs="Arial" w:eastAsia="Arial" w:hAnsi="Arial"/>
          <w:sz w:val="21"/>
          <w:szCs w:val="21"/>
          <w:b w:val="1"/>
          <w:bCs w:val="1"/>
          <w:color w:val="auto"/>
        </w:rPr>
        <w:t>Board</w:t>
      </w:r>
      <w:r>
        <w:rPr>
          <w:rFonts w:ascii="Arial" w:cs="Arial" w:eastAsia="Arial" w:hAnsi="Arial"/>
          <w:sz w:val="21"/>
          <w:szCs w:val="21"/>
          <w:color w:val="auto"/>
        </w:rPr>
        <w:t>”). Executive agrees that he will perform all lawful duties assigned to him by the Company, and will serve with no additional compensation in any other office or position of the Company and its Affiliates (as defined below) as reasonably determined by the Board. Executive agrees that he will devote his full attention, time, and effort to the business and affairs of the Company and its Affiliates and that he makes a full commitment to the business and affairs of the Company and its Affiliates except as described in subsection 2(c) below. Executive further agrees that he will use his reasonable best efforts to promote the interests of the Company and its Affiliates. Executive shall continue to serve as a member of the Board as of the Effective Date. The Company shall nominate Executive as a director for stockholder approval at each annual meeting during the term of Executive’s employment with the Company in which his term as a director is due to expire so long as Executive remains its CEO.</w:t>
      </w:r>
    </w:p>
    <w:p>
      <w:pPr>
        <w:spacing w:after="0" w:line="186" w:lineRule="exact"/>
        <w:rPr>
          <w:rFonts w:ascii="Arial" w:cs="Arial" w:eastAsia="Arial" w:hAnsi="Arial"/>
          <w:sz w:val="21"/>
          <w:szCs w:val="21"/>
          <w:color w:val="auto"/>
        </w:rPr>
      </w:pPr>
    </w:p>
    <w:p>
      <w:pPr>
        <w:jc w:val="both"/>
        <w:ind w:firstLine="1735"/>
        <w:spacing w:after="0" w:line="236" w:lineRule="auto"/>
        <w:tabs>
          <w:tab w:leader="none" w:pos="2627" w:val="left"/>
        </w:tabs>
        <w:numPr>
          <w:ilvl w:val="1"/>
          <w:numId w:val="80"/>
        </w:numPr>
        <w:rPr>
          <w:rFonts w:ascii="Arial" w:cs="Arial" w:eastAsia="Arial" w:hAnsi="Arial"/>
          <w:sz w:val="22"/>
          <w:szCs w:val="22"/>
          <w:color w:val="auto"/>
        </w:rPr>
      </w:pPr>
      <w:r>
        <w:rPr>
          <w:rFonts w:ascii="Arial" w:cs="Arial" w:eastAsia="Arial" w:hAnsi="Arial"/>
          <w:sz w:val="22"/>
          <w:szCs w:val="22"/>
          <w:color w:val="auto"/>
        </w:rPr>
        <w:t>Executive will perform his duties diligently and competently and shall act in conformity with all Company policies, and within the limits, budgets and business plans set by the Company. Executive will at all times comply with all applicable laws pertaining to the performance of this Agreement, and strictly adhere to and obey all of the rules, regulations, policies, codes of conduct, procedures and instructions in effect from time to time relating to the conduct of executives of the Company. Except as provided in subsection 2(c) below or with the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2" w:name="page103"/>
    <w:bookmarkEnd w:id="102"/>
    <w:p>
      <w:pPr>
        <w:spacing w:after="0" w:line="250" w:lineRule="auto"/>
        <w:rPr>
          <w:sz w:val="20"/>
          <w:szCs w:val="20"/>
          <w:color w:val="auto"/>
        </w:rPr>
      </w:pPr>
      <w:r>
        <w:rPr>
          <w:rFonts w:ascii="Arial" w:cs="Arial" w:eastAsia="Arial" w:hAnsi="Arial"/>
          <w:sz w:val="22"/>
          <w:szCs w:val="22"/>
          <w:color w:val="auto"/>
        </w:rPr>
        <w:t>Board’s prior written consent, Executive shall not engage in consulting work or any trade or business for his own account or for or on behalf of any other person, firm or company during his employment with the Company.</w:t>
      </w:r>
    </w:p>
    <w:p>
      <w:pPr>
        <w:spacing w:after="0" w:line="175" w:lineRule="exact"/>
        <w:rPr>
          <w:sz w:val="20"/>
          <w:szCs w:val="20"/>
          <w:color w:val="auto"/>
        </w:rPr>
      </w:pPr>
    </w:p>
    <w:p>
      <w:pPr>
        <w:jc w:val="both"/>
        <w:ind w:firstLine="1735"/>
        <w:spacing w:after="0" w:line="246" w:lineRule="auto"/>
        <w:tabs>
          <w:tab w:leader="none" w:pos="2615" w:val="left"/>
        </w:tabs>
        <w:numPr>
          <w:ilvl w:val="1"/>
          <w:numId w:val="81"/>
        </w:numPr>
        <w:rPr>
          <w:rFonts w:ascii="Arial" w:cs="Arial" w:eastAsia="Arial" w:hAnsi="Arial"/>
          <w:sz w:val="21"/>
          <w:szCs w:val="21"/>
          <w:color w:val="auto"/>
        </w:rPr>
      </w:pPr>
      <w:r>
        <w:rPr>
          <w:rFonts w:ascii="Arial" w:cs="Arial" w:eastAsia="Arial" w:hAnsi="Arial"/>
          <w:sz w:val="21"/>
          <w:szCs w:val="21"/>
          <w:color w:val="auto"/>
        </w:rPr>
        <w:t>Executive may devote reasonable time to unpaid activities such as supervision of personal investments and activities involving professional, charitable, educational, religious, civic and similar types of activities, speaking engagements and membership on committees, provided such activities do not individually or in the aggregate interfere with the performance of his duties under this Agreement, violate the Company’s standards of conduct then in effect, or raise a conflict under the Company’s conflict of interest policies. Executive cannot serve on the board of directors of a private or publicly traded company (other than the Company’s Board) without the Board’s prior written consent. Executive shall not work for persons or companies other than the Company for compensation for his own account or for or on behalf of any other person, firm or company without the Board’s prior written consent.</w:t>
      </w:r>
    </w:p>
    <w:p>
      <w:pPr>
        <w:spacing w:after="0" w:line="173" w:lineRule="exact"/>
        <w:rPr>
          <w:rFonts w:ascii="Arial" w:cs="Arial" w:eastAsia="Arial" w:hAnsi="Arial"/>
          <w:sz w:val="21"/>
          <w:szCs w:val="21"/>
          <w:color w:val="auto"/>
        </w:rPr>
      </w:pPr>
    </w:p>
    <w:p>
      <w:pPr>
        <w:jc w:val="both"/>
        <w:ind w:firstLine="1735"/>
        <w:spacing w:after="0" w:line="239" w:lineRule="auto"/>
        <w:tabs>
          <w:tab w:leader="none" w:pos="2627" w:val="left"/>
        </w:tabs>
        <w:numPr>
          <w:ilvl w:val="1"/>
          <w:numId w:val="81"/>
        </w:numPr>
        <w:rPr>
          <w:rFonts w:ascii="Arial" w:cs="Arial" w:eastAsia="Arial" w:hAnsi="Arial"/>
          <w:sz w:val="22"/>
          <w:szCs w:val="22"/>
          <w:color w:val="auto"/>
        </w:rPr>
      </w:pPr>
      <w:r>
        <w:rPr>
          <w:rFonts w:ascii="Arial" w:cs="Arial" w:eastAsia="Arial" w:hAnsi="Arial"/>
          <w:sz w:val="22"/>
          <w:szCs w:val="22"/>
          <w:color w:val="auto"/>
        </w:rPr>
        <w:t>For purposes of this Agreement, the term “</w:t>
      </w:r>
      <w:r>
        <w:rPr>
          <w:rFonts w:ascii="Arial" w:cs="Arial" w:eastAsia="Arial" w:hAnsi="Arial"/>
          <w:sz w:val="22"/>
          <w:szCs w:val="22"/>
          <w:b w:val="1"/>
          <w:bCs w:val="1"/>
          <w:color w:val="auto"/>
        </w:rPr>
        <w:t>Affiliates</w:t>
      </w:r>
      <w:r>
        <w:rPr>
          <w:rFonts w:ascii="Arial" w:cs="Arial" w:eastAsia="Arial" w:hAnsi="Arial"/>
          <w:sz w:val="22"/>
          <w:szCs w:val="22"/>
          <w:color w:val="auto"/>
        </w:rPr>
        <w:t>” includes any corporation, company or other entity whose outstanding shares or securities are, now or hereafter, owned or controlled, directly or indirectly, by the Company and any partnership, joint venture, unincorporated association or limited liability company in which the Company has a direct or indirect ownership interest.</w:t>
      </w:r>
    </w:p>
    <w:p>
      <w:pPr>
        <w:spacing w:after="0" w:line="180" w:lineRule="exact"/>
        <w:rPr>
          <w:rFonts w:ascii="Arial" w:cs="Arial" w:eastAsia="Arial" w:hAnsi="Arial"/>
          <w:sz w:val="22"/>
          <w:szCs w:val="22"/>
          <w:color w:val="auto"/>
        </w:rPr>
      </w:pPr>
    </w:p>
    <w:p>
      <w:pPr>
        <w:jc w:val="both"/>
        <w:ind w:firstLine="872"/>
        <w:spacing w:after="0" w:line="253" w:lineRule="exact"/>
        <w:tabs>
          <w:tab w:leader="none" w:pos="1674" w:val="left"/>
        </w:tabs>
        <w:numPr>
          <w:ilvl w:val="0"/>
          <w:numId w:val="82"/>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For all services rendered by Executive and all covenants and conditions undertaken by him</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this Agreement, the Company shall pay Executive in accordance with its normal payroll practices (but not less frequently than semi</w:t>
      </w:r>
      <w:r>
        <w:rPr>
          <w:rFonts w:ascii="MS PGothic" w:cs="MS PGothic" w:eastAsia="MS PGothic" w:hAnsi="MS PGothic"/>
          <w:sz w:val="19"/>
          <w:szCs w:val="19"/>
          <w:color w:val="auto"/>
        </w:rPr>
        <w:t>‑</w:t>
      </w:r>
      <w:r>
        <w:rPr>
          <w:rFonts w:ascii="Arial" w:cs="Arial" w:eastAsia="Arial" w:hAnsi="Arial"/>
          <w:sz w:val="19"/>
          <w:szCs w:val="19"/>
          <w:color w:val="auto"/>
        </w:rPr>
        <w:t>monthly) an annual base salary of $548,653.50 (as adjusted from time to time, the “</w:t>
      </w:r>
      <w:r>
        <w:rPr>
          <w:rFonts w:ascii="Arial" w:cs="Arial" w:eastAsia="Arial" w:hAnsi="Arial"/>
          <w:sz w:val="19"/>
          <w:szCs w:val="19"/>
          <w:b w:val="1"/>
          <w:bCs w:val="1"/>
          <w:color w:val="auto"/>
        </w:rPr>
        <w:t>Base Salary</w:t>
      </w:r>
      <w:r>
        <w:rPr>
          <w:rFonts w:ascii="Arial" w:cs="Arial" w:eastAsia="Arial" w:hAnsi="Arial"/>
          <w:sz w:val="19"/>
          <w:szCs w:val="19"/>
          <w:color w:val="auto"/>
        </w:rPr>
        <w:t>”). Such Base Salary shall be reviewed annually by the Board taking into consideration all appropriate performance metrics.</w:t>
      </w:r>
    </w:p>
    <w:p>
      <w:pPr>
        <w:spacing w:after="0" w:line="179" w:lineRule="exact"/>
        <w:rPr>
          <w:rFonts w:ascii="Arial" w:cs="Arial" w:eastAsia="Arial" w:hAnsi="Arial"/>
          <w:sz w:val="19"/>
          <w:szCs w:val="19"/>
          <w:color w:val="auto"/>
        </w:rPr>
      </w:pPr>
    </w:p>
    <w:p>
      <w:pPr>
        <w:ind w:left="1680" w:hanging="808"/>
        <w:spacing w:after="0"/>
        <w:tabs>
          <w:tab w:leader="none" w:pos="1680" w:val="left"/>
        </w:tabs>
        <w:numPr>
          <w:ilvl w:val="0"/>
          <w:numId w:val="82"/>
        </w:numPr>
        <w:rPr>
          <w:rFonts w:ascii="Arial" w:cs="Arial" w:eastAsia="Arial" w:hAnsi="Arial"/>
          <w:sz w:val="22"/>
          <w:szCs w:val="22"/>
          <w:color w:val="auto"/>
        </w:rPr>
      </w:pPr>
      <w:r>
        <w:rPr>
          <w:rFonts w:ascii="Arial" w:cs="Arial" w:eastAsia="Arial" w:hAnsi="Arial"/>
          <w:sz w:val="22"/>
          <w:szCs w:val="22"/>
          <w:b w:val="1"/>
          <w:bCs w:val="1"/>
          <w:u w:val="single" w:color="auto"/>
          <w:color w:val="auto"/>
        </w:rPr>
        <w:t>Bonuses and Equity Awards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735"/>
        <w:spacing w:after="0" w:line="235" w:lineRule="auto"/>
        <w:tabs>
          <w:tab w:leader="none" w:pos="2615"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In addition to the Base Salary, Executive shall be eligible for a potential annual incentive bonus of up to fifty-five percent (55%) of the Base Salary upon the achievement, as determined by the Board and/or the Compensation Committee of the Board, during the calendar year of one hundred percent (100%) of the performance metrics that include personal and corporate goals that will be established by the Company in its sole discretion (the “</w:t>
      </w:r>
      <w:r>
        <w:rPr>
          <w:rFonts w:ascii="Arial" w:cs="Arial" w:eastAsia="Arial" w:hAnsi="Arial"/>
          <w:sz w:val="22"/>
          <w:szCs w:val="22"/>
          <w:u w:val="single" w:color="auto"/>
          <w:color w:val="auto"/>
        </w:rPr>
        <w:t>Annual Bonus</w:t>
      </w:r>
      <w:r>
        <w:rPr>
          <w:rFonts w:ascii="Arial" w:cs="Arial" w:eastAsia="Arial" w:hAnsi="Arial"/>
          <w:sz w:val="22"/>
          <w:szCs w:val="22"/>
          <w:color w:val="auto"/>
        </w:rPr>
        <w:t>”). Any Annual Bonus Executive may earn in accordance with the preceding sentence will be paid by March 15 of the year following the year in which the bonus was earned.</w:t>
      </w:r>
    </w:p>
    <w:p>
      <w:pPr>
        <w:spacing w:after="0" w:line="187" w:lineRule="exact"/>
        <w:rPr>
          <w:rFonts w:ascii="Arial" w:cs="Arial" w:eastAsia="Arial" w:hAnsi="Arial"/>
          <w:sz w:val="22"/>
          <w:szCs w:val="22"/>
          <w:color w:val="auto"/>
        </w:rPr>
      </w:pPr>
    </w:p>
    <w:p>
      <w:pPr>
        <w:jc w:val="both"/>
        <w:ind w:firstLine="1735"/>
        <w:spacing w:after="0" w:line="236" w:lineRule="auto"/>
        <w:tabs>
          <w:tab w:leader="none" w:pos="2627"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Executive was previously issued restricted stock and granted stock options. Executive shall be eligible for future equity awards in the discretion of the Board. Upon a Change in Control (as defined in Section 7(e) below), all shares of restricted stock purchased by Executive on or around November 15, 2018 shall immediately vest in full and any risk of forfeiture shall fully lapse, subject to Executive’s continued service to the Company as of immediately prior to such Change in Control.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3" w:name="page104"/>
    <w:bookmarkEnd w:id="103"/>
    <w:p>
      <w:pPr>
        <w:jc w:val="both"/>
        <w:ind w:firstLine="1735"/>
        <w:spacing w:after="0"/>
        <w:tabs>
          <w:tab w:leader="none" w:pos="2615"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Annual Review</w:t>
      </w:r>
      <w:r>
        <w:rPr>
          <w:rFonts w:ascii="Arial" w:cs="Arial" w:eastAsia="Arial" w:hAnsi="Arial"/>
          <w:sz w:val="22"/>
          <w:szCs w:val="22"/>
          <w:color w:val="auto"/>
        </w:rPr>
        <w:t>. Executive’s opportunity for future bonuses and Executive’s eligibility for additional equity awards, if any, shall be reviewed annually by the Board and/or the Compensation Committee of the Board based upon appropriate performance metrics.</w:t>
      </w:r>
    </w:p>
    <w:p>
      <w:pPr>
        <w:spacing w:after="0" w:line="180" w:lineRule="exact"/>
        <w:rPr>
          <w:rFonts w:ascii="Arial" w:cs="Arial" w:eastAsia="Arial" w:hAnsi="Arial"/>
          <w:sz w:val="22"/>
          <w:szCs w:val="22"/>
          <w:color w:val="auto"/>
        </w:rPr>
      </w:pPr>
    </w:p>
    <w:p>
      <w:pPr>
        <w:ind w:left="1680" w:hanging="808"/>
        <w:spacing w:after="0"/>
        <w:tabs>
          <w:tab w:leader="none" w:pos="1680" w:val="left"/>
        </w:tabs>
        <w:numPr>
          <w:ilvl w:val="0"/>
          <w:numId w:val="84"/>
        </w:numPr>
        <w:rPr>
          <w:rFonts w:ascii="Arial" w:cs="Arial" w:eastAsia="Arial" w:hAnsi="Arial"/>
          <w:sz w:val="22"/>
          <w:szCs w:val="22"/>
          <w:color w:val="auto"/>
        </w:rPr>
      </w:pPr>
      <w:r>
        <w:rPr>
          <w:rFonts w:ascii="Arial" w:cs="Arial" w:eastAsia="Arial" w:hAnsi="Arial"/>
          <w:sz w:val="22"/>
          <w:szCs w:val="22"/>
          <w:b w:val="1"/>
          <w:bCs w:val="1"/>
          <w:u w:val="single" w:color="auto"/>
          <w:color w:val="auto"/>
        </w:rPr>
        <w:t>Fringe Benefits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735"/>
        <w:spacing w:after="0" w:line="275" w:lineRule="auto"/>
        <w:tabs>
          <w:tab w:leader="none" w:pos="2615"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Benefit Plans</w:t>
      </w:r>
      <w:r>
        <w:rPr>
          <w:rFonts w:ascii="Arial" w:cs="Arial" w:eastAsia="Arial" w:hAnsi="Arial"/>
          <w:sz w:val="19"/>
          <w:szCs w:val="19"/>
          <w:color w:val="auto"/>
        </w:rPr>
        <w:t>. Executive will be eligible to participate on substantially the same basis as the Company’s other senior executive officers in any executive benefit plans offered by the Company including, without limitation, medical, dental, disability, life, pension, profit sharing and nonqualified deferred compensation arrangements. The Company will pay the full amount for all medical, dental, disability, and life insurance including the full amount for dependent care. To the extent any such payment is taxable to Executive, the Company shall reimburse Executive for the full amount of such taxes along with any additional tax due in connection with such reimbursement. The Company reserves the right to modify, suspend or discontinue any and all of the plans, practices, policies and programs at any time without recourse by Executive, so long as the Company takes such action generally with respect to other similarly situated senior executive officers.</w:t>
      </w:r>
    </w:p>
    <w:p>
      <w:pPr>
        <w:spacing w:after="0" w:line="157" w:lineRule="exact"/>
        <w:rPr>
          <w:rFonts w:ascii="Arial" w:cs="Arial" w:eastAsia="Arial" w:hAnsi="Arial"/>
          <w:sz w:val="19"/>
          <w:szCs w:val="19"/>
          <w:color w:val="auto"/>
        </w:rPr>
      </w:pPr>
    </w:p>
    <w:p>
      <w:pPr>
        <w:jc w:val="both"/>
        <w:ind w:firstLine="1735"/>
        <w:spacing w:after="0" w:line="249" w:lineRule="auto"/>
        <w:tabs>
          <w:tab w:leader="none" w:pos="2627"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Vacation</w:t>
      </w:r>
      <w:r>
        <w:rPr>
          <w:rFonts w:ascii="Arial" w:cs="Arial" w:eastAsia="Arial" w:hAnsi="Arial"/>
          <w:sz w:val="21"/>
          <w:szCs w:val="21"/>
          <w:color w:val="auto"/>
        </w:rPr>
        <w:t>. Executive will accrue paid vacation time at a rate of four (4) weeks per calendar year or, if greater, in accordance with the Company’s vacation policy for senior executive officers; provided that if Executive’s accrued but unused vacation time reaches eight (8) weeks, then Executive shall cease accruing paid vacation time hereunder until such time as Executive’s accrued but unused vacation time is reduced. In the event of termination for any reason, the Company shall pay Executive for all accrued but unused vacation time.</w:t>
      </w:r>
    </w:p>
    <w:p>
      <w:pPr>
        <w:spacing w:after="0" w:line="178" w:lineRule="exact"/>
        <w:rPr>
          <w:rFonts w:ascii="Arial" w:cs="Arial" w:eastAsia="Arial" w:hAnsi="Arial"/>
          <w:sz w:val="21"/>
          <w:szCs w:val="21"/>
          <w:color w:val="auto"/>
        </w:rPr>
      </w:pPr>
    </w:p>
    <w:p>
      <w:pPr>
        <w:ind w:firstLine="1735"/>
        <w:spacing w:after="0" w:line="259" w:lineRule="exact"/>
        <w:tabs>
          <w:tab w:leader="none" w:pos="2615"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Perquisites</w:t>
      </w:r>
      <w:r>
        <w:rPr>
          <w:rFonts w:ascii="Arial" w:cs="Arial" w:eastAsia="Arial" w:hAnsi="Arial"/>
          <w:sz w:val="22"/>
          <w:szCs w:val="22"/>
          <w:color w:val="auto"/>
        </w:rPr>
        <w:t>. Executive shall be entitled to substantially the same Company</w:t>
      </w:r>
      <w:r>
        <w:rPr>
          <w:rFonts w:ascii="MS PGothic" w:cs="MS PGothic" w:eastAsia="MS PGothic" w:hAnsi="MS PGothic"/>
          <w:sz w:val="22"/>
          <w:szCs w:val="22"/>
          <w:color w:val="auto"/>
        </w:rPr>
        <w:t>‑</w:t>
      </w:r>
      <w:r>
        <w:rPr>
          <w:rFonts w:ascii="Arial" w:cs="Arial" w:eastAsia="Arial" w:hAnsi="Arial"/>
          <w:sz w:val="22"/>
          <w:szCs w:val="22"/>
          <w:color w:val="auto"/>
        </w:rPr>
        <w:t>provided perquisites made generally available to other officers of the Company.</w:t>
      </w:r>
    </w:p>
    <w:p>
      <w:pPr>
        <w:spacing w:after="0" w:line="179" w:lineRule="exact"/>
        <w:rPr>
          <w:rFonts w:ascii="Arial" w:cs="Arial" w:eastAsia="Arial" w:hAnsi="Arial"/>
          <w:sz w:val="22"/>
          <w:szCs w:val="22"/>
          <w:color w:val="auto"/>
        </w:rPr>
      </w:pPr>
    </w:p>
    <w:p>
      <w:pPr>
        <w:jc w:val="both"/>
        <w:ind w:firstLine="872"/>
        <w:spacing w:after="0" w:line="280" w:lineRule="auto"/>
        <w:tabs>
          <w:tab w:leader="none" w:pos="1674" w:val="left"/>
        </w:tabs>
        <w:numPr>
          <w:ilvl w:val="0"/>
          <w:numId w:val="84"/>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color w:val="auto"/>
        </w:rPr>
        <w:t>. The Company shall reimburse Executive for all reasonable and necessary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incurred in the performance of his duties for the Company, in accordance with the Company’s policies with respect to documentation and reimbursement of such expenses. In agreeing to reimburse these expenses, the Company is not providing Executive any tax advice. To the extent any taxes are owed by Executive concerning any such expenses pursuant to applicable law, Executive agrees to pay all such taxes and to indemnify and hold harmless the Company from any claim, demand, penalty, fine, damages, costs, fees or assessment arising from a failure to pay such taxes to the maximum extent allowed by law.</w:t>
      </w:r>
    </w:p>
    <w:p>
      <w:pPr>
        <w:spacing w:after="0" w:line="144" w:lineRule="exact"/>
        <w:rPr>
          <w:rFonts w:ascii="Arial" w:cs="Arial" w:eastAsia="Arial" w:hAnsi="Arial"/>
          <w:sz w:val="19"/>
          <w:szCs w:val="19"/>
          <w:color w:val="auto"/>
        </w:rPr>
      </w:pPr>
    </w:p>
    <w:p>
      <w:pPr>
        <w:ind w:left="1680" w:hanging="808"/>
        <w:spacing w:after="0"/>
        <w:tabs>
          <w:tab w:leader="none" w:pos="1680" w:val="left"/>
        </w:tabs>
        <w:numPr>
          <w:ilvl w:val="0"/>
          <w:numId w:val="84"/>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w:t>
      </w:r>
      <w:r>
        <w:rPr>
          <w:rFonts w:ascii="Arial" w:cs="Arial" w:eastAsia="Arial" w:hAnsi="Arial"/>
          <w:sz w:val="21"/>
          <w:szCs w:val="21"/>
          <w:color w:val="auto"/>
        </w:rPr>
        <w:t>. Executive’s employment with the Company may be terminated in the following ways:</w:t>
      </w:r>
    </w:p>
    <w:p>
      <w:pPr>
        <w:spacing w:after="0" w:line="223" w:lineRule="exact"/>
        <w:rPr>
          <w:rFonts w:ascii="Arial" w:cs="Arial" w:eastAsia="Arial" w:hAnsi="Arial"/>
          <w:sz w:val="21"/>
          <w:szCs w:val="21"/>
          <w:color w:val="auto"/>
        </w:rPr>
      </w:pPr>
    </w:p>
    <w:p>
      <w:pPr>
        <w:jc w:val="both"/>
        <w:ind w:firstLine="1735"/>
        <w:spacing w:after="0" w:line="248" w:lineRule="auto"/>
        <w:tabs>
          <w:tab w:leader="none" w:pos="2615"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Voluntary Resignation</w:t>
      </w:r>
      <w:r>
        <w:rPr>
          <w:rFonts w:ascii="Arial" w:cs="Arial" w:eastAsia="Arial" w:hAnsi="Arial"/>
          <w:sz w:val="21"/>
          <w:szCs w:val="21"/>
          <w:color w:val="auto"/>
        </w:rPr>
        <w:t>. While Executive is committed to provide services to the Company according to the terms of the Agreement, in the event that Executive terminates his employment, he shall provide sixty (60) days written notice of resignation to the Company; provided, however, that the Company, in its sole discretion, may permit a shorter period of notice. If Executive voluntarily terminates his employment, then he shall have no further right to receive any payments under this Agreement, except: (i) all Base Salary accrued and unpaid as of the date of termination, payable in accordance with normal payroll practices; (ii) any Annual Bonus earned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4" w:name="page105"/>
    <w:bookmarkEnd w:id="104"/>
    <w:p>
      <w:pPr>
        <w:jc w:val="both"/>
        <w:spacing w:after="0" w:line="274" w:lineRule="auto"/>
        <w:rPr>
          <w:sz w:val="20"/>
          <w:szCs w:val="20"/>
          <w:color w:val="auto"/>
        </w:rPr>
      </w:pPr>
      <w:r>
        <w:rPr>
          <w:rFonts w:ascii="Arial" w:cs="Arial" w:eastAsia="Arial" w:hAnsi="Arial"/>
          <w:sz w:val="19"/>
          <w:szCs w:val="19"/>
          <w:color w:val="auto"/>
        </w:rPr>
        <w:t>according to Section 4(a) above, in the year prior to the year in which the termination occurs, to the extent unpaid as of the date of termination, payable at the same time it would become payable notwithstanding the termination; (iii) the prorated portion of the Annual Bonus earned according to Section 4(a) above in the year in which the termination occurs, which shall be payable at the same time it would become payable notwithstanding the termination; (iv) any unreimbursed business expenses incurred by Executive on the Company’s behalf; (v) any accrued but unused vacation; and (vi) any other amounts required to be paid under any benefit plan or program in which Executive participates or any other amounts mandated by law, payable in accordance with the terms of such plans or requirements of applicable law. For avoidance of doubt, the determination of whether any Annual Bonus shall be have been earned and payable in accordance with subsections (ii) and (iii) of this paragraph shall be made by the Board and/or the Compensation Committee of the Board, in their sole discretion and in accordance with Section 4(a).</w:t>
      </w:r>
    </w:p>
    <w:p>
      <w:pPr>
        <w:spacing w:after="0" w:line="158" w:lineRule="exact"/>
        <w:rPr>
          <w:sz w:val="20"/>
          <w:szCs w:val="20"/>
          <w:color w:val="auto"/>
        </w:rPr>
      </w:pPr>
    </w:p>
    <w:p>
      <w:pPr>
        <w:jc w:val="both"/>
        <w:ind w:firstLine="1735"/>
        <w:spacing w:after="0" w:line="269" w:lineRule="auto"/>
        <w:tabs>
          <w:tab w:leader="none" w:pos="2627"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for Cause</w:t>
      </w:r>
      <w:r>
        <w:rPr>
          <w:rFonts w:ascii="Arial" w:cs="Arial" w:eastAsia="Arial" w:hAnsi="Arial"/>
          <w:sz w:val="19"/>
          <w:szCs w:val="19"/>
          <w:color w:val="auto"/>
        </w:rPr>
        <w:t>. The Company may terminate Executive’s employment at any time for Cause (as defined below) by giving Executive written notice of such termination. In the event of termination of Executive’s employment for Cause, Executive’s rights to any additional payments under this Agreement shall be limited to those made available to Executive if he resigned as set forth in Section 7(a) above, excluding any Annual Bonus payments pursuant to 7(a)(ii) and 7(a)(iii). For purposes of this Agreement, “</w:t>
      </w:r>
      <w:r>
        <w:rPr>
          <w:rFonts w:ascii="Arial" w:cs="Arial" w:eastAsia="Arial" w:hAnsi="Arial"/>
          <w:sz w:val="19"/>
          <w:szCs w:val="19"/>
          <w:b w:val="1"/>
          <w:bCs w:val="1"/>
          <w:color w:val="auto"/>
        </w:rPr>
        <w:t>Cause</w:t>
      </w:r>
      <w:r>
        <w:rPr>
          <w:rFonts w:ascii="Arial" w:cs="Arial" w:eastAsia="Arial" w:hAnsi="Arial"/>
          <w:sz w:val="19"/>
          <w:szCs w:val="19"/>
          <w:color w:val="auto"/>
        </w:rPr>
        <w:t>” will mean Executive’s: (i) material breach of any of Executive’s representations or obligations contained in the Agreement, including Executive’s willful failure or refusal to perform the job duties and responsibilities assigned to him by the Company, which if such material breach is reasonably susceptible of cure is not cured after thirty (30) days have elapsed following the date on which the Company gives Executive written notice of such breach;</w:t>
      </w:r>
    </w:p>
    <w:p>
      <w:pPr>
        <w:spacing w:after="0" w:line="2" w:lineRule="exact"/>
        <w:rPr>
          <w:rFonts w:ascii="Arial" w:cs="Arial" w:eastAsia="Arial" w:hAnsi="Arial"/>
          <w:sz w:val="19"/>
          <w:szCs w:val="19"/>
          <w:color w:val="auto"/>
        </w:rPr>
      </w:pPr>
    </w:p>
    <w:p>
      <w:pPr>
        <w:jc w:val="both"/>
        <w:ind w:firstLine="8"/>
        <w:spacing w:after="0" w:line="245" w:lineRule="auto"/>
        <w:tabs>
          <w:tab w:leader="none" w:pos="327" w:val="left"/>
        </w:tabs>
        <w:numPr>
          <w:ilvl w:val="0"/>
          <w:numId w:val="86"/>
        </w:numPr>
        <w:rPr>
          <w:rFonts w:ascii="Arial" w:cs="Arial" w:eastAsia="Arial" w:hAnsi="Arial"/>
          <w:sz w:val="21"/>
          <w:szCs w:val="21"/>
          <w:color w:val="auto"/>
        </w:rPr>
      </w:pPr>
      <w:r>
        <w:rPr>
          <w:rFonts w:ascii="Arial" w:cs="Arial" w:eastAsia="Arial" w:hAnsi="Arial"/>
          <w:sz w:val="21"/>
          <w:szCs w:val="21"/>
          <w:color w:val="auto"/>
        </w:rPr>
        <w:t>conviction, or plea of guilty or nolo contendere, of any felony or any crime involving moral turpitude; (iii) participation in a fraud, act of dishonesty or misappropriation or similar conduct against the Company; (iv) conduct that is materially injurious to the Company or its Affiliates or subsidiaries, monetarily or otherwise; (v) improper use or disclosure of the Company’s confidential or proprietary information; or (vi) obtaining a direct or indirect personal benefit from the transfer or use of the Company’s trade secrets or intellectual property other than on the Company’s behalf.</w:t>
      </w:r>
    </w:p>
    <w:p>
      <w:pPr>
        <w:spacing w:after="0" w:line="180" w:lineRule="exact"/>
        <w:rPr>
          <w:rFonts w:ascii="Arial" w:cs="Arial" w:eastAsia="Arial" w:hAnsi="Arial"/>
          <w:sz w:val="21"/>
          <w:szCs w:val="21"/>
          <w:color w:val="auto"/>
        </w:rPr>
      </w:pPr>
    </w:p>
    <w:p>
      <w:pPr>
        <w:jc w:val="both"/>
        <w:ind w:firstLine="1735"/>
        <w:spacing w:after="0" w:line="272" w:lineRule="auto"/>
        <w:tabs>
          <w:tab w:leader="none" w:pos="2615"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Termination by Death or Disability</w:t>
      </w:r>
      <w:r>
        <w:rPr>
          <w:rFonts w:ascii="Arial" w:cs="Arial" w:eastAsia="Arial" w:hAnsi="Arial"/>
          <w:sz w:val="19"/>
          <w:szCs w:val="19"/>
          <w:color w:val="auto"/>
        </w:rPr>
        <w:t>. In the event that Executive dies or becomes Disabled (as defined below) during his employment, Executive’s employment shall terminate when such death or Disability occurs and Executive (or his legal representative, estate, or beneficiary under any applicable benefit plan in accordance with its terms, as the case may be) shall receive all amounts payable to Executive under the Company’s life and/or disability insurance plans, and any other payments determined under Section 7(a) above. In the event that Executive’s employment is terminated due to Executive’s death in accordance with the preceding sentence, the Restricted Stock shall automatically become vested, and any risk of forfeiture thereon shall immediately lapse, with respect to that number of unvested shares of Restricted Stock that would otherwise have vested and such risk of forfeiture lapsed had Executive remained employed by the Company for the twelve (12) month period following the date of such termination of employment. For purposes of this Agreement, Executive shall be deemed to be “</w:t>
      </w:r>
      <w:r>
        <w:rPr>
          <w:rFonts w:ascii="Arial" w:cs="Arial" w:eastAsia="Arial" w:hAnsi="Arial"/>
          <w:sz w:val="19"/>
          <w:szCs w:val="19"/>
          <w:b w:val="1"/>
          <w:bCs w:val="1"/>
          <w:color w:val="auto"/>
        </w:rPr>
        <w:t>Disabled</w:t>
      </w:r>
      <w:r>
        <w:rPr>
          <w:rFonts w:ascii="Arial" w:cs="Arial" w:eastAsia="Arial" w:hAnsi="Arial"/>
          <w:sz w:val="19"/>
          <w:szCs w:val="19"/>
          <w:color w:val="auto"/>
        </w:rPr>
        <w:t>” or have a “</w:t>
      </w:r>
      <w:r>
        <w:rPr>
          <w:rFonts w:ascii="Arial" w:cs="Arial" w:eastAsia="Arial" w:hAnsi="Arial"/>
          <w:sz w:val="19"/>
          <w:szCs w:val="19"/>
          <w:b w:val="1"/>
          <w:bCs w:val="1"/>
          <w:color w:val="auto"/>
        </w:rPr>
        <w:t>Disability</w:t>
      </w:r>
      <w:r>
        <w:rPr>
          <w:rFonts w:ascii="Arial" w:cs="Arial" w:eastAsia="Arial" w:hAnsi="Arial"/>
          <w:sz w:val="19"/>
          <w:szCs w:val="19"/>
          <w:color w:val="auto"/>
        </w:rPr>
        <w:t>” if, because of Executive’s physical or mental condition, he has been substantially unable to perform his duties hereunder for a cumulative period of ninety (90) days in any consecutive twelve (12) month period. Executive shall be considered to have been substantially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5" w:name="page106"/>
    <w:bookmarkEnd w:id="105"/>
    <w:p>
      <w:pPr>
        <w:jc w:val="both"/>
        <w:spacing w:after="0" w:line="246" w:lineRule="auto"/>
        <w:rPr>
          <w:sz w:val="20"/>
          <w:szCs w:val="20"/>
          <w:color w:val="auto"/>
        </w:rPr>
      </w:pPr>
      <w:r>
        <w:rPr>
          <w:rFonts w:ascii="Arial" w:cs="Arial" w:eastAsia="Arial" w:hAnsi="Arial"/>
          <w:sz w:val="21"/>
          <w:szCs w:val="21"/>
          <w:color w:val="auto"/>
        </w:rPr>
        <w:t>unable to perform his duties hereunder if he is unable to reasonably and effectively to carry out his duties as determined by the Board in its sole discretion without Executive’s participation. Executive acknowledges that the payments referred to in this Section 7(c), together with any rights or benefits under any written plan or agreement that have vested on or prior to the termination date of Executive’s employment under this Section 7(c), constitute the only payments that Executive (or his legal representative, as the case may be) shall be entitled to receive from the Company in the event of a termination of his employment for death or Disability, and the Company shall have no further liability or obligation to him (or his legal representative, as the case may be) or otherwise in respect of his employment.</w:t>
      </w:r>
    </w:p>
    <w:p>
      <w:pPr>
        <w:spacing w:after="0" w:line="184" w:lineRule="exact"/>
        <w:rPr>
          <w:sz w:val="20"/>
          <w:szCs w:val="20"/>
          <w:color w:val="auto"/>
        </w:rPr>
      </w:pPr>
    </w:p>
    <w:p>
      <w:pPr>
        <w:jc w:val="both"/>
        <w:ind w:firstLine="1735"/>
        <w:spacing w:after="0" w:line="238" w:lineRule="auto"/>
        <w:tabs>
          <w:tab w:leader="none" w:pos="2627" w:val="left"/>
        </w:tabs>
        <w:numPr>
          <w:ilvl w:val="1"/>
          <w:numId w:val="87"/>
        </w:numPr>
        <w:rPr>
          <w:rFonts w:ascii="Arial" w:cs="Arial" w:eastAsia="Arial" w:hAnsi="Arial"/>
          <w:sz w:val="22"/>
          <w:szCs w:val="22"/>
          <w:color w:val="auto"/>
        </w:rPr>
      </w:pPr>
      <w:r>
        <w:rPr>
          <w:rFonts w:ascii="Arial" w:cs="Arial" w:eastAsia="Arial" w:hAnsi="Arial"/>
          <w:sz w:val="22"/>
          <w:szCs w:val="22"/>
          <w:u w:val="single" w:color="auto"/>
          <w:color w:val="auto"/>
        </w:rPr>
        <w:t>Resignation for Good Reason or Termination Without Cause</w:t>
      </w:r>
      <w:r>
        <w:rPr>
          <w:rFonts w:ascii="Arial" w:cs="Arial" w:eastAsia="Arial" w:hAnsi="Arial"/>
          <w:sz w:val="22"/>
          <w:szCs w:val="22"/>
          <w:color w:val="auto"/>
        </w:rPr>
        <w:t>. In the event Executive resigns his employment with the Company for Good Reason (as defined below) or Executive’s employment with the Company is terminated by the Company without Cause, Executive shall be entitled to all amounts determined under Section 7(a) above, and shall be eligible to receive the following:</w:t>
      </w:r>
    </w:p>
    <w:p>
      <w:pPr>
        <w:spacing w:after="0" w:line="184" w:lineRule="exact"/>
        <w:rPr>
          <w:rFonts w:ascii="Arial" w:cs="Arial" w:eastAsia="Arial" w:hAnsi="Arial"/>
          <w:sz w:val="22"/>
          <w:szCs w:val="22"/>
          <w:color w:val="auto"/>
        </w:rPr>
      </w:pPr>
    </w:p>
    <w:p>
      <w:pPr>
        <w:jc w:val="both"/>
        <w:ind w:left="880" w:firstLine="1586"/>
        <w:spacing w:after="0" w:line="273" w:lineRule="auto"/>
        <w:tabs>
          <w:tab w:leader="none" w:pos="3326" w:val="left"/>
        </w:tabs>
        <w:numPr>
          <w:ilvl w:val="2"/>
          <w:numId w:val="87"/>
        </w:numPr>
        <w:rPr>
          <w:rFonts w:ascii="Arial" w:cs="Arial" w:eastAsia="Arial" w:hAnsi="Arial"/>
          <w:sz w:val="19"/>
          <w:szCs w:val="19"/>
          <w:color w:val="auto"/>
        </w:rPr>
      </w:pPr>
      <w:r>
        <w:rPr>
          <w:rFonts w:ascii="Arial" w:cs="Arial" w:eastAsia="Arial" w:hAnsi="Arial"/>
          <w:sz w:val="19"/>
          <w:szCs w:val="19"/>
          <w:color w:val="auto"/>
        </w:rPr>
        <w:t>Executive shall receive amount equal to the sum of (A) his Base Salary (as of the date of termination) and (B) his bonus earned under Section 4(a) above in the calendar year preceding his termination of employment occurs. For the avoidance of doubt, the determination of whether any bonus shall have been earned and payable for the calendar year preceding Executive’s termination of employment in accordance with the preceding sentence shall be made by the Board and/or Compensation Committee of the Board, in their sole discretion and in accordance with Section 4(a). This severance amount shall be paid in substantially equal installments, in accordance with the Company’s normal payroll practices, over a period of twelve (12) months following the date of termination, with such payments to commence on the first payroll date after Executive’s Release (as defined below) becomes no longer subject to revocation (with any such payments that would otherwise have been made before the Release is not subject to revocation to be made as soon as administratively practicable thereafter). Required withholdings and authorized deductions shall be taken from each of the foregoing payments before it is transferred to Executive;</w:t>
      </w:r>
    </w:p>
    <w:p>
      <w:pPr>
        <w:spacing w:after="0" w:line="155" w:lineRule="exact"/>
        <w:rPr>
          <w:rFonts w:ascii="Arial" w:cs="Arial" w:eastAsia="Arial" w:hAnsi="Arial"/>
          <w:sz w:val="19"/>
          <w:szCs w:val="19"/>
          <w:color w:val="auto"/>
        </w:rPr>
      </w:pPr>
    </w:p>
    <w:p>
      <w:pPr>
        <w:jc w:val="both"/>
        <w:ind w:left="880" w:firstLine="1586"/>
        <w:spacing w:after="0" w:line="269" w:lineRule="auto"/>
        <w:tabs>
          <w:tab w:leader="none" w:pos="3386" w:val="left"/>
        </w:tabs>
        <w:numPr>
          <w:ilvl w:val="2"/>
          <w:numId w:val="87"/>
        </w:numPr>
        <w:rPr>
          <w:rFonts w:ascii="Arial" w:cs="Arial" w:eastAsia="Arial" w:hAnsi="Arial"/>
          <w:sz w:val="19"/>
          <w:szCs w:val="19"/>
          <w:color w:val="auto"/>
        </w:rPr>
      </w:pPr>
      <w:r>
        <w:rPr>
          <w:rFonts w:ascii="Arial" w:cs="Arial" w:eastAsia="Arial" w:hAnsi="Arial"/>
          <w:sz w:val="19"/>
          <w:szCs w:val="19"/>
          <w:color w:val="auto"/>
        </w:rPr>
        <w:t>During the period commencing on the date of Executive’s termination of employment and ending on the first anniversary of the date of Executive’s termination of employment or, if earlier, the date on which Executive becomes eligible for comparable replacement coverage under a subsequent employer’s group health plan (in any case, the “</w:t>
      </w:r>
      <w:r>
        <w:rPr>
          <w:rFonts w:ascii="Arial" w:cs="Arial" w:eastAsia="Arial" w:hAnsi="Arial"/>
          <w:sz w:val="19"/>
          <w:szCs w:val="19"/>
          <w:b w:val="1"/>
          <w:bCs w:val="1"/>
          <w:color w:val="auto"/>
        </w:rPr>
        <w:t>COBRA Period</w:t>
      </w:r>
      <w:r>
        <w:rPr>
          <w:rFonts w:ascii="Arial" w:cs="Arial" w:eastAsia="Arial" w:hAnsi="Arial"/>
          <w:sz w:val="19"/>
          <w:szCs w:val="19"/>
          <w:color w:val="auto"/>
        </w:rPr>
        <w:t>”), subject to Executive’s valid election to continue healthcare coverage under Section 4980B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the regulation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Executive terminates employment; provided, however, that if</w:t>
      </w:r>
    </w:p>
    <w:p>
      <w:pPr>
        <w:spacing w:after="0" w:line="2" w:lineRule="exact"/>
        <w:rPr>
          <w:rFonts w:ascii="Arial" w:cs="Arial" w:eastAsia="Arial" w:hAnsi="Arial"/>
          <w:sz w:val="19"/>
          <w:szCs w:val="19"/>
          <w:color w:val="auto"/>
        </w:rPr>
      </w:pPr>
    </w:p>
    <w:p>
      <w:pPr>
        <w:jc w:val="both"/>
        <w:ind w:left="880" w:hanging="8"/>
        <w:spacing w:after="0" w:line="266" w:lineRule="auto"/>
        <w:tabs>
          <w:tab w:leader="none" w:pos="1203"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any plan pursuant to which such benefits are provided is not, or ceases prior to the expiration of the continuation coverage period to be, exempt from the application of Section 409A under Treasury Regulation Section 1.409A-1(a)</w:t>
      </w:r>
    </w:p>
    <w:p>
      <w:pPr>
        <w:spacing w:after="0" w:line="1" w:lineRule="exact"/>
        <w:rPr>
          <w:rFonts w:ascii="Arial" w:cs="Arial" w:eastAsia="Arial" w:hAnsi="Arial"/>
          <w:sz w:val="19"/>
          <w:szCs w:val="19"/>
          <w:color w:val="auto"/>
        </w:rPr>
      </w:pPr>
    </w:p>
    <w:p>
      <w:pPr>
        <w:ind w:left="880"/>
        <w:spacing w:after="0" w:line="236" w:lineRule="auto"/>
        <w:rPr>
          <w:rFonts w:ascii="Arial" w:cs="Arial" w:eastAsia="Arial" w:hAnsi="Arial"/>
          <w:sz w:val="19"/>
          <w:szCs w:val="19"/>
          <w:color w:val="auto"/>
        </w:rPr>
      </w:pPr>
      <w:r>
        <w:rPr>
          <w:rFonts w:ascii="Arial" w:cs="Arial" w:eastAsia="Arial" w:hAnsi="Arial"/>
          <w:sz w:val="22"/>
          <w:szCs w:val="22"/>
          <w:color w:val="auto"/>
        </w:rPr>
        <w:t>(5), (2) the Company is otherwise unable to continue to cover Executive or Executive’s dependents under its group health plans, or (3)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6" w:name="page107"/>
    <w:bookmarkEnd w:id="106"/>
    <w:p>
      <w:pPr>
        <w:jc w:val="both"/>
        <w:ind w:left="880"/>
        <w:spacing w:after="0" w:line="238" w:lineRule="auto"/>
        <w:rPr>
          <w:sz w:val="20"/>
          <w:szCs w:val="20"/>
          <w:color w:val="auto"/>
        </w:rPr>
      </w:pPr>
      <w:r>
        <w:rPr>
          <w:rFonts w:ascii="Arial" w:cs="Arial" w:eastAsia="Arial" w:hAnsi="Arial"/>
          <w:sz w:val="22"/>
          <w:szCs w:val="22"/>
          <w:color w:val="auto"/>
        </w:rPr>
        <w:t>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COBRA Period (or remaining portion thereof); and</w:t>
      </w:r>
    </w:p>
    <w:p>
      <w:pPr>
        <w:spacing w:after="0" w:line="185" w:lineRule="exact"/>
        <w:rPr>
          <w:sz w:val="20"/>
          <w:szCs w:val="20"/>
          <w:color w:val="auto"/>
        </w:rPr>
      </w:pPr>
    </w:p>
    <w:p>
      <w:pPr>
        <w:jc w:val="both"/>
        <w:ind w:left="880" w:firstLine="1586"/>
        <w:spacing w:after="0" w:line="275" w:lineRule="auto"/>
        <w:tabs>
          <w:tab w:leader="none" w:pos="3446" w:val="left"/>
        </w:tabs>
        <w:numPr>
          <w:ilvl w:val="0"/>
          <w:numId w:val="89"/>
        </w:numPr>
        <w:rPr>
          <w:rFonts w:ascii="Arial" w:cs="Arial" w:eastAsia="Arial" w:hAnsi="Arial"/>
          <w:sz w:val="19"/>
          <w:szCs w:val="19"/>
          <w:color w:val="auto"/>
        </w:rPr>
      </w:pPr>
      <w:r>
        <w:rPr>
          <w:rFonts w:ascii="Arial" w:cs="Arial" w:eastAsia="Arial" w:hAnsi="Arial"/>
          <w:sz w:val="19"/>
          <w:szCs w:val="19"/>
          <w:color w:val="auto"/>
        </w:rPr>
        <w:t>Each outstanding and unvested equity award (excluding any such awards that vest in whole or in part based on the attainment of performance-vesting conditions) held by Executive shall automatically become vested and, if applicable, exercisable and any forfeiture restrictions or rights of repurchase thereon shall immediately lapse as of immediately prior to the date of termination, in each case, with respect to the number of shares that would have become vested and, if applicable, exercisable during the twelve (12)-month period following the date of termination had Executive’s employment continued during such period, and each option held by Executive to purchase the Company’s common stock that is vested as of the date of termination (after giving effect to any applicable accelerated vesting) will remain exercisable until the earlier of the twelve (12)-month anniversary of the date of termination or the original expiration date of the option.</w:t>
      </w:r>
    </w:p>
    <w:p>
      <w:pPr>
        <w:spacing w:after="0" w:line="40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payments and benefits described in subsections (i), (ii) and (iii) of this Section 7(d) shall be subject to and in consideration of Executive’s execution and delivery (and any revocation period having expired) of a general release of all claims against the Company in a form acceptable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within sixty (60) days following Executive’s termination of employment. For the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shall mean the continuance of any of the following events without Executive’s written consent: (i) any material breach of the terms of this Agreement by the Company; (ii) any material restriction or diminution in Executive’s responsibilities; (iii) introduction of a requirement that Executive report to a Company officer or employee instead of directly to the Board; (iv) any change in the location of Executive’s principal place of employment that increases Executive’s one-way commute in excess of fifty (50) miles from Executive’s principal place of employment prior to such change; (v) any material failure by the Company to pay Executive’s Base Salary, bonuses that Executive has earned, or benefits that Executive is entitled to receive under this Agreement, or any material reduction by the Company of Executive’s Base Salary under this Agreement, provided, however, that if the Company institutes a Company-wide reduction in salaries, bonuses and benefits for other executive management team members, such reduction shall not be deemed “material” for this subsection (d). Notwithstanding the foregoing, Executive’s resignation shall not constitute a resignation for “Good Reason” unless (X) Executive provides advance written notice of such resignation to the Company within sixty (60) days of the initial occurrence of the event or action giving rise to Good Reason, (Y) such written notice specifies that Executive’s resignation is effective not less than thirty (30) days, nor more than sixty (60) days, after the date of the written notice, and (Z) the Company fails to remedy the basis for Good Reason prior to the date of resignation specified in the written notice.</w:t>
      </w:r>
    </w:p>
    <w:p>
      <w:pPr>
        <w:spacing w:after="0" w:line="168" w:lineRule="exact"/>
        <w:rPr>
          <w:sz w:val="20"/>
          <w:szCs w:val="20"/>
          <w:color w:val="auto"/>
        </w:rPr>
      </w:pPr>
    </w:p>
    <w:p>
      <w:pPr>
        <w:jc w:val="both"/>
        <w:ind w:firstLine="1735"/>
        <w:spacing w:after="0" w:line="297" w:lineRule="auto"/>
        <w:tabs>
          <w:tab w:leader="none" w:pos="2615"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Termination as a Result of Change in Control</w:t>
      </w:r>
      <w:r>
        <w:rPr>
          <w:rFonts w:ascii="Arial" w:cs="Arial" w:eastAsia="Arial" w:hAnsi="Arial"/>
          <w:sz w:val="19"/>
          <w:szCs w:val="19"/>
          <w:color w:val="auto"/>
        </w:rPr>
        <w:t>. In the event Executive resigns his employment with the Company for Good Reason or Executive’s employment with the Company is terminated by the Company without Cause, in each case, during the period commencing three months prior to the consummation of a Change in Control and ending on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auto"/>
        </w:rPr>
        <w:t>twelve (12) month anniversary of such Change in Control, then in addition to any other payments determined under Section 7(a)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above and in lieu of any amount otherwise payable under Section 7(d), Executive shall be eligible to receive the following:</w:t>
      </w:r>
    </w:p>
    <w:p>
      <w:pPr>
        <w:spacing w:after="0" w:line="223" w:lineRule="exact"/>
        <w:rPr>
          <w:sz w:val="20"/>
          <w:szCs w:val="20"/>
          <w:color w:val="auto"/>
        </w:rPr>
      </w:pPr>
    </w:p>
    <w:p>
      <w:pPr>
        <w:jc w:val="both"/>
        <w:ind w:left="880" w:firstLine="1586"/>
        <w:spacing w:after="0" w:line="238" w:lineRule="auto"/>
        <w:tabs>
          <w:tab w:leader="none" w:pos="3326" w:val="left"/>
        </w:tabs>
        <w:numPr>
          <w:ilvl w:val="0"/>
          <w:numId w:val="91"/>
        </w:numPr>
        <w:rPr>
          <w:rFonts w:ascii="Arial" w:cs="Arial" w:eastAsia="Arial" w:hAnsi="Arial"/>
          <w:sz w:val="22"/>
          <w:szCs w:val="22"/>
          <w:color w:val="auto"/>
        </w:rPr>
      </w:pPr>
      <w:r>
        <w:rPr>
          <w:rFonts w:ascii="Arial" w:cs="Arial" w:eastAsia="Arial" w:hAnsi="Arial"/>
          <w:sz w:val="22"/>
          <w:szCs w:val="22"/>
          <w:color w:val="auto"/>
        </w:rPr>
        <w:t>Executive shall receive an amount equal to one and one-half (1.5) times the sum of (A) his Base Salary (as of the date of termination) and (B) his target Annual Bonus (as of the date of termination), payable in a cash lump sum, less applicable withholdings, on the first payroll date following the date Executive’s Release becomes no longer subject to revocation;</w:t>
      </w:r>
    </w:p>
    <w:p>
      <w:pPr>
        <w:spacing w:after="0" w:line="184" w:lineRule="exact"/>
        <w:rPr>
          <w:rFonts w:ascii="Arial" w:cs="Arial" w:eastAsia="Arial" w:hAnsi="Arial"/>
          <w:sz w:val="22"/>
          <w:szCs w:val="22"/>
          <w:color w:val="auto"/>
        </w:rPr>
      </w:pPr>
    </w:p>
    <w:p>
      <w:pPr>
        <w:jc w:val="both"/>
        <w:ind w:left="880" w:firstLine="1586"/>
        <w:spacing w:after="0" w:line="271" w:lineRule="auto"/>
        <w:tabs>
          <w:tab w:leader="none" w:pos="3386" w:val="left"/>
        </w:tabs>
        <w:numPr>
          <w:ilvl w:val="0"/>
          <w:numId w:val="91"/>
        </w:numPr>
        <w:rPr>
          <w:rFonts w:ascii="Arial" w:cs="Arial" w:eastAsia="Arial" w:hAnsi="Arial"/>
          <w:sz w:val="19"/>
          <w:szCs w:val="19"/>
          <w:color w:val="auto"/>
        </w:rPr>
      </w:pPr>
      <w:r>
        <w:rPr>
          <w:rFonts w:ascii="Arial" w:cs="Arial" w:eastAsia="Arial" w:hAnsi="Arial"/>
          <w:sz w:val="19"/>
          <w:szCs w:val="19"/>
          <w:color w:val="auto"/>
        </w:rPr>
        <w:t>During the period commencing on the date of Executive’s termination of employment and ending on the 18-month anniversary of the date of Executive’s termination of employment or, if earlier, the date on which Executive becomes eligible for comparable replacement coverage under a subsequent employer’s group health plan (in any case, the “</w:t>
      </w:r>
      <w:r>
        <w:rPr>
          <w:rFonts w:ascii="Arial" w:cs="Arial" w:eastAsia="Arial" w:hAnsi="Arial"/>
          <w:sz w:val="19"/>
          <w:szCs w:val="19"/>
          <w:b w:val="1"/>
          <w:bCs w:val="1"/>
          <w:color w:val="auto"/>
        </w:rPr>
        <w:t>CIC COBRA Period</w:t>
      </w:r>
      <w:r>
        <w:rPr>
          <w:rFonts w:ascii="Arial" w:cs="Arial" w:eastAsia="Arial" w:hAnsi="Arial"/>
          <w:sz w:val="19"/>
          <w:szCs w:val="19"/>
          <w:color w:val="auto"/>
        </w:rPr>
        <w:t>”), subject to Executive’s valid election to continue healthcare coverage under Section 4980B of the Code and the regulation thereunder, the Company shall, in its sole discretion, either (A) continue to provide to Executive and Executive’s dependents, at the Company’s sole expense, or (B) reimburse Executive and Executive’s dependents for coverage under its group health plan (if any) at the same levels in effect on the date Executive terminates employment; provided, however,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 and</w:t>
      </w:r>
    </w:p>
    <w:p>
      <w:pPr>
        <w:spacing w:after="0" w:line="164" w:lineRule="exact"/>
        <w:rPr>
          <w:rFonts w:ascii="Arial" w:cs="Arial" w:eastAsia="Arial" w:hAnsi="Arial"/>
          <w:sz w:val="19"/>
          <w:szCs w:val="19"/>
          <w:color w:val="auto"/>
        </w:rPr>
      </w:pPr>
    </w:p>
    <w:p>
      <w:pPr>
        <w:jc w:val="both"/>
        <w:ind w:left="880" w:firstLine="1586"/>
        <w:spacing w:after="0" w:line="275" w:lineRule="auto"/>
        <w:tabs>
          <w:tab w:leader="none" w:pos="3446" w:val="left"/>
        </w:tabs>
        <w:numPr>
          <w:ilvl w:val="0"/>
          <w:numId w:val="91"/>
        </w:numPr>
        <w:rPr>
          <w:rFonts w:ascii="Arial" w:cs="Arial" w:eastAsia="Arial" w:hAnsi="Arial"/>
          <w:sz w:val="19"/>
          <w:szCs w:val="19"/>
          <w:color w:val="auto"/>
        </w:rPr>
      </w:pPr>
      <w:r>
        <w:rPr>
          <w:rFonts w:ascii="Arial" w:cs="Arial" w:eastAsia="Arial" w:hAnsi="Arial"/>
          <w:sz w:val="19"/>
          <w:szCs w:val="19"/>
          <w:color w:val="auto"/>
        </w:rPr>
        <w:t>Each outstanding and unvested equity award held by Executive shall automatically become vested and, if applicable, exercisable and any forfeiture restrictions or rights of repurchase thereon shall immediately lapse with respect to one hundred percent (100%) of the shares subject thereto, as of immediately prior to the date of termination, and each option held by Executive to purchase the Company’s common stock will remain exercisable until the earlier of the twelve (12)-month anniversary of the date of termination or the original expiration of the option. Unless otherwise set forth in an applicable award agreement, for purposes of this Section 4(e), each award subject to performance-based vesting will be deemed earned at the greater of (i) target or (ii) actual achievement measured as of the termination date (to the extent then measurable).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payments and benefits described in subsections (i), (ii) and (iii) of this Section 7(e) shall be subject to and in consideration of Executive’s execution and delivery (and any revocation period having expired) of a Release within sixty (60) days following termination. In no event shall Executive be entitled to receive payments under Section 7(d) and under this Section 7(e) at the same time. For the purposes of this Agreement, “</w:t>
      </w:r>
      <w:r>
        <w:rPr>
          <w:rFonts w:ascii="Arial" w:cs="Arial" w:eastAsia="Arial" w:hAnsi="Arial"/>
          <w:sz w:val="22"/>
          <w:szCs w:val="22"/>
          <w:b w:val="1"/>
          <w:bCs w:val="1"/>
          <w:color w:val="auto"/>
        </w:rPr>
        <w:t>Change in Control</w:t>
      </w:r>
      <w:r>
        <w:rPr>
          <w:rFonts w:ascii="Arial" w:cs="Arial" w:eastAsia="Arial" w:hAnsi="Arial"/>
          <w:sz w:val="22"/>
          <w:szCs w:val="22"/>
          <w:color w:val="auto"/>
        </w:rPr>
        <w:t>” shall have the meaning ascribed to such term under the Company’s 2020 Incentive Award Plan; provided, that such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transaction must also constitute a “change in control event” within the meaning of Treasury Regulation Section 1.409A-3(i)(5).</w:t>
      </w:r>
    </w:p>
    <w:p>
      <w:pPr>
        <w:spacing w:after="0" w:line="235" w:lineRule="exact"/>
        <w:rPr>
          <w:sz w:val="20"/>
          <w:szCs w:val="20"/>
          <w:color w:val="auto"/>
        </w:rPr>
      </w:pPr>
    </w:p>
    <w:p>
      <w:pPr>
        <w:jc w:val="both"/>
        <w:ind w:firstLine="872"/>
        <w:spacing w:after="0" w:line="250" w:lineRule="exact"/>
        <w:tabs>
          <w:tab w:leader="none" w:pos="1674" w:val="left"/>
        </w:tabs>
        <w:numPr>
          <w:ilvl w:val="0"/>
          <w:numId w:val="92"/>
        </w:numPr>
        <w:rPr>
          <w:rFonts w:ascii="Arial" w:cs="Arial" w:eastAsia="Arial" w:hAnsi="Arial"/>
          <w:sz w:val="22"/>
          <w:szCs w:val="22"/>
          <w:color w:val="auto"/>
        </w:rPr>
      </w:pPr>
      <w:r>
        <w:rPr>
          <w:rFonts w:ascii="Arial" w:cs="Arial" w:eastAsia="Arial" w:hAnsi="Arial"/>
          <w:sz w:val="22"/>
          <w:szCs w:val="22"/>
          <w:b w:val="1"/>
          <w:bCs w:val="1"/>
          <w:u w:val="single" w:color="auto"/>
          <w:color w:val="auto"/>
        </w:rPr>
        <w:t>Proprietary Information</w:t>
      </w:r>
      <w:r>
        <w:rPr>
          <w:rFonts w:ascii="Arial" w:cs="Arial" w:eastAsia="Arial" w:hAnsi="Arial"/>
          <w:sz w:val="22"/>
          <w:szCs w:val="22"/>
          <w:color w:val="auto"/>
        </w:rPr>
        <w:t>. The Parties have executed the Company’s standard agreement with regard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protection of the Company’s proprietary information, which shall be defined in such agreement, but may include, without limitation (a) certain intellectual property conceived, developed, or reduced to practice by Executive during his employment, (b) confidential information communicated to or by Executive during the Employment Term and (c) non</w:t>
      </w:r>
      <w:r>
        <w:rPr>
          <w:rFonts w:ascii="MS PGothic" w:cs="MS PGothic" w:eastAsia="MS PGothic" w:hAnsi="MS PGothic"/>
          <w:sz w:val="22"/>
          <w:szCs w:val="22"/>
          <w:color w:val="auto"/>
        </w:rPr>
        <w:t>‑</w:t>
      </w:r>
      <w:r>
        <w:rPr>
          <w:rFonts w:ascii="Arial" w:cs="Arial" w:eastAsia="Arial" w:hAnsi="Arial"/>
          <w:sz w:val="22"/>
          <w:szCs w:val="22"/>
          <w:color w:val="auto"/>
        </w:rPr>
        <w:t>solicitation of the Company’s employees.</w:t>
      </w:r>
    </w:p>
    <w:p>
      <w:pPr>
        <w:spacing w:after="0" w:line="181" w:lineRule="exact"/>
        <w:rPr>
          <w:rFonts w:ascii="Arial" w:cs="Arial" w:eastAsia="Arial" w:hAnsi="Arial"/>
          <w:sz w:val="22"/>
          <w:szCs w:val="22"/>
          <w:color w:val="auto"/>
        </w:rPr>
      </w:pPr>
    </w:p>
    <w:p>
      <w:pPr>
        <w:jc w:val="both"/>
        <w:ind w:firstLine="872"/>
        <w:spacing w:after="0" w:line="249" w:lineRule="auto"/>
        <w:tabs>
          <w:tab w:leader="none" w:pos="1674" w:val="left"/>
        </w:tabs>
        <w:numPr>
          <w:ilvl w:val="0"/>
          <w:numId w:val="92"/>
        </w:numPr>
        <w:rPr>
          <w:rFonts w:ascii="Arial" w:cs="Arial" w:eastAsia="Arial" w:hAnsi="Arial"/>
          <w:sz w:val="21"/>
          <w:szCs w:val="21"/>
          <w:color w:val="auto"/>
        </w:rPr>
      </w:pPr>
      <w:r>
        <w:rPr>
          <w:rFonts w:ascii="Arial" w:cs="Arial" w:eastAsia="Arial" w:hAnsi="Arial"/>
          <w:sz w:val="21"/>
          <w:szCs w:val="21"/>
          <w:b w:val="1"/>
          <w:bCs w:val="1"/>
          <w:u w:val="single" w:color="auto"/>
          <w:color w:val="auto"/>
        </w:rPr>
        <w:t>Indemnification and Insurance</w:t>
      </w:r>
      <w:r>
        <w:rPr>
          <w:rFonts w:ascii="Arial" w:cs="Arial" w:eastAsia="Arial" w:hAnsi="Arial"/>
          <w:sz w:val="21"/>
          <w:szCs w:val="21"/>
          <w:color w:val="auto"/>
        </w:rPr>
        <w:t>. During Executive’s employment, the Company shall maintain Executive as</w:t>
      </w:r>
      <w:r>
        <w:rPr>
          <w:rFonts w:ascii="Arial" w:cs="Arial" w:eastAsia="Arial" w:hAnsi="Arial"/>
          <w:sz w:val="21"/>
          <w:szCs w:val="21"/>
          <w:b w:val="1"/>
          <w:bCs w:val="1"/>
          <w:color w:val="auto"/>
        </w:rPr>
        <w:t xml:space="preserve"> </w:t>
      </w:r>
      <w:r>
        <w:rPr>
          <w:rFonts w:ascii="Arial" w:cs="Arial" w:eastAsia="Arial" w:hAnsi="Arial"/>
          <w:sz w:val="21"/>
          <w:szCs w:val="21"/>
          <w:color w:val="auto"/>
        </w:rPr>
        <w:t>an insured party on all insurance maintained by the Company for the benefit of its directors and officers on at least the same basis as all other covered individuals and provide Executive with indemnification to the fullest extent permitted and/or required by law. The Company shall obtain and retain directors and officers and employment practices insurance reasonably appropriate for the Company’s business activities and ensure that Executive is a covered beneficiary while employed by the Company and for a period of five (5) years after termination.</w:t>
      </w:r>
    </w:p>
    <w:p>
      <w:pPr>
        <w:spacing w:after="0" w:line="170" w:lineRule="exact"/>
        <w:rPr>
          <w:rFonts w:ascii="Arial" w:cs="Arial" w:eastAsia="Arial" w:hAnsi="Arial"/>
          <w:sz w:val="21"/>
          <w:szCs w:val="21"/>
          <w:color w:val="auto"/>
        </w:rPr>
      </w:pPr>
    </w:p>
    <w:p>
      <w:pPr>
        <w:jc w:val="both"/>
        <w:ind w:firstLine="872"/>
        <w:spacing w:after="0" w:line="278" w:lineRule="auto"/>
        <w:tabs>
          <w:tab w:leader="none" w:pos="1782" w:val="left"/>
        </w:tabs>
        <w:numPr>
          <w:ilvl w:val="0"/>
          <w:numId w:val="92"/>
        </w:numPr>
        <w:rPr>
          <w:rFonts w:ascii="Arial" w:cs="Arial" w:eastAsia="Arial" w:hAnsi="Arial"/>
          <w:sz w:val="19"/>
          <w:szCs w:val="19"/>
          <w:color w:val="auto"/>
        </w:rPr>
      </w:pPr>
      <w:r>
        <w:rPr>
          <w:rFonts w:ascii="Arial" w:cs="Arial" w:eastAsia="Arial" w:hAnsi="Arial"/>
          <w:sz w:val="19"/>
          <w:szCs w:val="19"/>
          <w:b w:val="1"/>
          <w:bCs w:val="1"/>
          <w:u w:val="single" w:color="auto"/>
          <w:color w:val="auto"/>
        </w:rPr>
        <w:t>No Conflicting Agreements</w:t>
      </w:r>
      <w:r>
        <w:rPr>
          <w:rFonts w:ascii="Arial" w:cs="Arial" w:eastAsia="Arial" w:hAnsi="Arial"/>
          <w:sz w:val="19"/>
          <w:szCs w:val="19"/>
          <w:color w:val="auto"/>
        </w:rPr>
        <w:t>. Executive hereby represents and warrants to the Company that he is not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or subject to any restrictive covenants, legal restrictions or other agreements in favor of any entity or person that would in any way preclude, inhibit, impair or limit Executive’s ability to perform his obligations under this Agreement, and that his execution of this Agreement and the performance of his obligations hereunder will not breach or be in conflict with any other agreements to which he may be a party, in each case including but not limited to employment agreements, confidentiality agreements, noncompetition agreements, and nonsolicitation agreements. Executive agrees that he will not use for the benefit of the Company any proprietary information of a third party without such third party’s prior written consent.</w:t>
      </w:r>
    </w:p>
    <w:p>
      <w:pPr>
        <w:spacing w:after="0" w:line="145" w:lineRule="exact"/>
        <w:rPr>
          <w:rFonts w:ascii="Arial" w:cs="Arial" w:eastAsia="Arial" w:hAnsi="Arial"/>
          <w:sz w:val="19"/>
          <w:szCs w:val="19"/>
          <w:color w:val="auto"/>
        </w:rPr>
      </w:pPr>
    </w:p>
    <w:p>
      <w:pPr>
        <w:ind w:firstLine="872"/>
        <w:spacing w:after="0" w:line="334" w:lineRule="auto"/>
        <w:tabs>
          <w:tab w:leader="none" w:pos="1774" w:val="left"/>
        </w:tabs>
        <w:numPr>
          <w:ilvl w:val="0"/>
          <w:numId w:val="92"/>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Effect; Assignment</w:t>
      </w:r>
      <w:r>
        <w:rPr>
          <w:rFonts w:ascii="Arial" w:cs="Arial" w:eastAsia="Arial" w:hAnsi="Arial"/>
          <w:sz w:val="19"/>
          <w:szCs w:val="19"/>
          <w:color w:val="auto"/>
        </w:rPr>
        <w:t>. This Agreement shall be binding upon Executive, his heirs and his personal</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and may be assigned by the Company in its sole discretion to its Affiliates, successors and assigns.</w:t>
      </w:r>
    </w:p>
    <w:p>
      <w:pPr>
        <w:spacing w:after="0" w:line="93" w:lineRule="exact"/>
        <w:rPr>
          <w:rFonts w:ascii="Arial" w:cs="Arial" w:eastAsia="Arial" w:hAnsi="Arial"/>
          <w:sz w:val="19"/>
          <w:szCs w:val="19"/>
          <w:color w:val="auto"/>
        </w:rPr>
      </w:pPr>
    </w:p>
    <w:p>
      <w:pPr>
        <w:ind w:left="1780" w:hanging="908"/>
        <w:spacing w:after="0"/>
        <w:tabs>
          <w:tab w:leader="none" w:pos="1780" w:val="left"/>
        </w:tabs>
        <w:numPr>
          <w:ilvl w:val="0"/>
          <w:numId w:val="92"/>
        </w:numPr>
        <w:rPr>
          <w:rFonts w:ascii="Arial" w:cs="Arial" w:eastAsia="Arial" w:hAnsi="Arial"/>
          <w:sz w:val="22"/>
          <w:szCs w:val="22"/>
          <w:color w:val="auto"/>
        </w:rPr>
      </w:pPr>
      <w:r>
        <w:rPr>
          <w:rFonts w:ascii="Arial" w:cs="Arial" w:eastAsia="Arial" w:hAnsi="Arial"/>
          <w:sz w:val="22"/>
          <w:szCs w:val="22"/>
          <w:b w:val="1"/>
          <w:bCs w:val="1"/>
          <w:u w:val="single" w:color="auto"/>
          <w:color w:val="auto"/>
        </w:rPr>
        <w:t>Golden Parachute Excise Tax</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735"/>
        <w:spacing w:after="0" w:line="245" w:lineRule="auto"/>
        <w:tabs>
          <w:tab w:leader="none" w:pos="2615"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Best Pay</w:t>
      </w:r>
      <w:r>
        <w:rPr>
          <w:rFonts w:ascii="Arial" w:cs="Arial" w:eastAsia="Arial" w:hAnsi="Arial"/>
          <w:sz w:val="21"/>
          <w:szCs w:val="21"/>
          <w:color w:val="auto"/>
        </w:rPr>
        <w:t>. Any provision of this Agreement to the contrary notwithstanding, if any payment or benefit Executive would receive from the Company pursuant to this Agreement or otherwise (“</w:t>
      </w:r>
      <w:r>
        <w:rPr>
          <w:rFonts w:ascii="Arial" w:cs="Arial" w:eastAsia="Arial" w:hAnsi="Arial"/>
          <w:sz w:val="21"/>
          <w:szCs w:val="21"/>
          <w:b w:val="1"/>
          <w:bCs w:val="1"/>
          <w:color w:val="auto"/>
        </w:rPr>
        <w:t>Payment</w:t>
      </w:r>
      <w:r>
        <w:rPr>
          <w:rFonts w:ascii="Arial" w:cs="Arial" w:eastAsia="Arial" w:hAnsi="Arial"/>
          <w:sz w:val="21"/>
          <w:szCs w:val="21"/>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21"/>
          <w:szCs w:val="21"/>
          <w:b w:val="1"/>
          <w:bCs w:val="1"/>
          <w:color w:val="auto"/>
        </w:rPr>
        <w:t>Excise Tax</w:t>
      </w:r>
      <w:r>
        <w:rPr>
          <w:rFonts w:ascii="Arial" w:cs="Arial" w:eastAsia="Arial" w:hAnsi="Arial"/>
          <w:sz w:val="21"/>
          <w:szCs w:val="21"/>
          <w:color w:val="auto"/>
        </w:rPr>
        <w:t>”), then such Payment will be equal to the Reduced Amount (as defined below). The “</w:t>
      </w:r>
      <w:r>
        <w:rPr>
          <w:rFonts w:ascii="Arial" w:cs="Arial" w:eastAsia="Arial" w:hAnsi="Arial"/>
          <w:sz w:val="21"/>
          <w:szCs w:val="21"/>
          <w:b w:val="1"/>
          <w:bCs w:val="1"/>
          <w:color w:val="auto"/>
        </w:rPr>
        <w:t>Reduced Amount</w:t>
      </w:r>
      <w:r>
        <w:rPr>
          <w:rFonts w:ascii="Arial" w:cs="Arial" w:eastAsia="Arial" w:hAnsi="Arial"/>
          <w:sz w:val="21"/>
          <w:szCs w:val="21"/>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results in Executive’ s receipt, on an after-tax basis, of the greater economic benefit notwithstanding that all or some portion of the Payment may be subject to the Excise Tax. If a reduction in a Payment is required pursuant to the preceding sentence and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9" w:name="page110"/>
    <w:bookmarkEnd w:id="109"/>
    <w:p>
      <w:pPr>
        <w:jc w:val="both"/>
        <w:spacing w:after="0" w:line="272" w:lineRule="auto"/>
        <w:rPr>
          <w:sz w:val="20"/>
          <w:szCs w:val="20"/>
          <w:color w:val="auto"/>
        </w:rPr>
      </w:pPr>
      <w:r>
        <w:rPr>
          <w:rFonts w:ascii="Arial" w:cs="Arial" w:eastAsia="Arial" w:hAnsi="Arial"/>
          <w:sz w:val="19"/>
          <w:szCs w:val="19"/>
          <w:color w:val="auto"/>
        </w:rPr>
        <w:t>Reduced Amount is determined pursuant to clause (A) of the preceding sentence, the reduction shall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b w:val="1"/>
          <w:bCs w:val="1"/>
          <w:color w:val="auto"/>
        </w:rPr>
        <w:t>Pro Rata Reduction</w:t>
      </w:r>
      <w:r>
        <w:rPr>
          <w:rFonts w:ascii="Arial" w:cs="Arial" w:eastAsia="Arial" w:hAnsi="Arial"/>
          <w:sz w:val="19"/>
          <w:szCs w:val="19"/>
          <w:color w:val="auto"/>
        </w:rPr>
        <w:t xml:space="preserve"> </w:t>
      </w:r>
      <w:r>
        <w:rPr>
          <w:rFonts w:ascii="Arial" w:cs="Arial" w:eastAsia="Arial" w:hAnsi="Arial"/>
          <w:sz w:val="19"/>
          <w:szCs w:val="19"/>
          <w:b w:val="1"/>
          <w:bCs w:val="1"/>
          <w:color w:val="auto"/>
        </w:rPr>
        <w:t>Method</w:t>
      </w:r>
      <w:r>
        <w:rPr>
          <w:rFonts w:ascii="Arial" w:cs="Arial" w:eastAsia="Arial" w:hAnsi="Arial"/>
          <w:sz w:val="19"/>
          <w:szCs w:val="19"/>
          <w:color w:val="auto"/>
        </w:rPr>
        <w:t>”). Notwithstanding the foregoing, if the Reduction Method or the Pro Rata Reduction Method would result in any</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(1) as a first priority, the modification shall preserve to the greatest extent possible, the greatest economic benefit for Executive as determined on an after-tax basis; (2) as a second priority, Payments that are contingent on future events (e.g., being terminated without cause), shall be reduced (or eliminated) before Payments that are not contingent on future events; and (3) as a third priority, Payments that are “deferred compensation” within the meaning of Section 409A of the Code shall be reduced (or eliminated) before Payments that are not deferred compensation within the meaning of Section 409A of the Code.</w:t>
      </w:r>
    </w:p>
    <w:p>
      <w:pPr>
        <w:spacing w:after="0" w:line="161" w:lineRule="exact"/>
        <w:rPr>
          <w:sz w:val="20"/>
          <w:szCs w:val="20"/>
          <w:color w:val="auto"/>
        </w:rPr>
      </w:pPr>
    </w:p>
    <w:p>
      <w:pPr>
        <w:jc w:val="both"/>
        <w:ind w:firstLine="1735"/>
        <w:spacing w:after="0" w:line="273" w:lineRule="auto"/>
        <w:tabs>
          <w:tab w:leader="none" w:pos="2627"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Accounting Firm</w:t>
      </w:r>
      <w:r>
        <w:rPr>
          <w:rFonts w:ascii="Arial" w:cs="Arial" w:eastAsia="Arial" w:hAnsi="Arial"/>
          <w:sz w:val="19"/>
          <w:szCs w:val="19"/>
          <w:color w:val="auto"/>
        </w:rPr>
        <w:t>. The accounting firm engaged by the Company for general tax purposes as of the day prior to the Change in Control will perform the calculations set forth in Section 12(a)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149" w:lineRule="exact"/>
        <w:rPr>
          <w:rFonts w:ascii="Arial" w:cs="Arial" w:eastAsia="Arial" w:hAnsi="Arial"/>
          <w:sz w:val="19"/>
          <w:szCs w:val="19"/>
          <w:color w:val="auto"/>
        </w:rPr>
      </w:pPr>
    </w:p>
    <w:p>
      <w:pPr>
        <w:ind w:left="1780" w:hanging="908"/>
        <w:spacing w:after="0"/>
        <w:tabs>
          <w:tab w:leader="none" w:pos="1780" w:val="left"/>
        </w:tabs>
        <w:numPr>
          <w:ilvl w:val="0"/>
          <w:numId w:val="94"/>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firstLine="1735"/>
        <w:spacing w:after="0" w:line="250" w:lineRule="auto"/>
        <w:tabs>
          <w:tab w:leader="none" w:pos="2615"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or other communication provided for in this Agreement or contemplated hereby shall be sufficiently given if given in writing to the following:</w:t>
      </w:r>
    </w:p>
    <w:p>
      <w:pPr>
        <w:sectPr>
          <w:pgSz w:w="11900" w:h="16838" w:orient="portrait"/>
          <w:cols w:equalWidth="0" w:num="1">
            <w:col w:w="11240"/>
          </w:cols>
          <w:pgMar w:left="320" w:top="34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Aligos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One Corporate Drive, 2</w:t>
      </w:r>
      <w:r>
        <w:rPr>
          <w:rFonts w:ascii="Arial" w:cs="Arial" w:eastAsia="Arial" w:hAnsi="Arial"/>
          <w:sz w:val="13"/>
          <w:szCs w:val="13"/>
          <w:color w:val="auto"/>
        </w:rPr>
        <w:t>nd</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200" w:lineRule="exact"/>
        <w:rPr>
          <w:sz w:val="20"/>
          <w:szCs w:val="20"/>
          <w:color w:val="auto"/>
        </w:rPr>
      </w:pPr>
    </w:p>
    <w:p>
      <w:pPr>
        <w:sectPr>
          <w:pgSz w:w="11900" w:h="16838" w:orient="portrait"/>
          <w:cols w:equalWidth="0" w:num="2">
            <w:col w:w="3840" w:space="200"/>
            <w:col w:w="7200"/>
          </w:cols>
          <w:pgMar w:left="320" w:top="348" w:right="339" w:bottom="1440" w:gutter="0" w:footer="0" w:header="0"/>
          <w:type w:val="continuous"/>
        </w:sectPr>
      </w:pPr>
    </w:p>
    <w:p>
      <w:pPr>
        <w:spacing w:after="0" w:line="34"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of Directors</w:t>
      </w:r>
    </w:p>
    <w:p>
      <w:pPr>
        <w:spacing w:after="0" w:line="140" w:lineRule="exact"/>
        <w:rPr>
          <w:sz w:val="20"/>
          <w:szCs w:val="20"/>
          <w:color w:val="auto"/>
        </w:rPr>
      </w:pPr>
    </w:p>
    <w:p>
      <w:pPr>
        <w:sectPr>
          <w:pgSz w:w="11900" w:h="16838" w:orient="portrait"/>
          <w:cols w:equalWidth="0" w:num="2">
            <w:col w:w="3320" w:space="720"/>
            <w:col w:w="7200"/>
          </w:cols>
          <w:pgMar w:left="320" w:top="348" w:right="339" w:bottom="1440" w:gutter="0" w:footer="0" w:header="0"/>
          <w:type w:val="continuous"/>
        </w:sectPr>
      </w:pPr>
    </w:p>
    <w:p>
      <w:pPr>
        <w:ind w:left="260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at the last address provided in the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Company’s personnel records</w:t>
      </w:r>
    </w:p>
    <w:p>
      <w:pPr>
        <w:spacing w:after="0" w:line="200" w:lineRule="exact"/>
        <w:rPr>
          <w:sz w:val="20"/>
          <w:szCs w:val="20"/>
          <w:color w:val="auto"/>
        </w:rPr>
      </w:pPr>
    </w:p>
    <w:p>
      <w:pPr>
        <w:sectPr>
          <w:pgSz w:w="11900" w:h="16838" w:orient="portrait"/>
          <w:cols w:equalWidth="0" w:num="2">
            <w:col w:w="3600" w:space="440"/>
            <w:col w:w="7200"/>
          </w:cols>
          <w:pgMar w:left="320" w:top="348" w:right="339" w:bottom="1440" w:gutter="0" w:footer="0" w:header="0"/>
          <w:type w:val="continuous"/>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348"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110" w:name="page111"/>
    <w:bookmarkEnd w:id="110"/>
    <w:p>
      <w:pPr>
        <w:jc w:val="both"/>
        <w:ind w:firstLine="1727"/>
        <w:spacing w:after="0" w:line="273" w:lineRule="auto"/>
        <w:rPr>
          <w:sz w:val="20"/>
          <w:szCs w:val="20"/>
          <w:color w:val="auto"/>
        </w:rPr>
      </w:pPr>
      <w:r>
        <w:rPr>
          <w:rFonts w:ascii="Arial" w:cs="Arial" w:eastAsia="Arial" w:hAnsi="Arial"/>
          <w:sz w:val="19"/>
          <w:szCs w:val="19"/>
          <w:color w:val="auto"/>
        </w:rPr>
        <w:t>Such notice shall be deemed delivered: (i) upon delivery if delivered in person; (ii) five (5) business days after deposit in the United States Mail, certified mail, return receipt requested and postage prepaid; (iii) upon transmission by facsimile, with a confirmation copy sent via overnight mail provided that confirmation of such overnight delivery is received; or</w:t>
      </w:r>
    </w:p>
    <w:p>
      <w:pPr>
        <w:spacing w:after="0" w:line="1" w:lineRule="exact"/>
        <w:rPr>
          <w:sz w:val="20"/>
          <w:szCs w:val="20"/>
          <w:color w:val="auto"/>
        </w:rPr>
      </w:pPr>
    </w:p>
    <w:p>
      <w:pPr>
        <w:jc w:val="both"/>
        <w:ind w:firstLine="8"/>
        <w:spacing w:after="0" w:line="287" w:lineRule="auto"/>
        <w:tabs>
          <w:tab w:leader="none" w:pos="366" w:val="left"/>
        </w:tabs>
        <w:numPr>
          <w:ilvl w:val="0"/>
          <w:numId w:val="95"/>
        </w:numPr>
        <w:rPr>
          <w:rFonts w:ascii="Arial" w:cs="Arial" w:eastAsia="Arial" w:hAnsi="Arial"/>
          <w:sz w:val="19"/>
          <w:szCs w:val="19"/>
          <w:color w:val="auto"/>
        </w:rPr>
      </w:pPr>
      <w:r>
        <w:rPr>
          <w:rFonts w:ascii="Arial" w:cs="Arial" w:eastAsia="Arial" w:hAnsi="Arial"/>
          <w:sz w:val="19"/>
          <w:szCs w:val="19"/>
          <w:color w:val="auto"/>
        </w:rPr>
        <w:t>two (2) business days after deposit with a national overnight carrier, provided that confirmation of delivery is received. Either party may change the person and/or address to whom the other party must give notice under this Section 13(a) by giving such other party written notice of such change, in accordance with the procedures described above.</w:t>
      </w:r>
    </w:p>
    <w:p>
      <w:pPr>
        <w:spacing w:after="0" w:line="143" w:lineRule="exact"/>
        <w:rPr>
          <w:rFonts w:ascii="Arial" w:cs="Arial" w:eastAsia="Arial" w:hAnsi="Arial"/>
          <w:sz w:val="19"/>
          <w:szCs w:val="19"/>
          <w:color w:val="auto"/>
        </w:rPr>
      </w:pPr>
    </w:p>
    <w:p>
      <w:pPr>
        <w:jc w:val="both"/>
        <w:ind w:firstLine="1735"/>
        <w:spacing w:after="0" w:line="238" w:lineRule="auto"/>
        <w:tabs>
          <w:tab w:leader="none" w:pos="2627"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Each provision of this Agreement shall be interpreted in such manner as to be effective and valid under applicable law, but if any provisions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84" w:lineRule="exact"/>
        <w:rPr>
          <w:rFonts w:ascii="Arial" w:cs="Arial" w:eastAsia="Arial" w:hAnsi="Arial"/>
          <w:sz w:val="22"/>
          <w:szCs w:val="22"/>
          <w:color w:val="auto"/>
        </w:rPr>
      </w:pPr>
    </w:p>
    <w:p>
      <w:pPr>
        <w:jc w:val="both"/>
        <w:ind w:firstLine="1735"/>
        <w:spacing w:after="0" w:line="287" w:lineRule="auto"/>
        <w:tabs>
          <w:tab w:leader="none" w:pos="2615"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Entire Agreement; Modification</w:t>
      </w:r>
      <w:r>
        <w:rPr>
          <w:rFonts w:ascii="Arial" w:cs="Arial" w:eastAsia="Arial" w:hAnsi="Arial"/>
          <w:sz w:val="19"/>
          <w:szCs w:val="19"/>
          <w:color w:val="auto"/>
        </w:rPr>
        <w:t>. This Agreement sets forth the entire agreement between the parties hereto with respect to the subject matter hereof, and supersedes all other agreements and understandings, written or oral, between the parties hereto with respect to the subject matter hereof, including without limitation, the Prior Agreement. This Agreement shall not be amended, modified or changed except by an instrument in writing signed by the parties hereto.</w:t>
      </w:r>
    </w:p>
    <w:p>
      <w:pPr>
        <w:spacing w:after="0" w:line="142" w:lineRule="exact"/>
        <w:rPr>
          <w:rFonts w:ascii="Arial" w:cs="Arial" w:eastAsia="Arial" w:hAnsi="Arial"/>
          <w:sz w:val="19"/>
          <w:szCs w:val="19"/>
          <w:color w:val="auto"/>
        </w:rPr>
      </w:pPr>
    </w:p>
    <w:p>
      <w:pPr>
        <w:ind w:firstLine="1735"/>
        <w:spacing w:after="0" w:line="250" w:lineRule="auto"/>
        <w:tabs>
          <w:tab w:leader="none" w:pos="2627"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A waiver of the breach of any term or condition of this Agreement shall not be deemed to constitute a waiver of any subsequent breach of the same or any other term or condition.</w:t>
      </w:r>
    </w:p>
    <w:p>
      <w:pPr>
        <w:spacing w:after="0" w:line="174" w:lineRule="exact"/>
        <w:rPr>
          <w:rFonts w:ascii="Arial" w:cs="Arial" w:eastAsia="Arial" w:hAnsi="Arial"/>
          <w:sz w:val="22"/>
          <w:szCs w:val="22"/>
          <w:color w:val="auto"/>
        </w:rPr>
      </w:pPr>
    </w:p>
    <w:p>
      <w:pPr>
        <w:ind w:firstLine="1735"/>
        <w:spacing w:after="0" w:line="250" w:lineRule="auto"/>
        <w:tabs>
          <w:tab w:leader="none" w:pos="2615"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Controlling Law</w:t>
      </w:r>
      <w:r>
        <w:rPr>
          <w:rFonts w:ascii="Arial" w:cs="Arial" w:eastAsia="Arial" w:hAnsi="Arial"/>
          <w:sz w:val="22"/>
          <w:szCs w:val="22"/>
          <w:color w:val="auto"/>
        </w:rPr>
        <w:t>. This Agreement will be governed by the laws of the State of California without regard to conflicts of laws principles, except where preemptive federal law governs.</w:t>
      </w:r>
    </w:p>
    <w:p>
      <w:pPr>
        <w:spacing w:after="0" w:line="174" w:lineRule="exact"/>
        <w:rPr>
          <w:rFonts w:ascii="Arial" w:cs="Arial" w:eastAsia="Arial" w:hAnsi="Arial"/>
          <w:sz w:val="22"/>
          <w:szCs w:val="22"/>
          <w:color w:val="auto"/>
        </w:rPr>
      </w:pPr>
    </w:p>
    <w:p>
      <w:pPr>
        <w:ind w:left="2600" w:hanging="865"/>
        <w:spacing w:after="0"/>
        <w:tabs>
          <w:tab w:leader="none" w:pos="2600"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Deductions</w:t>
      </w:r>
      <w:r>
        <w:rPr>
          <w:rFonts w:ascii="Arial" w:cs="Arial" w:eastAsia="Arial" w:hAnsi="Arial"/>
          <w:sz w:val="19"/>
          <w:szCs w:val="19"/>
          <w:color w:val="auto"/>
        </w:rPr>
        <w:t>. All wages and cash compensation shall be less any legally required withholding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authorized deductions.</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1586"/>
        <w:spacing w:after="0" w:line="245" w:lineRule="auto"/>
        <w:tabs>
          <w:tab w:leader="none" w:pos="3326" w:val="left"/>
        </w:tabs>
        <w:numPr>
          <w:ilvl w:val="2"/>
          <w:numId w:val="95"/>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no benefits deemed deferred compensation subject to Section 409A of the Code, shall be payable pursuant to Section 7 of this Agreement unless Executive’s termination of employment constitutes a “separation from service” with the Company within the meaning of Section 409A of the Code and the Department of Treasury regulations and other guidance promulgated thereunder (a “</w:t>
      </w:r>
      <w:r>
        <w:rPr>
          <w:rFonts w:ascii="Arial" w:cs="Arial" w:eastAsia="Arial" w:hAnsi="Arial"/>
          <w:sz w:val="21"/>
          <w:szCs w:val="21"/>
          <w:b w:val="1"/>
          <w:bCs w:val="1"/>
          <w:color w:val="auto"/>
        </w:rPr>
        <w:t>Separation from Service</w:t>
      </w:r>
      <w:r>
        <w:rPr>
          <w:rFonts w:ascii="Arial" w:cs="Arial" w:eastAsia="Arial" w:hAnsi="Arial"/>
          <w:sz w:val="21"/>
          <w:szCs w:val="21"/>
          <w:color w:val="auto"/>
        </w:rPr>
        <w:t>”) and, except as provided under Section 12(g)(ii) of this Agreement, any such termination benefits shall not be paid, or, in the case of installments, shall not commence payment, until the sixtieth (60th) day following Executive’s Separation from Service. Any installment payments that would have been made to Executive during the sixty (60) day period immediately following Executive’s Separation from Service but for the preceding sentence shall be paid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111" w:name="page112"/>
    <w:bookmarkEnd w:id="111"/>
    <w:p>
      <w:pPr>
        <w:ind w:left="880" w:right="20"/>
        <w:spacing w:after="0" w:line="250" w:lineRule="auto"/>
        <w:rPr>
          <w:sz w:val="20"/>
          <w:szCs w:val="20"/>
          <w:color w:val="auto"/>
        </w:rPr>
      </w:pPr>
      <w:r>
        <w:rPr>
          <w:rFonts w:ascii="Arial" w:cs="Arial" w:eastAsia="Arial" w:hAnsi="Arial"/>
          <w:sz w:val="22"/>
          <w:szCs w:val="22"/>
          <w:color w:val="auto"/>
        </w:rPr>
        <w:t>Executive on the sixtieth (60th) day following Executive’s Separation from Service and the remaining payments shall be made as provided in this Agreement.</w:t>
      </w:r>
    </w:p>
    <w:p>
      <w:pPr>
        <w:spacing w:after="0" w:line="175" w:lineRule="exact"/>
        <w:rPr>
          <w:sz w:val="20"/>
          <w:szCs w:val="20"/>
          <w:color w:val="auto"/>
        </w:rPr>
      </w:pPr>
    </w:p>
    <w:p>
      <w:pPr>
        <w:jc w:val="both"/>
        <w:ind w:left="880" w:firstLine="1586"/>
        <w:spacing w:after="0" w:line="271" w:lineRule="auto"/>
        <w:tabs>
          <w:tab w:leader="none" w:pos="3386" w:val="left"/>
        </w:tabs>
        <w:numPr>
          <w:ilvl w:val="2"/>
          <w:numId w:val="96"/>
        </w:numPr>
        <w:rPr>
          <w:rFonts w:ascii="Arial" w:cs="Arial" w:eastAsia="Arial" w:hAnsi="Arial"/>
          <w:sz w:val="19"/>
          <w:szCs w:val="19"/>
          <w:color w:val="auto"/>
        </w:rPr>
      </w:pPr>
      <w:r>
        <w:rPr>
          <w:rFonts w:ascii="Arial" w:cs="Arial" w:eastAsia="Arial" w:hAnsi="Arial"/>
          <w:sz w:val="19"/>
          <w:szCs w:val="19"/>
          <w:color w:val="auto"/>
        </w:rPr>
        <w:t>Notwithstanding any provision to the contrary in this Agreement, if Executive is deemed by the Company at the time of Executive’s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w:t>
      </w:r>
    </w:p>
    <w:p>
      <w:pPr>
        <w:spacing w:after="0" w:line="3" w:lineRule="exact"/>
        <w:rPr>
          <w:rFonts w:ascii="Arial" w:cs="Arial" w:eastAsia="Arial" w:hAnsi="Arial"/>
          <w:sz w:val="19"/>
          <w:szCs w:val="19"/>
          <w:color w:val="auto"/>
        </w:rPr>
      </w:pPr>
    </w:p>
    <w:p>
      <w:pPr>
        <w:jc w:val="both"/>
        <w:ind w:left="880"/>
        <w:spacing w:after="0" w:line="243" w:lineRule="exact"/>
        <w:rPr>
          <w:rFonts w:ascii="Arial" w:cs="Arial" w:eastAsia="Arial" w:hAnsi="Arial"/>
          <w:sz w:val="19"/>
          <w:szCs w:val="19"/>
          <w:color w:val="auto"/>
        </w:rPr>
      </w:pPr>
      <w:r>
        <w:rPr>
          <w:rFonts w:ascii="Arial" w:cs="Arial" w:eastAsia="Arial" w:hAnsi="Arial"/>
          <w:sz w:val="19"/>
          <w:szCs w:val="19"/>
          <w:color w:val="auto"/>
        </w:rPr>
        <w:t>(2)(B)(i) of the Code, such portion of Executive’s benefits shall not be provided to Executive prior to the earlier of (A) the expiration of the six</w:t>
      </w:r>
      <w:r>
        <w:rPr>
          <w:rFonts w:ascii="MS PGothic" w:cs="MS PGothic" w:eastAsia="MS PGothic" w:hAnsi="MS PGothic"/>
          <w:sz w:val="19"/>
          <w:szCs w:val="19"/>
          <w:color w:val="auto"/>
        </w:rPr>
        <w:t>‑</w:t>
      </w:r>
      <w:r>
        <w:rPr>
          <w:rFonts w:ascii="Arial" w:cs="Arial" w:eastAsia="Arial" w:hAnsi="Arial"/>
          <w:sz w:val="19"/>
          <w:szCs w:val="19"/>
          <w:color w:val="auto"/>
        </w:rPr>
        <w:t>month period measured from the date of Executive’s Separation from Service or (B) the date of Executive’ s death. Upon the first business day following the expiration of the applicable Code Section 409A(a)(2)(B)</w:t>
      </w:r>
    </w:p>
    <w:p>
      <w:pPr>
        <w:spacing w:after="0" w:line="2" w:lineRule="exact"/>
        <w:rPr>
          <w:rFonts w:ascii="Arial" w:cs="Arial" w:eastAsia="Arial" w:hAnsi="Arial"/>
          <w:sz w:val="19"/>
          <w:szCs w:val="19"/>
          <w:color w:val="auto"/>
        </w:rPr>
      </w:pPr>
    </w:p>
    <w:p>
      <w:pPr>
        <w:ind w:left="880" w:hanging="8"/>
        <w:spacing w:after="0" w:line="236" w:lineRule="auto"/>
        <w:tabs>
          <w:tab w:leader="none" w:pos="1155" w:val="left"/>
        </w:tabs>
        <w:numPr>
          <w:ilvl w:val="0"/>
          <w:numId w:val="97"/>
        </w:numPr>
        <w:rPr>
          <w:rFonts w:ascii="Arial" w:cs="Arial" w:eastAsia="Arial" w:hAnsi="Arial"/>
          <w:sz w:val="22"/>
          <w:szCs w:val="22"/>
          <w:color w:val="auto"/>
        </w:rPr>
      </w:pPr>
      <w:r>
        <w:rPr>
          <w:rFonts w:ascii="Arial" w:cs="Arial" w:eastAsia="Arial" w:hAnsi="Arial"/>
          <w:sz w:val="22"/>
          <w:szCs w:val="22"/>
          <w:color w:val="auto"/>
        </w:rPr>
        <w:t>period, all payments deferred pursuant to this Section 12(g)(ii) shall be paid in a lump sum to Executive, and any remaining payments due under this Agreement shall be paid as otherwise provided herein.</w:t>
      </w:r>
    </w:p>
    <w:p>
      <w:pPr>
        <w:spacing w:after="0" w:line="186" w:lineRule="exact"/>
        <w:rPr>
          <w:rFonts w:ascii="Arial" w:cs="Arial" w:eastAsia="Arial" w:hAnsi="Arial"/>
          <w:sz w:val="22"/>
          <w:szCs w:val="22"/>
          <w:color w:val="auto"/>
        </w:rPr>
      </w:pPr>
    </w:p>
    <w:p>
      <w:pPr>
        <w:jc w:val="both"/>
        <w:ind w:left="880" w:firstLine="1586"/>
        <w:spacing w:after="0" w:line="235" w:lineRule="auto"/>
        <w:tabs>
          <w:tab w:leader="none" w:pos="3446" w:val="left"/>
        </w:tabs>
        <w:numPr>
          <w:ilvl w:val="2"/>
          <w:numId w:val="97"/>
        </w:numPr>
        <w:rPr>
          <w:rFonts w:ascii="Arial" w:cs="Arial" w:eastAsia="Arial" w:hAnsi="Arial"/>
          <w:sz w:val="22"/>
          <w:szCs w:val="22"/>
          <w:color w:val="auto"/>
        </w:rPr>
      </w:pPr>
      <w:r>
        <w:rPr>
          <w:rFonts w:ascii="Arial" w:cs="Arial" w:eastAsia="Arial" w:hAnsi="Arial"/>
          <w:sz w:val="22"/>
          <w:szCs w:val="22"/>
          <w:color w:val="auto"/>
        </w:rPr>
        <w:t>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7" w:lineRule="exact"/>
        <w:rPr>
          <w:rFonts w:ascii="Arial" w:cs="Arial" w:eastAsia="Arial" w:hAnsi="Arial"/>
          <w:sz w:val="22"/>
          <w:szCs w:val="22"/>
          <w:color w:val="auto"/>
        </w:rPr>
      </w:pPr>
    </w:p>
    <w:p>
      <w:pPr>
        <w:jc w:val="both"/>
        <w:ind w:left="880" w:firstLine="1586"/>
        <w:spacing w:after="0" w:line="251" w:lineRule="exact"/>
        <w:tabs>
          <w:tab w:leader="none" w:pos="3434" w:val="left"/>
        </w:tabs>
        <w:numPr>
          <w:ilvl w:val="2"/>
          <w:numId w:val="97"/>
        </w:numPr>
        <w:rPr>
          <w:rFonts w:ascii="Arial" w:cs="Arial" w:eastAsia="Arial" w:hAnsi="Arial"/>
          <w:sz w:val="21"/>
          <w:szCs w:val="21"/>
          <w:color w:val="auto"/>
        </w:rPr>
      </w:pPr>
      <w:r>
        <w:rPr>
          <w:rFonts w:ascii="Arial" w:cs="Arial" w:eastAsia="Arial" w:hAnsi="Arial"/>
          <w:sz w:val="21"/>
          <w:szCs w:val="21"/>
          <w:color w:val="auto"/>
        </w:rPr>
        <w:t>For purposes of Section 409A of the Code (including, without limitation, for purposes of Treasury Regulation Section 1.409A</w:t>
      </w:r>
      <w:r>
        <w:rPr>
          <w:rFonts w:ascii="MS PGothic" w:cs="MS PGothic" w:eastAsia="MS PGothic" w:hAnsi="MS PGothic"/>
          <w:sz w:val="21"/>
          <w:szCs w:val="21"/>
          <w:color w:val="auto"/>
        </w:rPr>
        <w:t>‑</w:t>
      </w:r>
      <w:r>
        <w:rPr>
          <w:rFonts w:ascii="Arial" w:cs="Arial" w:eastAsia="Arial" w:hAnsi="Arial"/>
          <w:sz w:val="21"/>
          <w:szCs w:val="21"/>
          <w:color w:val="auto"/>
        </w:rPr>
        <w:t>2(b)(2)(iii)), Executive’s right to receive the installment payments under this Agreement shall be treated as a right to receive a series of separate payments and, accordingly, each such installment payment shall at all times be considered a separate and distinct payment.</w:t>
      </w:r>
    </w:p>
    <w:p>
      <w:pPr>
        <w:spacing w:after="0" w:line="185" w:lineRule="exact"/>
        <w:rPr>
          <w:rFonts w:ascii="Arial" w:cs="Arial" w:eastAsia="Arial" w:hAnsi="Arial"/>
          <w:sz w:val="21"/>
          <w:szCs w:val="21"/>
          <w:color w:val="auto"/>
        </w:rPr>
      </w:pPr>
    </w:p>
    <w:p>
      <w:pPr>
        <w:jc w:val="both"/>
        <w:ind w:left="880" w:firstLine="1586"/>
        <w:spacing w:after="0" w:line="245" w:lineRule="auto"/>
        <w:tabs>
          <w:tab w:leader="none" w:pos="3374" w:val="left"/>
        </w:tabs>
        <w:numPr>
          <w:ilvl w:val="2"/>
          <w:numId w:val="97"/>
        </w:numPr>
        <w:rPr>
          <w:rFonts w:ascii="Arial" w:cs="Arial" w:eastAsia="Arial" w:hAnsi="Arial"/>
          <w:sz w:val="21"/>
          <w:szCs w:val="21"/>
          <w:color w:val="auto"/>
        </w:rPr>
      </w:pPr>
      <w:r>
        <w:rPr>
          <w:rFonts w:ascii="Arial" w:cs="Arial" w:eastAsia="Arial" w:hAnsi="Arial"/>
          <w:sz w:val="21"/>
          <w:szCs w:val="21"/>
          <w:color w:val="auto"/>
        </w:rPr>
        <w:t>To the extent applicable, this Agreement shall be interpreted in accordance with Section 409A of the Code. Notwithstanding any provision of this Agreement to the contrary, in the event that the Company determines in good faith that any compensation or benefits payable under this Agreement may not be either exempt from or compliant with Section 409A of the Code, the Company may adopt such amendments to this Agreement or adopt other policies or procedures (including amendments, policies and procedures with retroactive effective), or take any other commercially reasonable actions necessary or appropriate (A) to preserve the intended tax treatment of the compensation and benefits payable hereunder and/or preserve the economic benefits of such compensation and benefits, and/or (B) to exempt the compensation and benefits payable hereunder from Section 409A of the Code or to comply with the requirements of Section 409A of the Code and thereby avoid the application of penalty taxes thereunder.</w:t>
      </w:r>
    </w:p>
    <w:p>
      <w:pPr>
        <w:spacing w:after="0" w:line="180" w:lineRule="exact"/>
        <w:rPr>
          <w:rFonts w:ascii="Arial" w:cs="Arial" w:eastAsia="Arial" w:hAnsi="Arial"/>
          <w:sz w:val="21"/>
          <w:szCs w:val="21"/>
          <w:color w:val="auto"/>
        </w:rPr>
      </w:pPr>
    </w:p>
    <w:p>
      <w:pPr>
        <w:jc w:val="both"/>
        <w:ind w:firstLine="1735"/>
        <w:spacing w:after="0" w:line="297" w:lineRule="auto"/>
        <w:tabs>
          <w:tab w:leader="none" w:pos="2627"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Voluntary Agreement</w:t>
      </w:r>
      <w:r>
        <w:rPr>
          <w:rFonts w:ascii="Arial" w:cs="Arial" w:eastAsia="Arial" w:hAnsi="Arial"/>
          <w:sz w:val="19"/>
          <w:szCs w:val="19"/>
          <w:color w:val="auto"/>
        </w:rPr>
        <w:t>. Executive and the Company represent and agree that each has reviewed all aspects of this Agreement, has carefully read and fully understands all provisions of this Agreement, and is voluntarily entering into this Agreement. Each party represents and agrees that such party has had the opportunity to review any and all aspects of this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2" w:name="page113"/>
    <w:bookmarkEnd w:id="112"/>
    <w:p>
      <w:pPr>
        <w:jc w:val="both"/>
        <w:spacing w:after="0" w:line="248" w:lineRule="auto"/>
        <w:rPr>
          <w:sz w:val="20"/>
          <w:szCs w:val="20"/>
          <w:color w:val="auto"/>
        </w:rPr>
      </w:pPr>
      <w:r>
        <w:rPr>
          <w:rFonts w:ascii="Arial" w:cs="Arial" w:eastAsia="Arial" w:hAnsi="Arial"/>
          <w:sz w:val="21"/>
          <w:szCs w:val="21"/>
          <w:color w:val="auto"/>
        </w:rPr>
        <w:t>Agreement, with the legal, tax and other advisor and advisors of such party’s choice before executing this Agreement, and have been fully advised as to same. Executive acknowledges that the Company has made no representations or warranties to Executive concerning the terms, enforceability or implications of this Agreement other than as are reflected in this Agreement. This Agreement has been fully and freely negotiated by the parties hereto, shall be considered as having been drafted jointly by the parties hereto, and shall be interpreted and construed as if so drafted, without construction in favor of or against any party on account of its or his participation in the drafting hereof.</w:t>
      </w:r>
    </w:p>
    <w:p>
      <w:pPr>
        <w:spacing w:after="0" w:line="177" w:lineRule="exact"/>
        <w:rPr>
          <w:sz w:val="20"/>
          <w:szCs w:val="20"/>
          <w:color w:val="auto"/>
        </w:rPr>
      </w:pPr>
    </w:p>
    <w:p>
      <w:pPr>
        <w:ind w:right="20" w:firstLine="1735"/>
        <w:spacing w:after="0" w:line="250" w:lineRule="auto"/>
        <w:tabs>
          <w:tab w:leader="none" w:pos="2579"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execute this Agreement in one or more counterparts, all of which together shall constitute but one Agreement.</w:t>
      </w:r>
    </w:p>
    <w:p>
      <w:pPr>
        <w:spacing w:after="0" w:line="174" w:lineRule="exact"/>
        <w:rPr>
          <w:rFonts w:ascii="Arial" w:cs="Arial" w:eastAsia="Arial" w:hAnsi="Arial"/>
          <w:sz w:val="22"/>
          <w:szCs w:val="22"/>
          <w:color w:val="auto"/>
        </w:rPr>
      </w:pPr>
    </w:p>
    <w:p>
      <w:pPr>
        <w:jc w:val="both"/>
        <w:ind w:firstLine="1735"/>
        <w:spacing w:after="0"/>
        <w:tabs>
          <w:tab w:leader="none" w:pos="2579"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Warranty of Authority</w:t>
      </w:r>
      <w:r>
        <w:rPr>
          <w:rFonts w:ascii="Arial" w:cs="Arial" w:eastAsia="Arial" w:hAnsi="Arial"/>
          <w:sz w:val="22"/>
          <w:szCs w:val="22"/>
          <w:color w:val="auto"/>
        </w:rPr>
        <w:t>. The parties hereto, and each and all of them, collectively and individually as to each said party, represent and declare that each of the persons executing this agreement is and will be empowered and authorized to do so.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13" w:name="page114"/>
    <w:bookmarkEnd w:id="113"/>
    <w:p>
      <w:pPr>
        <w:ind w:left="88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effective as of the Effective Date above written.</w:t>
      </w:r>
    </w:p>
    <w:p>
      <w:pPr>
        <w:spacing w:after="0" w:line="263"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18"/>
          <w:szCs w:val="18"/>
          <w:b w:val="1"/>
          <w:bCs w:val="1"/>
          <w:color w:val="auto"/>
        </w:rPr>
        <w:t>ALIGOS THERAPEUTICS, INC.</w:t>
      </w:r>
      <w:r>
        <w:rPr>
          <w:sz w:val="20"/>
          <w:szCs w:val="20"/>
          <w:color w:val="auto"/>
        </w:rPr>
        <w:tab/>
      </w:r>
      <w:r>
        <w:rPr>
          <w:rFonts w:ascii="Arial" w:cs="Arial" w:eastAsia="Arial" w:hAnsi="Arial"/>
          <w:sz w:val="17"/>
          <w:szCs w:val="17"/>
          <w:b w:val="1"/>
          <w:bCs w:val="1"/>
          <w:color w:val="auto"/>
        </w:rPr>
        <w:t>LAWRENCE M. BLATT, Ph.D.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67805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Lesley Ann Calhoun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 EVP, Chief Financial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US-DOCS\119697748.5</w:t>
      </w:r>
    </w:p>
    <w:p>
      <w:pPr>
        <w:sectPr>
          <w:pgSz w:w="11900" w:h="16838" w:orient="portrait"/>
          <w:cols w:equalWidth="0" w:num="1">
            <w:col w:w="11180"/>
          </w:cols>
          <w:pgMar w:left="320" w:top="571" w:right="39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color w:val="auto"/>
        </w:rPr>
        <w:t>DocuSign Envelope ID: 2DDB78FC-B0D7-40D1-AF5A-3F060FD066DF</w:t>
      </w:r>
    </w:p>
    <w:p>
      <w:pPr>
        <w:spacing w:after="0" w:line="221" w:lineRule="exact"/>
        <w:rPr>
          <w:sz w:val="20"/>
          <w:szCs w:val="20"/>
          <w:color w:val="auto"/>
        </w:rPr>
      </w:pPr>
    </w:p>
    <w:p>
      <w:pPr>
        <w:ind w:left="10120"/>
        <w:spacing w:after="0"/>
        <w:rPr>
          <w:sz w:val="20"/>
          <w:szCs w:val="20"/>
          <w:color w:val="auto"/>
        </w:rPr>
      </w:pPr>
      <w:r>
        <w:rPr>
          <w:rFonts w:ascii="Arial" w:cs="Arial" w:eastAsia="Arial" w:hAnsi="Arial"/>
          <w:sz w:val="19"/>
          <w:szCs w:val="19"/>
          <w:b w:val="1"/>
          <w:bCs w:val="1"/>
          <w:color w:val="auto"/>
        </w:rPr>
        <w:t>Exhibit 10.3</w:t>
      </w:r>
    </w:p>
    <w:p>
      <w:pPr>
        <w:spacing w:after="0" w:line="268" w:lineRule="exact"/>
        <w:rPr>
          <w:sz w:val="20"/>
          <w:szCs w:val="20"/>
          <w:color w:val="auto"/>
        </w:rPr>
      </w:pPr>
    </w:p>
    <w:p>
      <w:pPr>
        <w:ind w:left="7280"/>
        <w:spacing w:after="0"/>
        <w:rPr>
          <w:sz w:val="20"/>
          <w:szCs w:val="20"/>
          <w:color w:val="auto"/>
        </w:rPr>
      </w:pPr>
      <w:r>
        <w:rPr>
          <w:rFonts w:ascii="Arial" w:cs="Arial" w:eastAsia="Arial" w:hAnsi="Arial"/>
          <w:sz w:val="22"/>
          <w:szCs w:val="22"/>
          <w:b w:val="1"/>
          <w:bCs w:val="1"/>
          <w:color w:val="auto"/>
        </w:rPr>
        <w:t>ALIGOS THERAPEUTICS, INC.</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May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-146685</wp:posOffset>
            </wp:positionV>
            <wp:extent cx="1791970" cy="531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17919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Julian Symons 7</w:t>
      </w:r>
    </w:p>
    <w:p>
      <w:pPr>
        <w:spacing w:after="0" w:line="238" w:lineRule="auto"/>
        <w:rPr>
          <w:sz w:val="20"/>
          <w:szCs w:val="20"/>
          <w:color w:val="auto"/>
        </w:rPr>
      </w:pPr>
      <w:r>
        <w:rPr>
          <w:rFonts w:ascii="Arial" w:cs="Arial" w:eastAsia="Arial" w:hAnsi="Arial"/>
          <w:sz w:val="22"/>
          <w:szCs w:val="22"/>
          <w:color w:val="auto"/>
        </w:rPr>
        <w:t>Azalea Lane</w:t>
      </w:r>
    </w:p>
    <w:p>
      <w:pPr>
        <w:spacing w:after="0"/>
        <w:rPr>
          <w:sz w:val="20"/>
          <w:szCs w:val="20"/>
          <w:color w:val="auto"/>
        </w:rPr>
      </w:pPr>
      <w:r>
        <w:rPr>
          <w:rFonts w:ascii="Arial" w:cs="Arial" w:eastAsia="Arial" w:hAnsi="Arial"/>
          <w:sz w:val="22"/>
          <w:szCs w:val="22"/>
          <w:color w:val="auto"/>
        </w:rPr>
        <w:t>San Carlos, CA 94070</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 xml:space="preserve">RE: </w:t>
      </w:r>
      <w:r>
        <w:rPr>
          <w:rFonts w:ascii="Arial" w:cs="Arial" w:eastAsia="Arial" w:hAnsi="Arial"/>
          <w:sz w:val="22"/>
          <w:szCs w:val="22"/>
          <w:b w:val="1"/>
          <w:bCs w:val="1"/>
          <w:u w:val="single" w:color="auto"/>
          <w:color w:val="auto"/>
        </w:rPr>
        <w:t>Confirmatory Employment Letter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Julian:</w:t>
      </w:r>
    </w:p>
    <w:p>
      <w:pPr>
        <w:spacing w:after="0" w:line="233" w:lineRule="exact"/>
        <w:rPr>
          <w:sz w:val="20"/>
          <w:szCs w:val="20"/>
          <w:color w:val="auto"/>
        </w:rPr>
      </w:pPr>
    </w:p>
    <w:p>
      <w:pPr>
        <w:ind w:right="120" w:firstLine="790"/>
        <w:spacing w:after="0" w:line="287" w:lineRule="auto"/>
        <w:rPr>
          <w:sz w:val="20"/>
          <w:szCs w:val="20"/>
          <w:color w:val="auto"/>
        </w:rPr>
      </w:pPr>
      <w:r>
        <w:rPr>
          <w:rFonts w:ascii="Arial" w:cs="Arial" w:eastAsia="Arial" w:hAnsi="Arial"/>
          <w:sz w:val="19"/>
          <w:szCs w:val="19"/>
          <w:color w:val="auto"/>
        </w:rPr>
        <w:t>This letter agreement (“Agreement”) is entered into between Julian Symons (“you”) and Aligos Therapeutics, Inc. (the “Company” or “we”), effective as of October 16, 2018 (the “Effective Date”), to confirm the terms and conditions of your employment with the Company as of the Effective Date. This Agreement supersedes and replaces any and all employment terms, compensation, or benefits you may have had or to which you may have been entitled prior to the Effective Date.</w:t>
      </w:r>
    </w:p>
    <w:p>
      <w:pPr>
        <w:spacing w:after="0" w:line="170" w:lineRule="exact"/>
        <w:rPr>
          <w:sz w:val="20"/>
          <w:szCs w:val="20"/>
          <w:color w:val="auto"/>
        </w:rPr>
      </w:pPr>
    </w:p>
    <w:p>
      <w:pPr>
        <w:ind w:left="400" w:right="80" w:hanging="392"/>
        <w:spacing w:after="0" w:line="274" w:lineRule="auto"/>
        <w:tabs>
          <w:tab w:leader="none" w:pos="400"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Title; Position</w:t>
      </w:r>
      <w:r>
        <w:rPr>
          <w:rFonts w:ascii="Arial" w:cs="Arial" w:eastAsia="Arial" w:hAnsi="Arial"/>
          <w:sz w:val="19"/>
          <w:szCs w:val="19"/>
          <w:color w:val="auto"/>
        </w:rPr>
        <w:t>. You will continue to serve as the Company’s EVP &amp; Chief Scientific Officer. You also will continue to</w:t>
      </w:r>
      <w:r>
        <w:rPr>
          <w:rFonts w:ascii="Arial" w:cs="Arial" w:eastAsia="Arial" w:hAnsi="Arial"/>
          <w:sz w:val="19"/>
          <w:szCs w:val="19"/>
          <w:i w:val="1"/>
          <w:iCs w:val="1"/>
          <w:color w:val="auto"/>
        </w:rPr>
        <w:t xml:space="preserve"> </w:t>
      </w:r>
      <w:r>
        <w:rPr>
          <w:rFonts w:ascii="Arial" w:cs="Arial" w:eastAsia="Arial" w:hAnsi="Arial"/>
          <w:sz w:val="19"/>
          <w:szCs w:val="19"/>
          <w:color w:val="auto"/>
        </w:rPr>
        <w:t>report to Leonid Beigelman, the President of the Company, or such other individual as the Company may designate, and will be initially headquartered in our offices located in San Francisco, California, except for such travel as may be necessary to fulfill your responsibilities. In the course of your employment with Company, you will be subject to and required to comply with all Company policies, and applicable laws and regulations. The Company requires that, as a full-time employee, you continue to devote your full business time, attention, skill, and efforts to the tasks and duties of your position as assigned by the Company. If you wish to request consent to provide services (for any or no form of compensation) to any other person or business entity while employed by the Company, please discuss that with the CEO in advance of accepting another position or consulting engagement, and the Company reserves the right to withhold its consent in its sole discretion.</w:t>
      </w:r>
    </w:p>
    <w:p>
      <w:pPr>
        <w:spacing w:after="0" w:line="185" w:lineRule="exact"/>
        <w:rPr>
          <w:rFonts w:ascii="Arial" w:cs="Arial" w:eastAsia="Arial" w:hAnsi="Arial"/>
          <w:sz w:val="19"/>
          <w:szCs w:val="19"/>
          <w:color w:val="auto"/>
        </w:rPr>
      </w:pPr>
    </w:p>
    <w:p>
      <w:pPr>
        <w:ind w:left="400" w:right="380" w:hanging="392"/>
        <w:spacing w:after="0" w:line="257" w:lineRule="auto"/>
        <w:tabs>
          <w:tab w:leader="none" w:pos="400" w:val="left"/>
        </w:tabs>
        <w:numPr>
          <w:ilvl w:val="0"/>
          <w:numId w:val="99"/>
        </w:numPr>
        <w:rPr>
          <w:rFonts w:ascii="Arial" w:cs="Arial" w:eastAsia="Arial" w:hAnsi="Arial"/>
          <w:sz w:val="21"/>
          <w:szCs w:val="21"/>
          <w:color w:val="auto"/>
        </w:rPr>
      </w:pPr>
      <w:r>
        <w:rPr>
          <w:rFonts w:ascii="Arial" w:cs="Arial" w:eastAsia="Arial" w:hAnsi="Arial"/>
          <w:sz w:val="21"/>
          <w:szCs w:val="21"/>
          <w:i w:val="1"/>
          <w:iCs w:val="1"/>
          <w:color w:val="auto"/>
        </w:rPr>
        <w:t>Base Salary</w:t>
      </w:r>
      <w:r>
        <w:rPr>
          <w:rFonts w:ascii="Arial" w:cs="Arial" w:eastAsia="Arial" w:hAnsi="Arial"/>
          <w:sz w:val="21"/>
          <w:szCs w:val="21"/>
          <w:color w:val="auto"/>
        </w:rPr>
        <w:t>. Your annual base salary will continue to be $320,000.00, (subject to required tax withholding and other</w:t>
      </w:r>
      <w:r>
        <w:rPr>
          <w:rFonts w:ascii="Arial" w:cs="Arial" w:eastAsia="Arial" w:hAnsi="Arial"/>
          <w:sz w:val="21"/>
          <w:szCs w:val="21"/>
          <w:i w:val="1"/>
          <w:iCs w:val="1"/>
          <w:color w:val="auto"/>
        </w:rPr>
        <w:t xml:space="preserve"> </w:t>
      </w:r>
      <w:r>
        <w:rPr>
          <w:rFonts w:ascii="Arial" w:cs="Arial" w:eastAsia="Arial" w:hAnsi="Arial"/>
          <w:sz w:val="21"/>
          <w:szCs w:val="21"/>
          <w:color w:val="auto"/>
        </w:rPr>
        <w:t>authorized deductions). Your base salary will be payable in accordance with the Company’s standard payroll policies and subject to adjustment pursuant to the Company’s policies as in effect from time to time.</w:t>
      </w:r>
    </w:p>
    <w:p>
      <w:pPr>
        <w:spacing w:after="0" w:line="196" w:lineRule="exact"/>
        <w:rPr>
          <w:rFonts w:ascii="Arial" w:cs="Arial" w:eastAsia="Arial" w:hAnsi="Arial"/>
          <w:sz w:val="21"/>
          <w:szCs w:val="21"/>
          <w:color w:val="auto"/>
        </w:rPr>
      </w:pPr>
    </w:p>
    <w:p>
      <w:pPr>
        <w:ind w:left="400" w:right="40" w:hanging="392"/>
        <w:spacing w:after="0" w:line="245" w:lineRule="auto"/>
        <w:tabs>
          <w:tab w:leader="none" w:pos="400" w:val="left"/>
        </w:tabs>
        <w:numPr>
          <w:ilvl w:val="0"/>
          <w:numId w:val="99"/>
        </w:numPr>
        <w:rPr>
          <w:rFonts w:ascii="Arial" w:cs="Arial" w:eastAsia="Arial" w:hAnsi="Arial"/>
          <w:sz w:val="21"/>
          <w:szCs w:val="21"/>
          <w:color w:val="auto"/>
        </w:rPr>
      </w:pPr>
      <w:r>
        <w:rPr>
          <w:rFonts w:ascii="Arial" w:cs="Arial" w:eastAsia="Arial" w:hAnsi="Arial"/>
          <w:sz w:val="21"/>
          <w:szCs w:val="21"/>
          <w:i w:val="1"/>
          <w:iCs w:val="1"/>
          <w:color w:val="auto"/>
        </w:rPr>
        <w:t>Bonus</w:t>
      </w:r>
      <w:r>
        <w:rPr>
          <w:rFonts w:ascii="Arial" w:cs="Arial" w:eastAsia="Arial" w:hAnsi="Arial"/>
          <w:sz w:val="21"/>
          <w:szCs w:val="21"/>
          <w:color w:val="auto"/>
        </w:rPr>
        <w:t>. In addition to your base salary, you may be eligible to earn an annual cash performance bonus, at the discretion of the</w:t>
      </w:r>
      <w:r>
        <w:rPr>
          <w:rFonts w:ascii="Arial" w:cs="Arial" w:eastAsia="Arial" w:hAnsi="Arial"/>
          <w:sz w:val="21"/>
          <w:szCs w:val="21"/>
          <w:i w:val="1"/>
          <w:iCs w:val="1"/>
          <w:color w:val="auto"/>
        </w:rPr>
        <w:t xml:space="preserve"> </w:t>
      </w:r>
      <w:r>
        <w:rPr>
          <w:rFonts w:ascii="Arial" w:cs="Arial" w:eastAsia="Arial" w:hAnsi="Arial"/>
          <w:sz w:val="21"/>
          <w:szCs w:val="21"/>
          <w:color w:val="auto"/>
        </w:rPr>
        <w:t>Board, based on the attainment of performance metrics and/or individual performance objectives, in each case established and evaluated by the Company in its sole discretion. Your target annual bonus shall be 35% of your base salary, but the actual amount of your annual bonus may be more or less (and may equal zero), depending on the attainment of applicable performance criteria. Such annual bonus shall be paid within two and a half months following the year to which the annual bonus relates and will be contingent upon your continued employment through the end of the year to which the annual bonus relates. You hereby acknowledge and agree that nothing contained herein confers upon you any right to an annual bonus in any year, and that whether the Company pays you an annual bonus and the amount of any such annual bonus will be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auto"/>
        </w:rPr>
        <w:t>DocuSign Envelope ID: 2DDB78FC-B0D7-40D1-AF5A-3F060FD066DF</w:t>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22"/>
          <w:szCs w:val="22"/>
          <w:color w:val="auto"/>
        </w:rPr>
        <w:t>the Company in its sole discretion.</w:t>
      </w:r>
    </w:p>
    <w:p>
      <w:pPr>
        <w:spacing w:after="0" w:line="233" w:lineRule="exact"/>
        <w:rPr>
          <w:sz w:val="20"/>
          <w:szCs w:val="20"/>
          <w:color w:val="auto"/>
        </w:rPr>
      </w:pPr>
    </w:p>
    <w:p>
      <w:pPr>
        <w:ind w:left="400" w:right="120" w:hanging="392"/>
        <w:spacing w:after="0" w:line="287" w:lineRule="auto"/>
        <w:tabs>
          <w:tab w:leader="none" w:pos="400" w:val="left"/>
        </w:tabs>
        <w:numPr>
          <w:ilvl w:val="0"/>
          <w:numId w:val="100"/>
        </w:numPr>
        <w:rPr>
          <w:rFonts w:ascii="Arial" w:cs="Arial" w:eastAsia="Arial" w:hAnsi="Arial"/>
          <w:sz w:val="19"/>
          <w:szCs w:val="19"/>
          <w:color w:val="auto"/>
        </w:rPr>
      </w:pPr>
      <w:r>
        <w:rPr>
          <w:rFonts w:ascii="Arial" w:cs="Arial" w:eastAsia="Arial" w:hAnsi="Arial"/>
          <w:sz w:val="19"/>
          <w:szCs w:val="19"/>
          <w:i w:val="1"/>
          <w:iCs w:val="1"/>
          <w:color w:val="auto"/>
        </w:rPr>
        <w:t>Equity Awards</w:t>
      </w:r>
      <w:r>
        <w:rPr>
          <w:rFonts w:ascii="Arial" w:cs="Arial" w:eastAsia="Arial" w:hAnsi="Arial"/>
          <w:sz w:val="19"/>
          <w:szCs w:val="19"/>
          <w:color w:val="auto"/>
        </w:rPr>
        <w:t>. You will continue to be eligible to receive awards of stock options, restricted stock units or other equity</w:t>
      </w:r>
      <w:r>
        <w:rPr>
          <w:rFonts w:ascii="Arial" w:cs="Arial" w:eastAsia="Arial" w:hAnsi="Arial"/>
          <w:sz w:val="19"/>
          <w:szCs w:val="19"/>
          <w:i w:val="1"/>
          <w:iCs w:val="1"/>
          <w:color w:val="auto"/>
        </w:rPr>
        <w:t xml:space="preserve"> </w:t>
      </w:r>
      <w:r>
        <w:rPr>
          <w:rFonts w:ascii="Arial" w:cs="Arial" w:eastAsia="Arial" w:hAnsi="Arial"/>
          <w:sz w:val="19"/>
          <w:szCs w:val="19"/>
          <w:color w:val="auto"/>
        </w:rPr>
        <w:t>awards pursuant to any plans or arrangements the Company may have in effect from time to time. The Board or Committee, as applicable, will determine in its sole discretion whether you will be granted any such equity awards and the terms of any such award in accordance with the terms of any applicable plan or arrangement that may be in effect from time to time.</w:t>
      </w:r>
    </w:p>
    <w:p>
      <w:pPr>
        <w:spacing w:after="0" w:line="169" w:lineRule="exact"/>
        <w:rPr>
          <w:rFonts w:ascii="Arial" w:cs="Arial" w:eastAsia="Arial" w:hAnsi="Arial"/>
          <w:sz w:val="19"/>
          <w:szCs w:val="19"/>
          <w:color w:val="auto"/>
        </w:rPr>
      </w:pPr>
    </w:p>
    <w:p>
      <w:pPr>
        <w:ind w:left="400" w:right="140" w:hanging="392"/>
        <w:spacing w:after="0" w:line="282" w:lineRule="auto"/>
        <w:tabs>
          <w:tab w:leader="none" w:pos="400" w:val="left"/>
        </w:tabs>
        <w:numPr>
          <w:ilvl w:val="0"/>
          <w:numId w:val="100"/>
        </w:numPr>
        <w:rPr>
          <w:rFonts w:ascii="Arial" w:cs="Arial" w:eastAsia="Arial" w:hAnsi="Arial"/>
          <w:sz w:val="19"/>
          <w:szCs w:val="19"/>
          <w:color w:val="auto"/>
        </w:rPr>
      </w:pPr>
      <w:r>
        <w:rPr>
          <w:rFonts w:ascii="Arial" w:cs="Arial" w:eastAsia="Arial" w:hAnsi="Arial"/>
          <w:sz w:val="19"/>
          <w:szCs w:val="19"/>
          <w:i w:val="1"/>
          <w:iCs w:val="1"/>
          <w:color w:val="auto"/>
        </w:rPr>
        <w:t xml:space="preserve">Employee Benefits. </w:t>
      </w:r>
      <w:r>
        <w:rPr>
          <w:rFonts w:ascii="Arial" w:cs="Arial" w:eastAsia="Arial" w:hAnsi="Arial"/>
          <w:sz w:val="19"/>
          <w:szCs w:val="19"/>
          <w:color w:val="auto"/>
        </w:rPr>
        <w:t>You will continue to be eligible to participate in all of the employee benefits and benefit plans that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generally makes available to its regular full-time employees, including, group health plans, life, disability and AD&amp;D insurances, and a 401k Plan. In addition, during your employment, you will continue to be eligible for other standard benefits, such as paid time off and holidays to the extent applicable generally to other similarly situated employees of the Company. The Company reserves the right to terminate, modify or add to its benefits and benefit plans at any time.</w:t>
      </w:r>
    </w:p>
    <w:p>
      <w:pPr>
        <w:spacing w:after="0" w:line="174" w:lineRule="exact"/>
        <w:rPr>
          <w:rFonts w:ascii="Arial" w:cs="Arial" w:eastAsia="Arial" w:hAnsi="Arial"/>
          <w:sz w:val="19"/>
          <w:szCs w:val="19"/>
          <w:color w:val="auto"/>
        </w:rPr>
      </w:pPr>
    </w:p>
    <w:p>
      <w:pPr>
        <w:ind w:left="400" w:hanging="392"/>
        <w:spacing w:after="0" w:line="269" w:lineRule="auto"/>
        <w:tabs>
          <w:tab w:leader="none" w:pos="400" w:val="left"/>
        </w:tabs>
        <w:numPr>
          <w:ilvl w:val="0"/>
          <w:numId w:val="100"/>
        </w:numPr>
        <w:rPr>
          <w:rFonts w:ascii="Arial" w:cs="Arial" w:eastAsia="Arial" w:hAnsi="Arial"/>
          <w:sz w:val="19"/>
          <w:szCs w:val="19"/>
          <w:color w:val="auto"/>
        </w:rPr>
      </w:pPr>
      <w:r>
        <w:rPr>
          <w:rFonts w:ascii="Arial" w:cs="Arial" w:eastAsia="Arial" w:hAnsi="Arial"/>
          <w:sz w:val="19"/>
          <w:szCs w:val="19"/>
          <w:i w:val="1"/>
          <w:iCs w:val="1"/>
          <w:color w:val="auto"/>
        </w:rPr>
        <w:t>Severance</w:t>
      </w:r>
      <w:r>
        <w:rPr>
          <w:rFonts w:ascii="Arial" w:cs="Arial" w:eastAsia="Arial" w:hAnsi="Arial"/>
          <w:sz w:val="19"/>
          <w:szCs w:val="19"/>
          <w:color w:val="auto"/>
        </w:rPr>
        <w:t>. If your employment with the Company is terminated by the Company without Cause or you resign for Good</w:t>
      </w:r>
      <w:r>
        <w:rPr>
          <w:rFonts w:ascii="Arial" w:cs="Arial" w:eastAsia="Arial" w:hAnsi="Arial"/>
          <w:sz w:val="19"/>
          <w:szCs w:val="19"/>
          <w:i w:val="1"/>
          <w:iCs w:val="1"/>
          <w:color w:val="auto"/>
        </w:rPr>
        <w:t xml:space="preserve"> </w:t>
      </w:r>
      <w:r>
        <w:rPr>
          <w:rFonts w:ascii="Arial" w:cs="Arial" w:eastAsia="Arial" w:hAnsi="Arial"/>
          <w:sz w:val="19"/>
          <w:szCs w:val="19"/>
          <w:color w:val="auto"/>
        </w:rPr>
        <w:t>Reason (each, as defined below), subject to your execution and delivery to the Company of a general release of all claims against the Company and its affiliates in a form acceptable to the Company (a “Release”) that becomes effective and irrevocable within sixty (60) days following such termination of employment, then you will be entitled to the following: (i) continued payment of your base salary at the rate in effect immediately prior to your date of termination during the period commencing on your termination date and ending on the six (6)-month anniversary of your termination date (the “Severance Period”), payable in substantially equal installments in accordance with the Company’s standard payroll policies, less applicable withholdings, with such installments to commence on the first payroll date following the date the Release becomes effective and irrevocable with the first installment to include any amount that would have been paid had the Release been effective and irrevocable on your termination date; (ii) if you elect to receive continued healthcare coverage pursuant to the provisions of the Consolidated Omnibus Budget Reconciliation Act of 1985, as amended (“COBRA”), the Company shall directly pay, or reimburse you for, the premium for you and your covered dependents through the earlier of (A) the end of the Severance Period and (B) the date you and your covered dependents, if any, become eligible for healthcare coverage under another employer’s plan(s) (and you agree to promptly notify the Company of such eligibility), provided that if the Company determines that it cannot provide the foregoing benefit without potentially violating applicable law (including, without limitation, Section 2716 of the Public Health Service Act) or incurring an excise tax, then, in lieu of the foregoing benefit, a taxable amount equal to each remaining Company subsidy payment will thereafter be paid to you in substantially equal monthly installments; (iii) each outstanding equity award held by you will automatically vest with respect to that number of shares that would have vested during the Severance Period had your employment continued; and (iv) each of your options to purchase the Company’s common stock that is vested as of your termination date (after giving effect to any applicable accelerated vesting) will remain exercisable until the earlier of the thirty-six (36)-month anniversary of your termination date or the original expiration date of the option. In addition, if your employment with the Company is terminated by the Company without Cause or you resign for Good Reason, in each case, within twelve (12) months following a Change in Control (as defined below), subject to your execution and delivery to the Company of a Release that becomes effective and irrevocable within sixty (60) days following such termination of employment, then each outstanding equity award held by you will automatically vest in full.</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left="400"/>
        <w:spacing w:after="0"/>
        <w:rPr>
          <w:rFonts w:ascii="Arial" w:cs="Arial" w:eastAsia="Arial" w:hAnsi="Arial"/>
          <w:sz w:val="19"/>
          <w:szCs w:val="19"/>
          <w:color w:val="auto"/>
        </w:rPr>
      </w:pPr>
      <w:r>
        <w:rPr>
          <w:rFonts w:ascii="Arial" w:cs="Arial" w:eastAsia="Arial" w:hAnsi="Arial"/>
          <w:sz w:val="22"/>
          <w:szCs w:val="22"/>
          <w:color w:val="auto"/>
        </w:rPr>
        <w:t>For purposes of this Agreement, “Cause” shall mean (i) material breach of any of your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color w:val="auto"/>
        </w:rPr>
        <w:t>DocuSign Envelope ID: 2DDB78FC-B0D7-40D1-AF5A-3F060FD066DF</w:t>
      </w:r>
    </w:p>
    <w:p>
      <w:pPr>
        <w:spacing w:after="0" w:line="227" w:lineRule="exact"/>
        <w:rPr>
          <w:sz w:val="20"/>
          <w:szCs w:val="20"/>
          <w:color w:val="auto"/>
        </w:rPr>
      </w:pPr>
    </w:p>
    <w:p>
      <w:pPr>
        <w:ind w:left="400" w:right="60"/>
        <w:spacing w:after="0" w:line="275" w:lineRule="auto"/>
        <w:rPr>
          <w:sz w:val="20"/>
          <w:szCs w:val="20"/>
          <w:color w:val="auto"/>
        </w:rPr>
      </w:pPr>
      <w:r>
        <w:rPr>
          <w:rFonts w:ascii="Arial" w:cs="Arial" w:eastAsia="Arial" w:hAnsi="Arial"/>
          <w:sz w:val="19"/>
          <w:szCs w:val="19"/>
          <w:color w:val="auto"/>
        </w:rPr>
        <w:t>or obligations contained in this Agreement, including your willful failure or refusal to perform the job duties and responsibilities assigned to you by the Company, which if such material breach is reasonably susceptible of cure is not cured after thirty (30) days have elapsed following the date on which the Company gives you written notice of such breach; (ii) conviction of, or plea of guilty or nolo contendere to, any felony or any crime involving moral turpitude; (iii) participation in a fraud, act of dishonesty or misappropriation or similar conduct against the Company; (iv) conduct that is materially injurious to the Company or its affiliates or subsidiaries, monetarily or otherwise; (v) improper use or disclosure of the Company’s confidential or proprietary information; or (vi) obtaining a direct or indirect personal benefit from the transfer or use of the Company’s trade secrets or intellectual property other than on the Company’s behalf.</w:t>
      </w:r>
    </w:p>
    <w:p>
      <w:pPr>
        <w:spacing w:after="0" w:line="184" w:lineRule="exact"/>
        <w:rPr>
          <w:sz w:val="20"/>
          <w:szCs w:val="20"/>
          <w:color w:val="auto"/>
        </w:rPr>
      </w:pPr>
    </w:p>
    <w:p>
      <w:pPr>
        <w:ind w:left="400" w:right="20"/>
        <w:spacing w:after="0" w:line="282" w:lineRule="auto"/>
        <w:rPr>
          <w:sz w:val="20"/>
          <w:szCs w:val="20"/>
          <w:color w:val="auto"/>
        </w:rPr>
      </w:pPr>
      <w:r>
        <w:rPr>
          <w:rFonts w:ascii="Arial" w:cs="Arial" w:eastAsia="Arial" w:hAnsi="Arial"/>
          <w:sz w:val="19"/>
          <w:szCs w:val="19"/>
          <w:color w:val="auto"/>
        </w:rPr>
        <w:t>For the purposes of this Agreement, “Change in Control” shall mean the consummation of any of the following: (x) the Company’s sale of all or substantially all of its assets, (y) a sale of all of the shares held by the stockholders or (z) any merger, consolidation, sale of a majority of the Company’s capital stock (other than in a transaction described in clause (y)) or other similar transaction involving the Company and as a result of which the holders of the Company’s capital stock immediately prior to the transaction will own less than 50% of the voting power of the Company’s capital stock.</w:t>
      </w:r>
    </w:p>
    <w:p>
      <w:pPr>
        <w:spacing w:after="0" w:line="174" w:lineRule="exact"/>
        <w:rPr>
          <w:sz w:val="20"/>
          <w:szCs w:val="20"/>
          <w:color w:val="auto"/>
        </w:rPr>
      </w:pPr>
    </w:p>
    <w:p>
      <w:pPr>
        <w:ind w:left="400"/>
        <w:spacing w:after="0" w:line="271" w:lineRule="auto"/>
        <w:rPr>
          <w:sz w:val="20"/>
          <w:szCs w:val="20"/>
          <w:color w:val="auto"/>
        </w:rPr>
      </w:pPr>
      <w:r>
        <w:rPr>
          <w:rFonts w:ascii="Arial" w:cs="Arial" w:eastAsia="Arial" w:hAnsi="Arial"/>
          <w:sz w:val="19"/>
          <w:szCs w:val="19"/>
          <w:color w:val="auto"/>
        </w:rPr>
        <w:t>For the purposes of this Agreement, “Good Reason” shall mean the continuance of any of the following events without your written consent: (i) any material breach of the terms of this Agreement by the Company; (ii) any material restriction or diminution in your duties or responsibilities; (iii) any change in the location of your principal place of employment that increases your one-way commute in excess of fifty (50) miles from your principal place of employment prior to such change;</w:t>
      </w:r>
    </w:p>
    <w:p>
      <w:pPr>
        <w:spacing w:after="0" w:line="3" w:lineRule="exact"/>
        <w:rPr>
          <w:sz w:val="20"/>
          <w:szCs w:val="20"/>
          <w:color w:val="auto"/>
        </w:rPr>
      </w:pPr>
    </w:p>
    <w:p>
      <w:pPr>
        <w:ind w:left="400" w:right="60" w:firstLine="3"/>
        <w:spacing w:after="0" w:line="272" w:lineRule="auto"/>
        <w:tabs>
          <w:tab w:leader="none" w:pos="76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any material failure by the Company to pay your base salary, bonuses that you have earned, or benefits that you are entitled to receive under this Agreement, or any material reduction by the Company of your base salary under this Agreement, provided, however, that if the Company institutes a Company-wide reduction in salaries, bonuses and benefits for other executive management team members, such reduction shall not be deemed “material” for this definition. Notwithstanding the foregoing, your resignation shall not constitute a resignation for “Good Reason” unless (X) you provide advance written notice of such resignation to the Company within sixty (60) days of the initial occurrence of the event or action giving rise to Good Reason, (Y) such written notice specifies that your resignation is effective not less than thirty (30) days, nor more than sixty (60) days, after the date of the written notice, and (Z) the Company fails to remedy the basis for Good Reason prior to the date of resignation specified in the written notice.</w:t>
      </w:r>
    </w:p>
    <w:p>
      <w:pPr>
        <w:spacing w:after="0" w:line="183" w:lineRule="exact"/>
        <w:rPr>
          <w:sz w:val="20"/>
          <w:szCs w:val="20"/>
          <w:color w:val="auto"/>
        </w:rPr>
      </w:pPr>
    </w:p>
    <w:p>
      <w:pPr>
        <w:ind w:left="400" w:right="120"/>
        <w:spacing w:after="0" w:line="269" w:lineRule="auto"/>
        <w:rPr>
          <w:sz w:val="20"/>
          <w:szCs w:val="20"/>
          <w:color w:val="auto"/>
        </w:rPr>
      </w:pPr>
      <w:r>
        <w:rPr>
          <w:rFonts w:ascii="Arial" w:cs="Arial" w:eastAsia="Arial" w:hAnsi="Arial"/>
          <w:sz w:val="19"/>
          <w:szCs w:val="19"/>
          <w:color w:val="auto"/>
        </w:rPr>
        <w:t>Notwithstanding anything to the contrary contained in this Agreement, no amount deemed deferred compensation subject to Section 409A of the Internal Revenue Code of 1986, as amended, and the regulations and guidance promulgated thereunder (collectively, “Section 409A”) shall be payable pursuant to this Agreement unless your termination of employment constitutes a “separation from service” with the Company within the meaning of Section 409A (a “Separation from Service”). Notwithstanding anything to the contrary contained in this Agreement, if you are deemed by the Company at the time of your Separation from Service to be a “specified employee” for purposes of Section 409A, to the extent delayed commencement of any portion of the benefits to which you are entitled under this Agreement is required in order to avoid a prohibited distribution under Section 409A, such portion of your benefits shall not be provided to you prior to the earlier of</w:t>
      </w:r>
    </w:p>
    <w:p>
      <w:pPr>
        <w:spacing w:after="0" w:line="3" w:lineRule="exact"/>
        <w:rPr>
          <w:sz w:val="20"/>
          <w:szCs w:val="20"/>
          <w:color w:val="auto"/>
        </w:rPr>
      </w:pPr>
    </w:p>
    <w:p>
      <w:pPr>
        <w:ind w:left="400" w:right="120" w:firstLine="3"/>
        <w:spacing w:after="0" w:line="234" w:lineRule="auto"/>
        <w:tabs>
          <w:tab w:leader="none" w:pos="65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expiration of the six- month period measured from the date of your Separation from Service with the Company or (ii) the date of your death. Upon the first business day following the expiration of the applicable Section 409A period, all payments deferred pursuant to the preceding sentence will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color w:val="auto"/>
        </w:rPr>
        <w:t>DocuSign Envelope ID: 2DDB78FC-B0D7-40D1-AF5A-3F060FD066DF</w:t>
      </w:r>
    </w:p>
    <w:p>
      <w:pPr>
        <w:spacing w:after="0" w:line="227" w:lineRule="exact"/>
        <w:rPr>
          <w:sz w:val="20"/>
          <w:szCs w:val="20"/>
          <w:color w:val="auto"/>
        </w:rPr>
      </w:pPr>
    </w:p>
    <w:p>
      <w:pPr>
        <w:ind w:left="400"/>
        <w:spacing w:after="0" w:line="248" w:lineRule="auto"/>
        <w:rPr>
          <w:sz w:val="20"/>
          <w:szCs w:val="20"/>
          <w:color w:val="auto"/>
        </w:rPr>
      </w:pPr>
      <w:r>
        <w:rPr>
          <w:rFonts w:ascii="Arial" w:cs="Arial" w:eastAsia="Arial" w:hAnsi="Arial"/>
          <w:sz w:val="21"/>
          <w:szCs w:val="21"/>
          <w:color w:val="auto"/>
        </w:rPr>
        <w:t>in a lump-sum to you (or your estate or beneficiaries), and any remaining payments due to you under this Agreement shall be paid as otherwise provided herein. For purposes of Section 409A, your right to receive any installment payments under this Agreement as amended herein will be treated as a right to receive a series of separate payments and, accordingly, each such installment payment shall at all times be considered a separate and distinct payment. Except as otherwise permitted under Section 409A, no payment hereunder shall be accelerated or deferred unless such acceleration or deferral would not result in additional tax or interest pursuant to Section 409A.</w:t>
      </w:r>
    </w:p>
    <w:p>
      <w:pPr>
        <w:spacing w:after="0" w:line="204" w:lineRule="exact"/>
        <w:rPr>
          <w:sz w:val="20"/>
          <w:szCs w:val="20"/>
          <w:color w:val="auto"/>
        </w:rPr>
      </w:pPr>
    </w:p>
    <w:p>
      <w:pPr>
        <w:ind w:left="400" w:right="180" w:hanging="392"/>
        <w:spacing w:after="0" w:line="249" w:lineRule="auto"/>
        <w:tabs>
          <w:tab w:leader="none" w:pos="400" w:val="left"/>
        </w:tabs>
        <w:numPr>
          <w:ilvl w:val="0"/>
          <w:numId w:val="103"/>
        </w:numPr>
        <w:rPr>
          <w:rFonts w:ascii="Arial" w:cs="Arial" w:eastAsia="Arial" w:hAnsi="Arial"/>
          <w:sz w:val="21"/>
          <w:szCs w:val="21"/>
          <w:color w:val="auto"/>
        </w:rPr>
      </w:pPr>
      <w:r>
        <w:rPr>
          <w:rFonts w:ascii="Arial" w:cs="Arial" w:eastAsia="Arial" w:hAnsi="Arial"/>
          <w:sz w:val="21"/>
          <w:szCs w:val="21"/>
          <w:i w:val="1"/>
          <w:iCs w:val="1"/>
          <w:color w:val="auto"/>
        </w:rPr>
        <w:t>Proprietary Information and Inventions</w:t>
      </w:r>
      <w:r>
        <w:rPr>
          <w:rFonts w:ascii="Arial" w:cs="Arial" w:eastAsia="Arial" w:hAnsi="Arial"/>
          <w:sz w:val="21"/>
          <w:szCs w:val="21"/>
          <w:color w:val="auto"/>
        </w:rPr>
        <w:t>. As an employee of the Company, you will continue to have access to certain</w:t>
      </w:r>
      <w:r>
        <w:rPr>
          <w:rFonts w:ascii="Arial" w:cs="Arial" w:eastAsia="Arial" w:hAnsi="Arial"/>
          <w:sz w:val="21"/>
          <w:szCs w:val="21"/>
          <w:i w:val="1"/>
          <w:iCs w:val="1"/>
          <w:color w:val="auto"/>
        </w:rPr>
        <w:t xml:space="preserve"> </w:t>
      </w:r>
      <w:r>
        <w:rPr>
          <w:rFonts w:ascii="Arial" w:cs="Arial" w:eastAsia="Arial" w:hAnsi="Arial"/>
          <w:sz w:val="21"/>
          <w:szCs w:val="21"/>
          <w:color w:val="auto"/>
        </w:rPr>
        <w:t>confidential information of the Company and you may, during the course of your employment, develop certain information or inventions that will be the property of the Company. To protect the interests of the Company, your acceptance of this Agreement confirms that the terms of the Company’s Employee Proprietary Information and Invention Assignment you previously signed with the Company (the “PIIA”) still apply.</w:t>
      </w:r>
    </w:p>
    <w:p>
      <w:pPr>
        <w:spacing w:after="0" w:line="205" w:lineRule="exact"/>
        <w:rPr>
          <w:rFonts w:ascii="Arial" w:cs="Arial" w:eastAsia="Arial" w:hAnsi="Arial"/>
          <w:sz w:val="21"/>
          <w:szCs w:val="21"/>
          <w:color w:val="auto"/>
        </w:rPr>
      </w:pPr>
    </w:p>
    <w:p>
      <w:pPr>
        <w:ind w:left="400" w:hanging="392"/>
        <w:spacing w:after="0" w:line="277" w:lineRule="auto"/>
        <w:tabs>
          <w:tab w:leader="none" w:pos="400" w:val="left"/>
        </w:tabs>
        <w:numPr>
          <w:ilvl w:val="0"/>
          <w:numId w:val="103"/>
        </w:numPr>
        <w:rPr>
          <w:rFonts w:ascii="Arial" w:cs="Arial" w:eastAsia="Arial" w:hAnsi="Arial"/>
          <w:sz w:val="19"/>
          <w:szCs w:val="19"/>
          <w:color w:val="auto"/>
        </w:rPr>
      </w:pPr>
      <w:r>
        <w:rPr>
          <w:rFonts w:ascii="Arial" w:cs="Arial" w:eastAsia="Arial" w:hAnsi="Arial"/>
          <w:sz w:val="19"/>
          <w:szCs w:val="19"/>
          <w:i w:val="1"/>
          <w:iCs w:val="1"/>
          <w:color w:val="auto"/>
        </w:rPr>
        <w:t>At</w:t>
      </w:r>
      <w:r>
        <w:rPr>
          <w:rFonts w:ascii="Arial" w:cs="Arial" w:eastAsia="Arial" w:hAnsi="Arial"/>
          <w:sz w:val="19"/>
          <w:szCs w:val="19"/>
          <w:color w:val="auto"/>
        </w:rPr>
        <w:t>-</w:t>
      </w:r>
      <w:r>
        <w:rPr>
          <w:rFonts w:ascii="Arial" w:cs="Arial" w:eastAsia="Arial" w:hAnsi="Arial"/>
          <w:sz w:val="19"/>
          <w:szCs w:val="19"/>
          <w:i w:val="1"/>
          <w:iCs w:val="1"/>
          <w:color w:val="auto"/>
        </w:rPr>
        <w:t>Will Employment</w:t>
      </w:r>
      <w:r>
        <w:rPr>
          <w:rFonts w:ascii="Arial" w:cs="Arial" w:eastAsia="Arial" w:hAnsi="Arial"/>
          <w:sz w:val="19"/>
          <w:szCs w:val="19"/>
          <w:color w:val="auto"/>
        </w:rPr>
        <w:t>. Notwithstanding any of the above, your employment with the Company continues to be “at will”. This</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that it is not for any specified period of time and can be terminated by you or by the Company at any time, with or without advance notice, and for any or no particular reason or cause. It also means that your job duties, title and responsibility and reporting level, work schedule, compensation and benefits, as well as the Company’s personnel policies and procedures, may be changed with prospective effect, with or without notice, at any time in the sole discretion of the Company. This “at-will” nature of your employment shall remain unchanged during your tenure as an employee and may not be changed, except in an express writing signed by you and the Chief Executive Officer of the Company.</w:t>
      </w:r>
    </w:p>
    <w:p>
      <w:pPr>
        <w:spacing w:after="0" w:line="178" w:lineRule="exact"/>
        <w:rPr>
          <w:rFonts w:ascii="Arial" w:cs="Arial" w:eastAsia="Arial" w:hAnsi="Arial"/>
          <w:sz w:val="19"/>
          <w:szCs w:val="19"/>
          <w:color w:val="auto"/>
        </w:rPr>
      </w:pPr>
    </w:p>
    <w:p>
      <w:pPr>
        <w:ind w:left="400" w:hanging="392"/>
        <w:spacing w:after="0" w:line="235" w:lineRule="auto"/>
        <w:tabs>
          <w:tab w:leader="none" w:pos="400" w:val="left"/>
        </w:tabs>
        <w:numPr>
          <w:ilvl w:val="0"/>
          <w:numId w:val="103"/>
        </w:numPr>
        <w:rPr>
          <w:rFonts w:ascii="Arial" w:cs="Arial" w:eastAsia="Arial" w:hAnsi="Arial"/>
          <w:sz w:val="22"/>
          <w:szCs w:val="22"/>
          <w:color w:val="auto"/>
        </w:rPr>
      </w:pPr>
      <w:r>
        <w:rPr>
          <w:rFonts w:ascii="Arial" w:cs="Arial" w:eastAsia="Arial" w:hAnsi="Arial"/>
          <w:sz w:val="22"/>
          <w:szCs w:val="22"/>
          <w:i w:val="1"/>
          <w:iCs w:val="1"/>
          <w:color w:val="auto"/>
        </w:rPr>
        <w:t xml:space="preserve">Miscellaneous. </w:t>
      </w:r>
      <w:r>
        <w:rPr>
          <w:rFonts w:ascii="Arial" w:cs="Arial" w:eastAsia="Arial" w:hAnsi="Arial"/>
          <w:sz w:val="22"/>
          <w:szCs w:val="22"/>
          <w:color w:val="auto"/>
        </w:rPr>
        <w:t>If you accept this Agreement, this Agreement and the PIIA shall constitute the complete agreement between</w:t>
      </w:r>
      <w:r>
        <w:rPr>
          <w:rFonts w:ascii="Arial" w:cs="Arial" w:eastAsia="Arial" w:hAnsi="Arial"/>
          <w:sz w:val="22"/>
          <w:szCs w:val="22"/>
          <w:i w:val="1"/>
          <w:iCs w:val="1"/>
          <w:color w:val="auto"/>
        </w:rPr>
        <w:t xml:space="preserve"> </w:t>
      </w:r>
      <w:r>
        <w:rPr>
          <w:rFonts w:ascii="Arial" w:cs="Arial" w:eastAsia="Arial" w:hAnsi="Arial"/>
          <w:sz w:val="22"/>
          <w:szCs w:val="22"/>
          <w:color w:val="auto"/>
        </w:rPr>
        <w:t>you and Company with respect to the terms and conditions of your employment. Any prior or contemporaneous representations (whether oral or written) not contained in this Agreement or PIIA or contrary to those contained in this Agreement or the PIIA that may have been made to you are expressly cancelled and superseded by this Agreement and PIIA. This Agreement shall be interpreted and construed in accordance with California law without regard to any conflicts of laws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color w:val="auto"/>
        </w:rPr>
        <w:t>DocuSign Envelope ID: 2DDB78FC-B0D7-40D1-AF5A-3F060FD066DF</w:t>
      </w:r>
    </w:p>
    <w:p>
      <w:pPr>
        <w:spacing w:after="0" w:line="200" w:lineRule="exact"/>
        <w:rPr>
          <w:sz w:val="20"/>
          <w:szCs w:val="20"/>
          <w:color w:val="auto"/>
        </w:rPr>
      </w:pPr>
    </w:p>
    <w:p>
      <w:pPr>
        <w:spacing w:after="0" w:line="257" w:lineRule="exact"/>
        <w:rPr>
          <w:sz w:val="20"/>
          <w:szCs w:val="20"/>
          <w:color w:val="auto"/>
        </w:rPr>
      </w:pPr>
    </w:p>
    <w:p>
      <w:pPr>
        <w:ind w:firstLine="395"/>
        <w:spacing w:after="0" w:line="274" w:lineRule="auto"/>
        <w:rPr>
          <w:sz w:val="20"/>
          <w:szCs w:val="20"/>
          <w:color w:val="auto"/>
        </w:rPr>
      </w:pPr>
      <w:r>
        <w:rPr>
          <w:rFonts w:ascii="Arial" w:cs="Arial" w:eastAsia="Arial" w:hAnsi="Arial"/>
          <w:sz w:val="21"/>
          <w:szCs w:val="21"/>
          <w:color w:val="auto"/>
        </w:rPr>
        <w:t>To confirm the current terms and conditions of your employment, please sign and date in the spaces indicated and return the Agreement to me. We look forward to the continuation of a productive and enjoyable work relationship.</w:t>
      </w:r>
    </w:p>
    <w:p>
      <w:pPr>
        <w:spacing w:after="0" w:line="17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Sincerely,</w:t>
      </w:r>
    </w:p>
    <w:p>
      <w:pPr>
        <w:spacing w:after="0" w:line="227" w:lineRule="exact"/>
        <w:rPr>
          <w:sz w:val="20"/>
          <w:szCs w:val="20"/>
          <w:color w:val="auto"/>
        </w:rPr>
      </w:pPr>
    </w:p>
    <w:p>
      <w:pPr>
        <w:ind w:left="6200"/>
        <w:spacing w:after="0"/>
        <w:rPr>
          <w:sz w:val="20"/>
          <w:szCs w:val="20"/>
          <w:color w:val="auto"/>
        </w:rPr>
      </w:pPr>
      <w:r>
        <w:rPr>
          <w:rFonts w:ascii="Arial" w:cs="Arial" w:eastAsia="Arial" w:hAnsi="Arial"/>
          <w:sz w:val="22"/>
          <w:szCs w:val="22"/>
          <w:b w:val="1"/>
          <w:bCs w:val="1"/>
          <w:color w:val="auto"/>
        </w:rPr>
        <w:t>Aligos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10795</wp:posOffset>
            </wp:positionV>
            <wp:extent cx="925830" cy="402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925830" cy="402590"/>
                    </a:xfrm>
                    <a:prstGeom prst="rect">
                      <a:avLst/>
                    </a:prstGeom>
                    <a:noFill/>
                  </pic:spPr>
                </pic:pic>
              </a:graphicData>
            </a:graphic>
          </wp:anchor>
        </w:drawing>
      </w:r>
    </w:p>
    <w:p>
      <w:pPr>
        <w:spacing w:after="0" w:line="36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6985</wp:posOffset>
            </wp:positionV>
            <wp:extent cx="2802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27"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Name: Lawrence M.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6985</wp:posOffset>
            </wp:positionV>
            <wp:extent cx="2802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27" w:lineRule="exact"/>
        <w:rPr>
          <w:sz w:val="20"/>
          <w:szCs w:val="20"/>
          <w:color w:val="auto"/>
        </w:rPr>
      </w:pPr>
    </w:p>
    <w:p>
      <w:pPr>
        <w:ind w:left="6200"/>
        <w:spacing w:after="0"/>
        <w:tabs>
          <w:tab w:leader="none" w:pos="6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6985</wp:posOffset>
            </wp:positionV>
            <wp:extent cx="2802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to and 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54100" cy="403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10541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Julian Symons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22"/>
          <w:szCs w:val="22"/>
          <w:color w:val="auto"/>
        </w:rPr>
        <w:t>5/15/2019</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2061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ind w:left="10180"/>
        <w:spacing w:after="0"/>
        <w:rPr>
          <w:sz w:val="20"/>
          <w:szCs w:val="20"/>
          <w:color w:val="auto"/>
        </w:rPr>
      </w:pPr>
      <w:r>
        <w:rPr>
          <w:rFonts w:ascii="Arial" w:cs="Arial" w:eastAsia="Arial" w:hAnsi="Arial"/>
          <w:sz w:val="19"/>
          <w:szCs w:val="19"/>
          <w:b w:val="1"/>
          <w:bCs w:val="1"/>
          <w:color w:val="auto"/>
        </w:rPr>
        <w:t>Exhibit10.4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ALIGOS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182"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2"/>
          <w:szCs w:val="22"/>
          <w:color w:val="auto"/>
        </w:rPr>
        <w:t>This Change in Control and Severance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by and between [____________] (“</w:t>
      </w:r>
      <w:r>
        <w:rPr>
          <w:rFonts w:ascii="Arial" w:cs="Arial" w:eastAsia="Arial" w:hAnsi="Arial"/>
          <w:sz w:val="22"/>
          <w:szCs w:val="22"/>
          <w:b w:val="1"/>
          <w:bCs w:val="1"/>
          <w:color w:val="auto"/>
        </w:rPr>
        <w:t>Executive</w:t>
      </w:r>
      <w:r>
        <w:rPr>
          <w:rFonts w:ascii="Arial" w:cs="Arial" w:eastAsia="Arial" w:hAnsi="Arial"/>
          <w:sz w:val="22"/>
          <w:szCs w:val="22"/>
          <w:color w:val="auto"/>
        </w:rPr>
        <w:t>”) and Aligos Therapeutics, Inc. (the “</w:t>
      </w:r>
      <w:r>
        <w:rPr>
          <w:rFonts w:ascii="Arial" w:cs="Arial" w:eastAsia="Arial" w:hAnsi="Arial"/>
          <w:sz w:val="22"/>
          <w:szCs w:val="22"/>
          <w:b w:val="1"/>
          <w:bCs w:val="1"/>
          <w:color w:val="auto"/>
        </w:rPr>
        <w:t>Company</w:t>
      </w:r>
      <w:r>
        <w:rPr>
          <w:rFonts w:ascii="Arial" w:cs="Arial" w:eastAsia="Arial" w:hAnsi="Arial"/>
          <w:sz w:val="22"/>
          <w:szCs w:val="22"/>
          <w:color w:val="auto"/>
        </w:rPr>
        <w:t>”), effective as of December 1, 2020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Background</w:t>
      </w:r>
    </w:p>
    <w:p>
      <w:pPr>
        <w:spacing w:after="0" w:line="200" w:lineRule="exact"/>
        <w:rPr>
          <w:sz w:val="20"/>
          <w:szCs w:val="20"/>
          <w:color w:val="auto"/>
        </w:rPr>
      </w:pPr>
    </w:p>
    <w:p>
      <w:pPr>
        <w:jc w:val="both"/>
        <w:ind w:firstLine="840"/>
        <w:spacing w:after="0" w:line="237" w:lineRule="auto"/>
        <w:tabs>
          <w:tab w:leader="none" w:pos="169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recognizes that the possibility of an acquisition of the Company or an involuntary termination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187" w:lineRule="exact"/>
        <w:rPr>
          <w:rFonts w:ascii="Arial" w:cs="Arial" w:eastAsia="Arial" w:hAnsi="Arial"/>
          <w:sz w:val="22"/>
          <w:szCs w:val="22"/>
          <w:color w:val="auto"/>
        </w:rPr>
      </w:pPr>
    </w:p>
    <w:p>
      <w:pPr>
        <w:jc w:val="both"/>
        <w:ind w:firstLine="840"/>
        <w:spacing w:after="0"/>
        <w:tabs>
          <w:tab w:leader="none" w:pos="167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186" w:lineRule="exact"/>
        <w:rPr>
          <w:rFonts w:ascii="Arial" w:cs="Arial" w:eastAsia="Arial" w:hAnsi="Arial"/>
          <w:sz w:val="22"/>
          <w:szCs w:val="22"/>
          <w:color w:val="auto"/>
        </w:rPr>
      </w:pPr>
    </w:p>
    <w:p>
      <w:pPr>
        <w:jc w:val="both"/>
        <w:ind w:firstLine="840"/>
        <w:spacing w:after="0" w:line="257" w:lineRule="auto"/>
        <w:tabs>
          <w:tab w:leader="none" w:pos="167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169" w:lineRule="exact"/>
        <w:rPr>
          <w:rFonts w:ascii="Arial" w:cs="Arial" w:eastAsia="Arial" w:hAnsi="Arial"/>
          <w:sz w:val="21"/>
          <w:szCs w:val="21"/>
          <w:color w:val="auto"/>
        </w:rPr>
      </w:pPr>
    </w:p>
    <w:p>
      <w:pPr>
        <w:ind w:left="5140" w:right="400" w:hanging="4300"/>
        <w:spacing w:after="0" w:line="435" w:lineRule="auto"/>
        <w:tabs>
          <w:tab w:leader="none" w:pos="169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Unless otherwise defined herein, capitalized terms used in this Agreement are defined in Section 9 below. </w:t>
      </w:r>
      <w:r>
        <w:rPr>
          <w:rFonts w:ascii="Arial" w:cs="Arial" w:eastAsia="Arial" w:hAnsi="Arial"/>
          <w:sz w:val="22"/>
          <w:szCs w:val="22"/>
          <w:u w:val="single" w:color="auto"/>
          <w:color w:val="auto"/>
        </w:rPr>
        <w:t>Agreement</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The parties hereto agree as follows:</w:t>
      </w:r>
    </w:p>
    <w:p>
      <w:pPr>
        <w:spacing w:after="0" w:line="206" w:lineRule="exact"/>
        <w:rPr>
          <w:sz w:val="20"/>
          <w:szCs w:val="20"/>
          <w:color w:val="auto"/>
        </w:rPr>
      </w:pPr>
    </w:p>
    <w:p>
      <w:pPr>
        <w:ind w:firstLine="840"/>
        <w:spacing w:after="0" w:line="250" w:lineRule="auto"/>
        <w:tabs>
          <w:tab w:leader="none" w:pos="164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shall become effective as of the Effective Date and terminate upon the date that all obligations of the parties hereto with respect to this Agreement have been satisfied.</w:t>
      </w:r>
    </w:p>
    <w:p>
      <w:pPr>
        <w:spacing w:after="0" w:line="174" w:lineRule="exact"/>
        <w:rPr>
          <w:rFonts w:ascii="Arial" w:cs="Arial" w:eastAsia="Arial" w:hAnsi="Arial"/>
          <w:sz w:val="22"/>
          <w:szCs w:val="22"/>
          <w:color w:val="auto"/>
        </w:rPr>
      </w:pPr>
    </w:p>
    <w:p>
      <w:pPr>
        <w:jc w:val="both"/>
        <w:ind w:firstLine="840"/>
        <w:spacing w:after="0" w:line="238" w:lineRule="auto"/>
        <w:tabs>
          <w:tab w:leader="none" w:pos="164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shall continue to be “at-will,” as defined under applicable law. Except as provided in Section 5 below, if Executive’s employment terminates for any reason, Executive shall not be entitled to any severance payments, benefits or compensation other than as provided in this Agreement.</w:t>
      </w:r>
    </w:p>
    <w:p>
      <w:pPr>
        <w:spacing w:after="0" w:line="184" w:lineRule="exact"/>
        <w:rPr>
          <w:rFonts w:ascii="Arial" w:cs="Arial" w:eastAsia="Arial" w:hAnsi="Arial"/>
          <w:sz w:val="22"/>
          <w:szCs w:val="22"/>
          <w:color w:val="auto"/>
        </w:rPr>
      </w:pPr>
    </w:p>
    <w:p>
      <w:pPr>
        <w:ind w:right="20" w:firstLine="840"/>
        <w:spacing w:after="0" w:line="250" w:lineRule="auto"/>
        <w:tabs>
          <w:tab w:leader="none" w:pos="164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Covered Termination Outside a Change in Control Period</w:t>
      </w:r>
      <w:r>
        <w:rPr>
          <w:rFonts w:ascii="Arial" w:cs="Arial" w:eastAsia="Arial" w:hAnsi="Arial"/>
          <w:sz w:val="22"/>
          <w:szCs w:val="22"/>
          <w:color w:val="auto"/>
        </w:rPr>
        <w:t>. If Executive experiences a Covered Termination outside a Change in Control Period, then, subject to (i) Executive delivering to</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0" w:name="page121"/>
    <w:bookmarkEnd w:id="120"/>
    <w:p>
      <w:pPr>
        <w:jc w:val="both"/>
        <w:spacing w:after="0" w:line="249" w:lineRule="auto"/>
        <w:rPr>
          <w:sz w:val="20"/>
          <w:szCs w:val="20"/>
          <w:color w:val="auto"/>
        </w:rPr>
      </w:pPr>
      <w:r>
        <w:rPr>
          <w:rFonts w:ascii="Arial" w:cs="Arial" w:eastAsia="Arial" w:hAnsi="Arial"/>
          <w:sz w:val="21"/>
          <w:szCs w:val="21"/>
          <w:color w:val="auto"/>
        </w:rPr>
        <w:t>the Company an executed general release of all claims against the Company and its affiliates in a form approved by the Company (a “</w:t>
      </w:r>
      <w:r>
        <w:rPr>
          <w:rFonts w:ascii="Arial" w:cs="Arial" w:eastAsia="Arial" w:hAnsi="Arial"/>
          <w:sz w:val="21"/>
          <w:szCs w:val="21"/>
          <w:b w:val="1"/>
          <w:bCs w:val="1"/>
          <w:color w:val="auto"/>
        </w:rPr>
        <w:t>Release of Claims</w:t>
      </w:r>
      <w:r>
        <w:rPr>
          <w:rFonts w:ascii="Arial" w:cs="Arial" w:eastAsia="Arial" w:hAnsi="Arial"/>
          <w:sz w:val="21"/>
          <w:szCs w:val="21"/>
          <w:color w:val="auto"/>
        </w:rPr>
        <w:t>”) that becomes effective and irrevocable in accordance with Section 14(a)(v) below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spacing w:after="0" w:line="178" w:lineRule="exact"/>
        <w:rPr>
          <w:sz w:val="20"/>
          <w:szCs w:val="20"/>
          <w:color w:val="auto"/>
        </w:rPr>
      </w:pPr>
    </w:p>
    <w:p>
      <w:pPr>
        <w:jc w:val="both"/>
        <w:ind w:firstLine="1671"/>
        <w:spacing w:after="0" w:line="246" w:lineRule="auto"/>
        <w:tabs>
          <w:tab w:leader="none" w:pos="2551"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Severance</w:t>
      </w:r>
      <w:r>
        <w:rPr>
          <w:rFonts w:ascii="Arial" w:cs="Arial" w:eastAsia="Arial" w:hAnsi="Arial"/>
          <w:sz w:val="21"/>
          <w:szCs w:val="21"/>
          <w:color w:val="auto"/>
        </w:rPr>
        <w:t>. Executive shall be entitled to receive continued payment of Executive’s annual base salary at the rate in effect immediately prior to the Termination Date during the period commencing on the Termination Date and ending on the nine (9)-month anniversary of the Termination Date (the “</w:t>
      </w:r>
      <w:r>
        <w:rPr>
          <w:rFonts w:ascii="Arial" w:cs="Arial" w:eastAsia="Arial" w:hAnsi="Arial"/>
          <w:sz w:val="21"/>
          <w:szCs w:val="21"/>
          <w:b w:val="1"/>
          <w:bCs w:val="1"/>
          <w:color w:val="auto"/>
        </w:rPr>
        <w:t>Severance Period</w:t>
      </w:r>
      <w:r>
        <w:rPr>
          <w:rFonts w:ascii="Arial" w:cs="Arial" w:eastAsia="Arial" w:hAnsi="Arial"/>
          <w:sz w:val="21"/>
          <w:szCs w:val="21"/>
          <w:color w:val="auto"/>
        </w:rPr>
        <w:t>”), payable in substantially equal installments in accordance with the Company’s standard payroll policies, less applicable withholdings, with such installments to commence on the first payroll date following the date the Release of Claims becomes effective and irrevocable in accordance with Section 14(a)(v) below, with the first installment to include any amount that would have been paid had the Release of Claims been effective and irrevocable on the Termination Date.</w:t>
      </w:r>
    </w:p>
    <w:p>
      <w:pPr>
        <w:spacing w:after="0" w:line="184" w:lineRule="exact"/>
        <w:rPr>
          <w:rFonts w:ascii="Arial" w:cs="Arial" w:eastAsia="Arial" w:hAnsi="Arial"/>
          <w:sz w:val="21"/>
          <w:szCs w:val="21"/>
          <w:color w:val="auto"/>
        </w:rPr>
      </w:pPr>
    </w:p>
    <w:p>
      <w:pPr>
        <w:jc w:val="both"/>
        <w:ind w:firstLine="1671"/>
        <w:spacing w:after="0" w:line="271" w:lineRule="auto"/>
        <w:tabs>
          <w:tab w:leader="none" w:pos="2563"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If Executive timely elects to receive continued healthcare coverage pursuant to the provisions of the Consolidated Omnibus Budget Reconciliation Act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the Company shall directly pay, or reimburse Executive for, the Company’s portion of the premium (at the same rates in effect on the Termination Date) for Executive and Executive’s covered dependents through the earlier of (i) the end of the Severance Period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with the provisions of COBRA. Executive shall notify the Company immediately if Executive becomes covered by a group health plan of a subsequent employer.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671"/>
        <w:spacing w:after="0" w:line="277" w:lineRule="auto"/>
        <w:tabs>
          <w:tab w:leader="none" w:pos="2551"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Each outstanding and unvested equity award (excluding any such awards that vest in whole or in part based on the attainment of performance-vesting conditions) held by Executive shall automatically become vested and, if applicable, exercisable and any forfeiture restrictions or rights of repurchase thereon shall immediately lapse with respect to that number of shares that would have vested and, if applicable, become exercisable during the Severance Period had Executive’s employment continued during such period, and each option held by Executive to purchase the Company’s common stock that is vested as of the Termination Date (after giving effect to any applicable accelerated vesting) will remain exercisable until the earlier of the twelve (12) -month anniversary of the Termination Date or the original expiration of the option.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1" w:name="page122"/>
    <w:bookmarkEnd w:id="121"/>
    <w:p>
      <w:pPr>
        <w:jc w:val="both"/>
        <w:ind w:firstLine="840"/>
        <w:spacing w:after="0" w:line="235" w:lineRule="auto"/>
        <w:tabs>
          <w:tab w:leader="none" w:pos="1642"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Covered Termination During a Change in Control Period</w:t>
      </w:r>
      <w:r>
        <w:rPr>
          <w:rFonts w:ascii="Arial" w:cs="Arial" w:eastAsia="Arial" w:hAnsi="Arial"/>
          <w:sz w:val="22"/>
          <w:szCs w:val="22"/>
          <w:color w:val="auto"/>
        </w:rPr>
        <w:t>. If Executive experiences a Covered Termination during a Change in Control Period, then, subject to (i) Executive delivering to the Company an executed Release of Claims that becomes effective and irrevocable in accordance with Section 14(a)(v) below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spacing w:after="0" w:line="187" w:lineRule="exact"/>
        <w:rPr>
          <w:rFonts w:ascii="Arial" w:cs="Arial" w:eastAsia="Arial" w:hAnsi="Arial"/>
          <w:sz w:val="22"/>
          <w:szCs w:val="22"/>
          <w:color w:val="auto"/>
        </w:rPr>
      </w:pPr>
    </w:p>
    <w:p>
      <w:pPr>
        <w:jc w:val="both"/>
        <w:ind w:firstLine="1671"/>
        <w:spacing w:after="0" w:line="236" w:lineRule="auto"/>
        <w:tabs>
          <w:tab w:leader="none" w:pos="2551" w:val="left"/>
        </w:tabs>
        <w:numPr>
          <w:ilvl w:val="2"/>
          <w:numId w:val="107"/>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 Executive shall be entitled to receive an amount equal to the sum of (x) Executive’s annual base salary at the rate in effect immediately prior to the Termination Date and (y) Executive’s target annual bonus assuming achievement of performance goals at one hundred percent (100%) of target, payable in a cash lump sum, less applicable withholdings, on the first payroll date following the date the Release of Claims becomes effective and irrevocable in accordance with Section 14(a)(v) below.</w:t>
      </w:r>
    </w:p>
    <w:p>
      <w:pPr>
        <w:spacing w:after="0" w:line="187" w:lineRule="exact"/>
        <w:rPr>
          <w:rFonts w:ascii="Arial" w:cs="Arial" w:eastAsia="Arial" w:hAnsi="Arial"/>
          <w:sz w:val="22"/>
          <w:szCs w:val="22"/>
          <w:color w:val="auto"/>
        </w:rPr>
      </w:pPr>
    </w:p>
    <w:p>
      <w:pPr>
        <w:jc w:val="both"/>
        <w:ind w:firstLine="1671"/>
        <w:spacing w:after="0" w:line="272" w:lineRule="auto"/>
        <w:tabs>
          <w:tab w:leader="none" w:pos="2563" w:val="left"/>
        </w:tabs>
        <w:numPr>
          <w:ilvl w:val="2"/>
          <w:numId w:val="107"/>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If Executive timely elects to receive continued healthcare coverage pursuant to the provisions of COBRA, the Company shall directly pay, or reimburse Executive for, the Company’s portion of the premium (at the same rates in effect on the Termination Date) for Executive and Executive’s covered dependents through the earlier of (i) the first anniversary of the Termination Date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4(b), Executive may, if eligible, elect to continue healthcare coverage at Executive’s expense in accordance with the provisions of COBRA. Executive shall notify the Company immediately if Executive becomes covered by a group health plan of a subsequent employer.</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671"/>
        <w:spacing w:after="0" w:line="269" w:lineRule="auto"/>
        <w:tabs>
          <w:tab w:leader="none" w:pos="2551" w:val="left"/>
        </w:tabs>
        <w:numPr>
          <w:ilvl w:val="2"/>
          <w:numId w:val="107"/>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Each outstanding and unvested equity award held by Executive shall automatically become vested and, if applicable, exercisable and any forfeiture restrictions or rights of repurchase thereon shall immediately lapse with respect to one hundred percent (100%) of the shares subject thereto, as of immediately prior to the Termination Date, and each option held by Executive to purchase the Company’s common stock that is vested as of the Termination Date (after giving effect to any applicable accelerated vesting) will remain exercisable until the earlier of the twelve (12)-month anniversary of the Termination Date or the original expiration of the option. Unless otherwise set forth in an applicable award agreement, for purposes of this Section 4(c) each award subject to performance-based vesting will be deemed earned at the greater of (i) target or</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actual achievement measured as of the Termination Date (to the extent then measurable).</w:t>
      </w:r>
    </w:p>
    <w:p>
      <w:pPr>
        <w:spacing w:after="0" w:line="188" w:lineRule="exact"/>
        <w:rPr>
          <w:rFonts w:ascii="Arial" w:cs="Arial" w:eastAsia="Arial" w:hAnsi="Arial"/>
          <w:sz w:val="22"/>
          <w:szCs w:val="22"/>
          <w:color w:val="auto"/>
        </w:rPr>
      </w:pPr>
    </w:p>
    <w:p>
      <w:pPr>
        <w:ind w:firstLine="840"/>
        <w:spacing w:after="0" w:line="250" w:lineRule="auto"/>
        <w:tabs>
          <w:tab w:leader="none" w:pos="1642"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Certain Reductions</w:t>
      </w:r>
      <w:r>
        <w:rPr>
          <w:rFonts w:ascii="Arial" w:cs="Arial" w:eastAsia="Arial" w:hAnsi="Arial"/>
          <w:sz w:val="22"/>
          <w:szCs w:val="22"/>
          <w:color w:val="auto"/>
        </w:rPr>
        <w:t>. Notwithstanding anything herein to the contrary, the Company shall reduce Executive’s severance benefits under this Agreement, in whole or in part, by any other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2" w:name="page123"/>
    <w:bookmarkEnd w:id="122"/>
    <w:p>
      <w:pPr>
        <w:jc w:val="both"/>
        <w:spacing w:after="0" w:line="277" w:lineRule="auto"/>
        <w:rPr>
          <w:sz w:val="20"/>
          <w:szCs w:val="20"/>
          <w:color w:val="auto"/>
        </w:rPr>
      </w:pPr>
      <w:r>
        <w:rPr>
          <w:rFonts w:ascii="Arial" w:cs="Arial" w:eastAsia="Arial" w:hAnsi="Arial"/>
          <w:sz w:val="19"/>
          <w:szCs w:val="19"/>
          <w:color w:val="auto"/>
        </w:rPr>
        <w:t>severance benefits, pay in lieu of notice, or other similar benefits payable to Executive by the Company 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paid first in time being recharacterized as payments pursuant to the Company’s statutory obligation.</w:t>
      </w:r>
    </w:p>
    <w:p>
      <w:pPr>
        <w:spacing w:after="0" w:line="152" w:lineRule="exact"/>
        <w:rPr>
          <w:sz w:val="20"/>
          <w:szCs w:val="20"/>
          <w:color w:val="auto"/>
        </w:rPr>
      </w:pPr>
    </w:p>
    <w:p>
      <w:pPr>
        <w:jc w:val="both"/>
        <w:ind w:firstLine="840"/>
        <w:spacing w:after="0" w:line="297" w:lineRule="auto"/>
        <w:tabs>
          <w:tab w:leader="none" w:pos="1642"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Deemed Resignation</w:t>
      </w:r>
      <w:r>
        <w:rPr>
          <w:rFonts w:ascii="Arial" w:cs="Arial" w:eastAsia="Arial" w:hAnsi="Arial"/>
          <w:sz w:val="19"/>
          <w:szCs w:val="19"/>
          <w:color w:val="auto"/>
        </w:rPr>
        <w:t>. Upon termination of Executive’s service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pacing w:after="0" w:line="133" w:lineRule="exact"/>
        <w:rPr>
          <w:rFonts w:ascii="Arial" w:cs="Arial" w:eastAsia="Arial" w:hAnsi="Arial"/>
          <w:sz w:val="19"/>
          <w:szCs w:val="19"/>
          <w:color w:val="auto"/>
        </w:rPr>
      </w:pPr>
    </w:p>
    <w:p>
      <w:pPr>
        <w:jc w:val="both"/>
        <w:ind w:firstLine="840"/>
        <w:spacing w:after="0" w:line="252" w:lineRule="auto"/>
        <w:tabs>
          <w:tab w:leader="none" w:pos="1642"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Other Terminations</w:t>
      </w:r>
      <w:r>
        <w:rPr>
          <w:rFonts w:ascii="Arial" w:cs="Arial" w:eastAsia="Arial" w:hAnsi="Arial"/>
          <w:sz w:val="21"/>
          <w:szCs w:val="21"/>
          <w:color w:val="auto"/>
        </w:rPr>
        <w:t>. If Executive’s employment with the Company terminates for any reason other than due to a Covered Termination, then Executive shall not be entitled to any benefits hereunder other than accrued but unpaid salary, vacation and expense reimbursements through the Termination Date in accordance with applicable law and to elect any continued healthcare coverage as may be required under COBRA or similar state law.</w:t>
      </w:r>
    </w:p>
    <w:p>
      <w:pPr>
        <w:spacing w:after="0" w:line="173" w:lineRule="exact"/>
        <w:rPr>
          <w:rFonts w:ascii="Arial" w:cs="Arial" w:eastAsia="Arial" w:hAnsi="Arial"/>
          <w:sz w:val="21"/>
          <w:szCs w:val="21"/>
          <w:color w:val="auto"/>
        </w:rPr>
      </w:pPr>
    </w:p>
    <w:p>
      <w:pPr>
        <w:ind w:left="1660" w:hanging="820"/>
        <w:spacing w:after="0"/>
        <w:tabs>
          <w:tab w:leader="none" w:pos="166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088"/>
        <w:spacing w:after="0" w:line="270" w:lineRule="auto"/>
        <w:tabs>
          <w:tab w:leader="none" w:pos="2968" w:val="left"/>
        </w:tabs>
        <w:numPr>
          <w:ilvl w:val="1"/>
          <w:numId w:val="109"/>
        </w:numPr>
        <w:rPr>
          <w:rFonts w:ascii="Arial" w:cs="Arial" w:eastAsia="Arial" w:hAnsi="Arial"/>
          <w:sz w:val="19"/>
          <w:szCs w:val="19"/>
          <w:color w:val="auto"/>
        </w:rPr>
      </w:pPr>
      <w:r>
        <w:rPr>
          <w:rFonts w:ascii="Arial" w:cs="Arial" w:eastAsia="Arial" w:hAnsi="Arial"/>
          <w:sz w:val="19"/>
          <w:szCs w:val="19"/>
          <w:color w:val="auto"/>
        </w:rPr>
        <w:t>Any provision of this Agreement to the contrary notwithstanding, if any payment or benefit Executive would receive from the Company pursuant to this Agreement or otherwise (“</w:t>
      </w:r>
      <w:r>
        <w:rPr>
          <w:rFonts w:ascii="Arial" w:cs="Arial" w:eastAsia="Arial" w:hAnsi="Arial"/>
          <w:sz w:val="19"/>
          <w:szCs w:val="19"/>
          <w:b w:val="1"/>
          <w:b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such Payment will be equal to the Reduced Amount (as defined below). The “</w:t>
      </w:r>
      <w:r>
        <w:rPr>
          <w:rFonts w:ascii="Arial" w:cs="Arial" w:eastAsia="Arial" w:hAnsi="Arial"/>
          <w:sz w:val="19"/>
          <w:szCs w:val="19"/>
          <w:b w:val="1"/>
          <w:bCs w:val="1"/>
          <w:color w:val="auto"/>
        </w:rPr>
        <w:t>Reduced Amount</w:t>
      </w:r>
      <w:r>
        <w:rPr>
          <w:rFonts w:ascii="Arial" w:cs="Arial" w:eastAsia="Arial" w:hAnsi="Arial"/>
          <w:sz w:val="19"/>
          <w:szCs w:val="19"/>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results in Executive’ 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(A) of the preceding sentence, the reduction shall occur in the manner (the “</w:t>
      </w:r>
      <w:r>
        <w:rPr>
          <w:rFonts w:ascii="Arial" w:cs="Arial" w:eastAsia="Arial" w:hAnsi="Arial"/>
          <w:sz w:val="19"/>
          <w:szCs w:val="19"/>
          <w:b w:val="1"/>
          <w:bCs w:val="1"/>
          <w:color w:val="auto"/>
        </w:rPr>
        <w:t>Reduction Method</w:t>
      </w:r>
      <w:r>
        <w:rPr>
          <w:rFonts w:ascii="Arial" w:cs="Arial" w:eastAsia="Arial" w:hAnsi="Arial"/>
          <w:sz w:val="19"/>
          <w:szCs w:val="19"/>
          <w:color w:val="auto"/>
        </w:rPr>
        <w:t>”) that results in the greatest economic benefit for Executive. If more than one method of reduction will result in the same economic benefit, the items so reduced will be reduced pro rata (the “</w:t>
      </w:r>
      <w:r>
        <w:rPr>
          <w:rFonts w:ascii="Arial" w:cs="Arial" w:eastAsia="Arial" w:hAnsi="Arial"/>
          <w:sz w:val="19"/>
          <w:szCs w:val="19"/>
          <w:b w:val="1"/>
          <w:bCs w:val="1"/>
          <w:color w:val="auto"/>
        </w:rPr>
        <w:t>Pro Rata Reduction</w:t>
      </w:r>
      <w:r>
        <w:rPr>
          <w:rFonts w:ascii="Arial" w:cs="Arial" w:eastAsia="Arial" w:hAnsi="Arial"/>
          <w:sz w:val="19"/>
          <w:szCs w:val="19"/>
          <w:color w:val="auto"/>
        </w:rPr>
        <w:t xml:space="preserve"> </w:t>
      </w:r>
      <w:r>
        <w:rPr>
          <w:rFonts w:ascii="Arial" w:cs="Arial" w:eastAsia="Arial" w:hAnsi="Arial"/>
          <w:sz w:val="19"/>
          <w:szCs w:val="19"/>
          <w:b w:val="1"/>
          <w:bCs w:val="1"/>
          <w:color w:val="auto"/>
        </w:rPr>
        <w:t>Method</w:t>
      </w:r>
      <w:r>
        <w:rPr>
          <w:rFonts w:ascii="Arial" w:cs="Arial" w:eastAsia="Arial" w:hAnsi="Arial"/>
          <w:sz w:val="19"/>
          <w:szCs w:val="19"/>
          <w:color w:val="auto"/>
        </w:rPr>
        <w:t>”). Notwithstanding the foregoing, if the Reduction Method or the Pro Rata Reduction Method would result in any</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(1) as a first priority, the modification shall preserve to the greatest extent possible, the greatest economic benefit for Executive as determined on an after-tax basis; (2) as 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3" w:name="page124"/>
    <w:bookmarkEnd w:id="123"/>
    <w:p>
      <w:pPr>
        <w:jc w:val="both"/>
        <w:spacing w:after="0" w:line="238" w:lineRule="auto"/>
        <w:rPr>
          <w:sz w:val="20"/>
          <w:szCs w:val="20"/>
          <w:color w:val="auto"/>
        </w:rPr>
      </w:pPr>
      <w:r>
        <w:rPr>
          <w:rFonts w:ascii="Arial" w:cs="Arial" w:eastAsia="Arial" w:hAnsi="Arial"/>
          <w:sz w:val="22"/>
          <w:szCs w:val="22"/>
          <w:color w:val="auto"/>
        </w:rPr>
        <w:t>second priority, Payments that are contingent on future events (e.g., being terminated without cause), shall be reduced (or eliminated) before Payments that are not contingent on future events; and (3) as a third priority, Payments that are “deferred compensation” within the meaning of Section 409A of the Code shall be reduced (or eliminated) before Payments that are not deferred compensation within the meaning of Section 409A of the Code.</w:t>
      </w:r>
    </w:p>
    <w:p>
      <w:pPr>
        <w:spacing w:after="0" w:line="185" w:lineRule="exact"/>
        <w:rPr>
          <w:sz w:val="20"/>
          <w:szCs w:val="20"/>
          <w:color w:val="auto"/>
        </w:rPr>
      </w:pPr>
    </w:p>
    <w:p>
      <w:pPr>
        <w:jc w:val="both"/>
        <w:ind w:firstLine="2088"/>
        <w:spacing w:after="0" w:line="273" w:lineRule="auto"/>
        <w:tabs>
          <w:tab w:leader="none" w:pos="2980" w:val="left"/>
        </w:tabs>
        <w:numPr>
          <w:ilvl w:val="2"/>
          <w:numId w:val="110"/>
        </w:numPr>
        <w:rPr>
          <w:rFonts w:ascii="Arial" w:cs="Arial" w:eastAsia="Arial" w:hAnsi="Arial"/>
          <w:sz w:val="19"/>
          <w:szCs w:val="19"/>
          <w:color w:val="auto"/>
        </w:rPr>
      </w:pPr>
      <w:r>
        <w:rPr>
          <w:rFonts w:ascii="Arial" w:cs="Arial" w:eastAsia="Arial" w:hAnsi="Arial"/>
          <w:sz w:val="19"/>
          <w:szCs w:val="19"/>
          <w:color w:val="auto"/>
        </w:rPr>
        <w:t>The accounting firm engaged by the Company for general tax purposes as of the day prior to the Change in Control will perform the calculations set forth in Section 8(a) above.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thirty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155" w:lineRule="exact"/>
        <w:rPr>
          <w:rFonts w:ascii="Arial" w:cs="Arial" w:eastAsia="Arial" w:hAnsi="Arial"/>
          <w:sz w:val="19"/>
          <w:szCs w:val="19"/>
          <w:color w:val="auto"/>
        </w:rPr>
      </w:pPr>
    </w:p>
    <w:p>
      <w:pPr>
        <w:ind w:left="1660" w:hanging="820"/>
        <w:spacing w:after="0"/>
        <w:tabs>
          <w:tab w:leader="none" w:pos="166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terms used in this Agreement shall have the following meanings:</w:t>
      </w:r>
    </w:p>
    <w:p>
      <w:pPr>
        <w:spacing w:after="0" w:line="200" w:lineRule="exact"/>
        <w:rPr>
          <w:rFonts w:ascii="Arial" w:cs="Arial" w:eastAsia="Arial" w:hAnsi="Arial"/>
          <w:sz w:val="22"/>
          <w:szCs w:val="22"/>
          <w:color w:val="auto"/>
        </w:rPr>
      </w:pPr>
    </w:p>
    <w:p>
      <w:pPr>
        <w:jc w:val="both"/>
        <w:ind w:firstLine="1671"/>
        <w:spacing w:after="0" w:line="275" w:lineRule="auto"/>
        <w:tabs>
          <w:tab w:leader="none" w:pos="2551" w:val="left"/>
        </w:tabs>
        <w:numPr>
          <w:ilvl w:val="1"/>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(i) a material breach of any of Executive’s representations or obligations contained in any offer letter or employment agreement between Executive and the Company, including Executive’s willful failure or refusal to perform the job duties and responsibilities assigned to Executive by the Company, which if such material breach is reasonably susceptible of cure is not cured after thirty (30) days have elapsed following the date on which the Company gives Executive written notice of such breach; (ii) conviction of, or plea of guilty or nolo contendere to, any felony or any crime involving moral turpitude; (iii) participation in a fraud, act of dishonesty or misappropriation or similar conduct against the Company; (iv) conduct that is materially injurious to the Company or its affiliates or subsidiaries, monetarily or otherwise; (v) improper use or disclosure of the Company’s confidential or proprietary information; or (vi) obtaining a direct or indirect personal benefit from the transfer or use of the Company’s trade secrets or intellectual property other than on the Company’s behalf.</w:t>
      </w:r>
    </w:p>
    <w:p>
      <w:pPr>
        <w:spacing w:after="0" w:line="149" w:lineRule="exact"/>
        <w:rPr>
          <w:rFonts w:ascii="Arial" w:cs="Arial" w:eastAsia="Arial" w:hAnsi="Arial"/>
          <w:sz w:val="19"/>
          <w:szCs w:val="19"/>
          <w:color w:val="auto"/>
        </w:rPr>
      </w:pPr>
    </w:p>
    <w:p>
      <w:pPr>
        <w:jc w:val="both"/>
        <w:ind w:firstLine="1671"/>
        <w:spacing w:after="0" w:line="243" w:lineRule="auto"/>
        <w:tabs>
          <w:tab w:leader="none" w:pos="2563" w:val="left"/>
        </w:tabs>
        <w:numPr>
          <w:ilvl w:val="1"/>
          <w:numId w:val="1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has the meaning ascribed to such term under the Company’s 2020 Incentive Award Plan, as may be amended from time to time; provided, that such transaction must also constitute a “change in control event” within the meaning of Treasury Regulation Section 1.409A-3(i)(5).</w:t>
      </w:r>
    </w:p>
    <w:p>
      <w:pPr>
        <w:spacing w:after="0" w:line="176" w:lineRule="exact"/>
        <w:rPr>
          <w:rFonts w:ascii="Arial" w:cs="Arial" w:eastAsia="Arial" w:hAnsi="Arial"/>
          <w:sz w:val="22"/>
          <w:szCs w:val="22"/>
          <w:color w:val="auto"/>
        </w:rPr>
      </w:pPr>
    </w:p>
    <w:p>
      <w:pPr>
        <w:jc w:val="both"/>
        <w:ind w:firstLine="1671"/>
        <w:spacing w:after="0" w:line="243" w:lineRule="auto"/>
        <w:tabs>
          <w:tab w:leader="none" w:pos="2551" w:val="left"/>
        </w:tabs>
        <w:numPr>
          <w:ilvl w:val="1"/>
          <w:numId w:val="1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 Period</w:t>
      </w:r>
      <w:r>
        <w:rPr>
          <w:rFonts w:ascii="Arial" w:cs="Arial" w:eastAsia="Arial" w:hAnsi="Arial"/>
          <w:sz w:val="22"/>
          <w:szCs w:val="22"/>
          <w:color w:val="auto"/>
        </w:rPr>
        <w:t>” means the period of time commencing three months prior to the consummation of a Change in Control and ending on the twelve (12) month anniversary of such consummation of the Change in Control.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4" w:name="page125"/>
    <w:bookmarkEnd w:id="124"/>
    <w:p>
      <w:pPr>
        <w:ind w:right="20" w:firstLine="1671"/>
        <w:spacing w:after="0" w:line="334" w:lineRule="auto"/>
        <w:tabs>
          <w:tab w:leader="none" w:pos="2563" w:val="left"/>
        </w:tabs>
        <w:numPr>
          <w:ilvl w:val="1"/>
          <w:numId w:val="1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Termination</w:t>
      </w:r>
      <w:r>
        <w:rPr>
          <w:rFonts w:ascii="Arial" w:cs="Arial" w:eastAsia="Arial" w:hAnsi="Arial"/>
          <w:sz w:val="19"/>
          <w:szCs w:val="19"/>
          <w:color w:val="auto"/>
        </w:rPr>
        <w:t>” means the termination of Executive’s employment by the Company other than for Cause or by Executive for Good Reason, and shall not include a termination due to Executive’s death or disability.</w:t>
      </w:r>
    </w:p>
    <w:p>
      <w:pPr>
        <w:spacing w:after="0" w:line="93" w:lineRule="exact"/>
        <w:rPr>
          <w:rFonts w:ascii="Arial" w:cs="Arial" w:eastAsia="Arial" w:hAnsi="Arial"/>
          <w:sz w:val="19"/>
          <w:szCs w:val="19"/>
          <w:color w:val="auto"/>
        </w:rPr>
      </w:pPr>
    </w:p>
    <w:p>
      <w:pPr>
        <w:jc w:val="both"/>
        <w:ind w:firstLine="1671"/>
        <w:spacing w:after="0" w:line="272" w:lineRule="auto"/>
        <w:tabs>
          <w:tab w:leader="none" w:pos="2551" w:val="left"/>
        </w:tabs>
        <w:numPr>
          <w:ilvl w:val="1"/>
          <w:numId w:val="1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for Executive to terminate Executive’s employment hereunder shall mean the occurrence of any of the following events without Executive’s consent: (i) any material breach of the terms of this Agreement by the Company; (ii) any material restriction or diminution in Executive’s duties or responsibilities; (iii) any change in the location of Executive’s principal place of employment that increases Executive’s one-way commute in excess of fifty (50) miles from Executive’s principal place of employment prior to such change; (iv) any material failure by the Company to pay Executive’s base salary, bonuses that Executive has earned, or benefits that Executive is entitled to receive under Executive’s offer letter or other agreement with the Company, or any material reduction by the Company of Executive’s base salary under Executive’s offer letter or other agreement with the Company, provided, however, that if the Company institutes a Company-wide reduction in salaries, bonuses and benefits for other executive management team members, such reduction shall not be deemed “material” for this definition. Notwithstanding the foregoing, Executive’s resignation shall not constitute a resignation for “Good Reason” unless (X) Executive provides advance written notice of such resignation to the Company within sixty (60) days of the initial occurrence of the event or action giving rise to Good Reason, (Y) such written notice specifies that Executive’s resignation is effective not less than thirty (30) days, nor more than sixty (60) days, after the date of the written notice, and (Z) the Company fails to remedy the basis for Good Reason prior to the date of resignation specified in the written notice.</w:t>
      </w:r>
    </w:p>
    <w:p>
      <w:pPr>
        <w:spacing w:after="0" w:line="151" w:lineRule="exact"/>
        <w:rPr>
          <w:rFonts w:ascii="Arial" w:cs="Arial" w:eastAsia="Arial" w:hAnsi="Arial"/>
          <w:sz w:val="19"/>
          <w:szCs w:val="19"/>
          <w:color w:val="auto"/>
        </w:rPr>
      </w:pPr>
    </w:p>
    <w:p>
      <w:pPr>
        <w:ind w:firstLine="1671"/>
        <w:spacing w:after="0" w:line="334" w:lineRule="auto"/>
        <w:tabs>
          <w:tab w:leader="none" w:pos="2527" w:val="left"/>
        </w:tabs>
        <w:numPr>
          <w:ilvl w:val="1"/>
          <w:numId w:val="1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a “separation from service” with the Company within the meaning of Section 409A of the Code and the Department of Treasury regulations and other guidance promulgated thereunder.</w:t>
      </w:r>
    </w:p>
    <w:p>
      <w:pPr>
        <w:spacing w:after="0" w:line="93" w:lineRule="exact"/>
        <w:rPr>
          <w:rFonts w:ascii="Arial" w:cs="Arial" w:eastAsia="Arial" w:hAnsi="Arial"/>
          <w:sz w:val="19"/>
          <w:szCs w:val="19"/>
          <w:color w:val="auto"/>
        </w:rPr>
      </w:pPr>
    </w:p>
    <w:p>
      <w:pPr>
        <w:ind w:left="2580" w:hanging="909"/>
        <w:spacing w:after="0"/>
        <w:tabs>
          <w:tab w:leader="none" w:pos="258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Date</w:t>
      </w:r>
      <w:r>
        <w:rPr>
          <w:rFonts w:ascii="Arial" w:cs="Arial" w:eastAsia="Arial" w:hAnsi="Arial"/>
          <w:sz w:val="19"/>
          <w:szCs w:val="19"/>
          <w:color w:val="auto"/>
        </w:rPr>
        <w:t>” means the date on which Executive experiences a Covered Termination.</w:t>
      </w:r>
    </w:p>
    <w:p>
      <w:pPr>
        <w:spacing w:after="0" w:line="246" w:lineRule="exact"/>
        <w:rPr>
          <w:rFonts w:ascii="Arial" w:cs="Arial" w:eastAsia="Arial" w:hAnsi="Arial"/>
          <w:sz w:val="19"/>
          <w:szCs w:val="19"/>
          <w:color w:val="auto"/>
        </w:rPr>
      </w:pPr>
    </w:p>
    <w:p>
      <w:pPr>
        <w:ind w:left="1660" w:hanging="829"/>
        <w:spacing w:after="0"/>
        <w:tabs>
          <w:tab w:leader="none" w:pos="166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671"/>
        <w:spacing w:after="0" w:line="246" w:lineRule="auto"/>
        <w:tabs>
          <w:tab w:leader="none" w:pos="2551" w:val="left"/>
        </w:tabs>
        <w:numPr>
          <w:ilvl w:val="1"/>
          <w:numId w:val="113"/>
        </w:numPr>
        <w:rPr>
          <w:rFonts w:ascii="Arial" w:cs="Arial" w:eastAsia="Arial" w:hAnsi="Arial"/>
          <w:sz w:val="21"/>
          <w:szCs w:val="21"/>
          <w:color w:val="auto"/>
        </w:rPr>
      </w:pPr>
      <w:r>
        <w:rPr>
          <w:rFonts w:ascii="Arial" w:cs="Arial" w:eastAsia="Arial" w:hAnsi="Arial"/>
          <w:sz w:val="21"/>
          <w:szCs w:val="21"/>
          <w:u w:val="single" w:color="auto"/>
          <w:color w:val="auto"/>
        </w:rPr>
        <w:t>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Arial" w:cs="Arial" w:eastAsia="Arial" w:hAnsi="Arial"/>
          <w:sz w:val="21"/>
          <w:szCs w:val="21"/>
          <w:b w:val="1"/>
          <w:bCs w:val="1"/>
          <w:color w:val="auto"/>
        </w:rPr>
        <w:t>Company</w:t>
      </w:r>
      <w:r>
        <w:rPr>
          <w:rFonts w:ascii="Arial" w:cs="Arial" w:eastAsia="Arial" w:hAnsi="Arial"/>
          <w:sz w:val="21"/>
          <w:szCs w:val="21"/>
          <w:color w:val="auto"/>
        </w:rPr>
        <w:t>” shall include any successor to the Company’s business or assets which executes and delivers the assumption agreement described in this Section 10(a) or which becomes bound by the terms of this Agreement by operation of law.</w:t>
      </w:r>
    </w:p>
    <w:p>
      <w:pPr>
        <w:spacing w:after="0" w:line="184" w:lineRule="exact"/>
        <w:rPr>
          <w:rFonts w:ascii="Arial" w:cs="Arial" w:eastAsia="Arial" w:hAnsi="Arial"/>
          <w:sz w:val="21"/>
          <w:szCs w:val="21"/>
          <w:color w:val="auto"/>
        </w:rPr>
      </w:pPr>
    </w:p>
    <w:p>
      <w:pPr>
        <w:jc w:val="both"/>
        <w:ind w:firstLine="1671"/>
        <w:spacing w:after="0"/>
        <w:tabs>
          <w:tab w:leader="none" w:pos="2563"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5" w:name="page126"/>
    <w:bookmarkEnd w:id="125"/>
    <w:p>
      <w:pPr>
        <w:jc w:val="both"/>
        <w:ind w:firstLine="840"/>
        <w:spacing w:after="0" w:line="238" w:lineRule="auto"/>
        <w:tabs>
          <w:tab w:leader="none" w:pos="1742"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hereunder must be in writing and shall be deemed effective upon the earlier of personal delivery (including personal delivery by facsimile), delivery by email or the third day after mailing by first class mail, to the Company at its primary office location and to Executive at Executive’s address as listed in the Company’s books and records.</w:t>
      </w:r>
    </w:p>
    <w:p>
      <w:pPr>
        <w:spacing w:after="0" w:line="184" w:lineRule="exact"/>
        <w:rPr>
          <w:rFonts w:ascii="Arial" w:cs="Arial" w:eastAsia="Arial" w:hAnsi="Arial"/>
          <w:sz w:val="22"/>
          <w:szCs w:val="22"/>
          <w:color w:val="auto"/>
        </w:rPr>
      </w:pPr>
    </w:p>
    <w:p>
      <w:pPr>
        <w:ind w:left="1760" w:hanging="920"/>
        <w:spacing w:after="0"/>
        <w:tabs>
          <w:tab w:leader="none" w:pos="176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Confidentiality; Non-Disparagement.</w:t>
      </w:r>
    </w:p>
    <w:p>
      <w:pPr>
        <w:spacing w:after="0" w:line="206" w:lineRule="exact"/>
        <w:rPr>
          <w:rFonts w:ascii="Arial" w:cs="Arial" w:eastAsia="Arial" w:hAnsi="Arial"/>
          <w:sz w:val="22"/>
          <w:szCs w:val="22"/>
          <w:color w:val="auto"/>
        </w:rPr>
      </w:pPr>
    </w:p>
    <w:p>
      <w:pPr>
        <w:jc w:val="both"/>
        <w:ind w:firstLine="1671"/>
        <w:spacing w:after="0" w:line="257" w:lineRule="auto"/>
        <w:tabs>
          <w:tab w:leader="none" w:pos="2551" w:val="left"/>
        </w:tabs>
        <w:numPr>
          <w:ilvl w:val="1"/>
          <w:numId w:val="114"/>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Executive hereby expressly confirms Executive’s continuing obligations to the Company pursuant to that certain Employee Proprietary Information and Invention Assignment Agreement or other confidentiality agreement by and between the Company and Executive (the “</w:t>
      </w:r>
      <w:r>
        <w:rPr>
          <w:rFonts w:ascii="Arial" w:cs="Arial" w:eastAsia="Arial" w:hAnsi="Arial"/>
          <w:sz w:val="21"/>
          <w:szCs w:val="21"/>
          <w:b w:val="1"/>
          <w:bCs w:val="1"/>
          <w:color w:val="auto"/>
        </w:rPr>
        <w:t>Confidential Information Agreement</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jc w:val="both"/>
        <w:ind w:firstLine="1671"/>
        <w:spacing w:after="0" w:line="238" w:lineRule="auto"/>
        <w:tabs>
          <w:tab w:leader="none" w:pos="2563" w:val="left"/>
        </w:tabs>
        <w:numPr>
          <w:ilvl w:val="1"/>
          <w:numId w:val="114"/>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Executive agrees that Executive shall not disparage, criticize or defame the Company, its affiliates and their respective affiliates, directors, officers, agents, partners, stockholders or employees, either publicly or privately. Nothing in this Section 12(b) shall apply to any evidence or testimony required by any court, arbitrator or government agency.</w:t>
      </w:r>
    </w:p>
    <w:p>
      <w:pPr>
        <w:spacing w:after="0" w:line="184" w:lineRule="exact"/>
        <w:rPr>
          <w:rFonts w:ascii="Arial" w:cs="Arial" w:eastAsia="Arial" w:hAnsi="Arial"/>
          <w:sz w:val="22"/>
          <w:szCs w:val="22"/>
          <w:color w:val="auto"/>
        </w:rPr>
      </w:pPr>
    </w:p>
    <w:p>
      <w:pPr>
        <w:jc w:val="both"/>
        <w:ind w:firstLine="1671"/>
        <w:spacing w:after="0" w:line="271" w:lineRule="auto"/>
        <w:tabs>
          <w:tab w:leader="none" w:pos="2551" w:val="left"/>
        </w:tabs>
        <w:numPr>
          <w:ilvl w:val="1"/>
          <w:numId w:val="114"/>
        </w:numPr>
        <w:rPr>
          <w:rFonts w:ascii="Arial" w:cs="Arial" w:eastAsia="Arial" w:hAnsi="Arial"/>
          <w:sz w:val="19"/>
          <w:szCs w:val="19"/>
          <w:color w:val="auto"/>
        </w:rPr>
      </w:pPr>
      <w:r>
        <w:rPr>
          <w:rFonts w:ascii="Arial" w:cs="Arial" w:eastAsia="Arial" w:hAnsi="Arial"/>
          <w:sz w:val="19"/>
          <w:szCs w:val="19"/>
          <w:u w:val="single" w:color="auto"/>
          <w:color w:val="auto"/>
        </w:rPr>
        <w:t>Whistleblower Protections and Trade Secrets</w:t>
      </w:r>
      <w:r>
        <w:rPr>
          <w:rFonts w:ascii="Arial" w:cs="Arial" w:eastAsia="Arial" w:hAnsi="Arial"/>
          <w:sz w:val="19"/>
          <w:szCs w:val="19"/>
          <w:color w:val="auto"/>
        </w:rPr>
        <w:t>. Notwithstanding anything to the contrary contained herein, nothing in this Agreement or the Confidential Information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840"/>
        <w:spacing w:after="0" w:line="275" w:lineRule="auto"/>
        <w:tabs>
          <w:tab w:leader="none" w:pos="1750"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San Mateo County, California through JAMS in conformity with California law and the then-existing JAMS employment arbitration rules, which can be found at https://www.jamsadr.com/rules-employment-arbitration/. The Federal Arbitration Act, 9 U.S.C. §§ 1 et seq. shall govern the interpretation and enforcement of this arbitration clause. All remedies available from a court of competent jurisdiction shall be available in the arbitration; provided, however, in the event of a breach of Sections 12(a)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6" w:name="page127"/>
    <w:bookmarkEnd w:id="126"/>
    <w:p>
      <w:pPr>
        <w:jc w:val="both"/>
        <w:spacing w:after="0" w:line="270" w:lineRule="auto"/>
        <w:rPr>
          <w:sz w:val="20"/>
          <w:szCs w:val="20"/>
          <w:color w:val="auto"/>
        </w:rPr>
      </w:pPr>
      <w:r>
        <w:rPr>
          <w:rFonts w:ascii="Arial" w:cs="Arial" w:eastAsia="Arial" w:hAnsi="Arial"/>
          <w:sz w:val="19"/>
          <w:szCs w:val="19"/>
          <w:color w:val="auto"/>
        </w:rPr>
        <w:t>12(b), the Company may request relief from a court of competent jurisdiction if such relief is not available or not available in a timely fashion through arbitration as determined by the Company.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Parties fail to comply with any of the obligations imposed on them under Sections 12(a) and 12(b),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Sections 12(a) and 12(b), none of the Parties shall raise the defense, without a good faith basis for raising such defense, that there is an adequate remedy at law. Executive and the Company understand that by agreement to arbitrate any claim pursuant to this Section 13,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collective action or representative proceeding. Nothing herein shall limit Executive’s ability to pursue claims for workers compensation or unemployment benefits or pursue other claims which by law cannot be subject to mandatory arbitration.</w:t>
      </w:r>
    </w:p>
    <w:p>
      <w:pPr>
        <w:spacing w:after="0" w:line="200" w:lineRule="exact"/>
        <w:rPr>
          <w:sz w:val="20"/>
          <w:szCs w:val="20"/>
          <w:color w:val="auto"/>
        </w:rPr>
      </w:pPr>
    </w:p>
    <w:p>
      <w:pPr>
        <w:spacing w:after="0" w:line="214" w:lineRule="exact"/>
        <w:rPr>
          <w:sz w:val="20"/>
          <w:szCs w:val="20"/>
          <w:color w:val="auto"/>
        </w:rPr>
      </w:pPr>
    </w:p>
    <w:p>
      <w:pPr>
        <w:ind w:left="1760" w:hanging="920"/>
        <w:spacing w:after="0"/>
        <w:tabs>
          <w:tab w:leader="none" w:pos="176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60" w:hanging="889"/>
        <w:spacing w:after="0"/>
        <w:tabs>
          <w:tab w:leader="none" w:pos="2560"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504"/>
        <w:spacing w:after="0" w:line="257" w:lineRule="auto"/>
        <w:tabs>
          <w:tab w:leader="none" w:pos="3347" w:val="left"/>
        </w:tabs>
        <w:numPr>
          <w:ilvl w:val="2"/>
          <w:numId w:val="115"/>
        </w:numPr>
        <w:rPr>
          <w:rFonts w:ascii="Arial" w:cs="Arial" w:eastAsia="Arial" w:hAnsi="Arial"/>
          <w:sz w:val="21"/>
          <w:szCs w:val="21"/>
          <w:color w:val="auto"/>
        </w:rPr>
      </w:pPr>
      <w:r>
        <w:rPr>
          <w:rFonts w:ascii="Arial" w:cs="Arial" w:eastAsia="Arial" w:hAnsi="Arial"/>
          <w:sz w:val="21"/>
          <w:szCs w:val="21"/>
          <w:u w:val="single" w:color="auto"/>
          <w:color w:val="auto"/>
        </w:rPr>
        <w:t>Separation from Service</w:t>
      </w:r>
      <w:r>
        <w:rPr>
          <w:rFonts w:ascii="Arial" w:cs="Arial" w:eastAsia="Arial" w:hAnsi="Arial"/>
          <w:sz w:val="21"/>
          <w:szCs w:val="21"/>
          <w:color w:val="auto"/>
        </w:rPr>
        <w:t>. Notwithstanding any provision to the contrary in this Agreement, no amount constituting deferred compensation subject to Section 409A of the Code shall be payable pursuant to Sections 3 or 4 above unless Executive’s termination of employment constitutes a Separation from Service.</w:t>
      </w:r>
    </w:p>
    <w:p>
      <w:pPr>
        <w:spacing w:after="0" w:line="169" w:lineRule="exact"/>
        <w:rPr>
          <w:rFonts w:ascii="Arial" w:cs="Arial" w:eastAsia="Arial" w:hAnsi="Arial"/>
          <w:sz w:val="21"/>
          <w:szCs w:val="21"/>
          <w:color w:val="auto"/>
        </w:rPr>
      </w:pPr>
    </w:p>
    <w:p>
      <w:pPr>
        <w:jc w:val="both"/>
        <w:ind w:firstLine="2504"/>
        <w:spacing w:after="0" w:line="245" w:lineRule="auto"/>
        <w:tabs>
          <w:tab w:leader="none" w:pos="3407" w:val="left"/>
        </w:tabs>
        <w:numPr>
          <w:ilvl w:val="2"/>
          <w:numId w:val="115"/>
        </w:numPr>
        <w:rPr>
          <w:rFonts w:ascii="Arial" w:cs="Arial" w:eastAsia="Arial" w:hAnsi="Arial"/>
          <w:sz w:val="21"/>
          <w:szCs w:val="21"/>
          <w:color w:val="auto"/>
        </w:rPr>
      </w:pPr>
      <w:r>
        <w:rPr>
          <w:rFonts w:ascii="Arial" w:cs="Arial" w:eastAsia="Arial" w:hAnsi="Arial"/>
          <w:sz w:val="21"/>
          <w:szCs w:val="21"/>
          <w:u w:val="single" w:color="auto"/>
          <w:color w:val="auto"/>
        </w:rPr>
        <w:t>Specified Executive</w:t>
      </w:r>
      <w:r>
        <w:rPr>
          <w:rFonts w:ascii="Arial" w:cs="Arial" w:eastAsia="Arial" w:hAnsi="Arial"/>
          <w:sz w:val="21"/>
          <w:szCs w:val="21"/>
          <w:color w:val="auto"/>
        </w:rPr>
        <w:t>. Notwithstanding any provision to the contrary in this Agreement, if Executive is deemed at the time of his Separation from Service to be a “specified employee” for purposes of Section 409A(a)(2) (B)(i)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184" w:lineRule="exact"/>
        <w:rPr>
          <w:rFonts w:ascii="Arial" w:cs="Arial" w:eastAsia="Arial" w:hAnsi="Arial"/>
          <w:sz w:val="21"/>
          <w:szCs w:val="21"/>
          <w:color w:val="auto"/>
        </w:rPr>
      </w:pPr>
    </w:p>
    <w:p>
      <w:pPr>
        <w:ind w:right="20" w:firstLine="2504"/>
        <w:spacing w:after="0" w:line="250" w:lineRule="auto"/>
        <w:tabs>
          <w:tab w:leader="none" w:pos="3467" w:val="left"/>
        </w:tabs>
        <w:numPr>
          <w:ilvl w:val="2"/>
          <w:numId w:val="115"/>
        </w:numPr>
        <w:rPr>
          <w:rFonts w:ascii="Arial" w:cs="Arial" w:eastAsia="Arial" w:hAnsi="Arial"/>
          <w:sz w:val="22"/>
          <w:szCs w:val="22"/>
          <w:color w:val="auto"/>
        </w:rPr>
      </w:pPr>
      <w:r>
        <w:rPr>
          <w:rFonts w:ascii="Arial" w:cs="Arial" w:eastAsia="Arial" w:hAnsi="Arial"/>
          <w:sz w:val="22"/>
          <w:szCs w:val="22"/>
          <w:u w:val="single" w:color="auto"/>
          <w:color w:val="auto"/>
        </w:rPr>
        <w:t>Expense Reimbursements</w:t>
      </w:r>
      <w:r>
        <w:rPr>
          <w:rFonts w:ascii="Arial" w:cs="Arial" w:eastAsia="Arial" w:hAnsi="Arial"/>
          <w:sz w:val="22"/>
          <w:szCs w:val="22"/>
          <w:color w:val="auto"/>
        </w:rPr>
        <w:t>. To the extent that any reimbursements payable pursuant to this Agreement are subject to the provisions of Section 409A of the Code,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7" w:name="page128"/>
    <w:bookmarkEnd w:id="127"/>
    <w:p>
      <w:pPr>
        <w:jc w:val="both"/>
        <w:spacing w:after="0" w:line="252" w:lineRule="auto"/>
        <w:rPr>
          <w:sz w:val="20"/>
          <w:szCs w:val="20"/>
          <w:color w:val="auto"/>
        </w:rPr>
      </w:pPr>
      <w:r>
        <w:rPr>
          <w:rFonts w:ascii="Arial" w:cs="Arial" w:eastAsia="Arial" w:hAnsi="Arial"/>
          <w:sz w:val="21"/>
          <w:szCs w:val="21"/>
          <w:color w:val="auto"/>
        </w:rPr>
        <w:t>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74" w:lineRule="exact"/>
        <w:rPr>
          <w:sz w:val="20"/>
          <w:szCs w:val="20"/>
          <w:color w:val="auto"/>
        </w:rPr>
      </w:pPr>
    </w:p>
    <w:p>
      <w:pPr>
        <w:jc w:val="both"/>
        <w:ind w:firstLine="2504"/>
        <w:spacing w:after="0" w:line="238" w:lineRule="auto"/>
        <w:tabs>
          <w:tab w:leader="none" w:pos="3455"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Installments</w:t>
      </w:r>
      <w:r>
        <w:rPr>
          <w:rFonts w:ascii="Arial" w:cs="Arial" w:eastAsia="Arial" w:hAnsi="Arial"/>
          <w:sz w:val="22"/>
          <w:szCs w:val="22"/>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84" w:lineRule="exact"/>
        <w:rPr>
          <w:rFonts w:ascii="Arial" w:cs="Arial" w:eastAsia="Arial" w:hAnsi="Arial"/>
          <w:sz w:val="22"/>
          <w:szCs w:val="22"/>
          <w:color w:val="auto"/>
        </w:rPr>
      </w:pPr>
    </w:p>
    <w:p>
      <w:pPr>
        <w:jc w:val="both"/>
        <w:ind w:firstLine="2504"/>
        <w:spacing w:after="0" w:line="243" w:lineRule="auto"/>
        <w:tabs>
          <w:tab w:leader="none" w:pos="3395" w:val="left"/>
        </w:tabs>
        <w:numPr>
          <w:ilvl w:val="1"/>
          <w:numId w:val="116"/>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Notwithstanding anything to the contrary in this Agreement, to the extent that any payments due under this Agreement as a result of Executive’s termination of employment are subject to Executive’s execution and delivery of a Release of Claims, (A) if Executive fails to execute the Release of Claims on or prior to the Release Expiration Date (as defined below) or timely revokes Executive’s acceptance of the Release of Claims thereafter, Executive shall not be entitled to any payments or benefits otherwise conditioned on the Release of Claims, and (B) in any case where Executive’s Termination Date and the last day the Release may be considered or, if applicable, revoked fall in two separate taxable years, any payments required to be made to Executive that are conditioned on the Release of Claims and are treated as nonqualified deferred compensation for purposes of Section 409A of the Code shall be made in the later taxable year. For purposes hereof, </w:t>
      </w:r>
      <w:r>
        <w:rPr>
          <w:rFonts w:ascii="Arial" w:cs="Arial" w:eastAsia="Arial" w:hAnsi="Arial"/>
          <w:sz w:val="21"/>
          <w:szCs w:val="21"/>
          <w:b w:val="1"/>
          <w:bCs w:val="1"/>
          <w:color w:val="auto"/>
        </w:rPr>
        <w:t>“Release Expiration Date</w:t>
      </w:r>
      <w:r>
        <w:rPr>
          <w:rFonts w:ascii="Arial" w:cs="Arial" w:eastAsia="Arial" w:hAnsi="Arial"/>
          <w:sz w:val="21"/>
          <w:szCs w:val="21"/>
          <w:color w:val="auto"/>
        </w:rPr>
        <w:t>” shall mean (1) if Executive is under 40 years old as of the Termination Date, the date that is seven (7) days following the date upon which the Company timely delivers the Release of Claims to Executive, or such shorter time prescribed by the Company, and (2) if Executive is 40 years or older as of the Termination Date, the date that is twenty one (21) days following the date upon which the Company timely delivers the Release of Claims to Executive, or, if Executive’s termination of employment is “in connection with an exit incentive or other employment termination program” (as such phrase is defined in the Age Discrimination in Employment Act of 1967), the date that is forty five (45) days following such delivery date.</w:t>
      </w:r>
    </w:p>
    <w:p>
      <w:pPr>
        <w:spacing w:after="0" w:line="193" w:lineRule="exact"/>
        <w:rPr>
          <w:rFonts w:ascii="Arial" w:cs="Arial" w:eastAsia="Arial" w:hAnsi="Arial"/>
          <w:sz w:val="21"/>
          <w:szCs w:val="21"/>
          <w:color w:val="auto"/>
        </w:rPr>
      </w:pPr>
    </w:p>
    <w:p>
      <w:pPr>
        <w:ind w:firstLine="1671"/>
        <w:spacing w:after="0" w:line="328" w:lineRule="auto"/>
        <w:tabs>
          <w:tab w:leader="none" w:pos="2563"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be entitled to withhold from any amounts payable under this Agreement any federal, state, local, or foreign withholding or other taxes or charges which the Company is required to withhold.</w:t>
      </w:r>
    </w:p>
    <w:p>
      <w:pPr>
        <w:spacing w:after="0" w:line="104" w:lineRule="exact"/>
        <w:rPr>
          <w:rFonts w:ascii="Arial" w:cs="Arial" w:eastAsia="Arial" w:hAnsi="Arial"/>
          <w:sz w:val="19"/>
          <w:szCs w:val="19"/>
          <w:color w:val="auto"/>
        </w:rPr>
      </w:pPr>
    </w:p>
    <w:p>
      <w:pPr>
        <w:jc w:val="both"/>
        <w:ind w:firstLine="1671"/>
        <w:spacing w:after="0" w:line="236" w:lineRule="auto"/>
        <w:tabs>
          <w:tab w:leader="none" w:pos="2551"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provision of this Agreement shall be modified, waived or discharged unless the modification, waiver or discharge is agreed to in writing and signed by Executive and by an authorized member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7" w:lineRule="exact"/>
        <w:rPr>
          <w:rFonts w:ascii="Arial" w:cs="Arial" w:eastAsia="Arial" w:hAnsi="Arial"/>
          <w:sz w:val="22"/>
          <w:szCs w:val="22"/>
          <w:color w:val="auto"/>
        </w:rPr>
      </w:pPr>
    </w:p>
    <w:p>
      <w:pPr>
        <w:jc w:val="both"/>
        <w:ind w:firstLine="1671"/>
        <w:spacing w:after="0"/>
        <w:tabs>
          <w:tab w:leader="none" w:pos="2563"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Whole Agreement</w:t>
      </w:r>
      <w:r>
        <w:rPr>
          <w:rFonts w:ascii="Arial" w:cs="Arial" w:eastAsia="Arial" w:hAnsi="Arial"/>
          <w:sz w:val="22"/>
          <w:szCs w:val="22"/>
          <w:color w:val="auto"/>
        </w:rPr>
        <w:t>. This Agreement and the Confidential Information Agreement represent the entire understanding of the parties hereto with respect to the subject matter hereof and supersede all prior promises, arrangements and understandings regarding the same, whether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8" w:name="page129"/>
    <w:bookmarkEnd w:id="128"/>
    <w:p>
      <w:pPr>
        <w:spacing w:after="0" w:line="250" w:lineRule="auto"/>
        <w:rPr>
          <w:sz w:val="20"/>
          <w:szCs w:val="20"/>
          <w:color w:val="auto"/>
        </w:rPr>
      </w:pPr>
      <w:r>
        <w:rPr>
          <w:rFonts w:ascii="Arial" w:cs="Arial" w:eastAsia="Arial" w:hAnsi="Arial"/>
          <w:sz w:val="22"/>
          <w:szCs w:val="22"/>
          <w:color w:val="auto"/>
        </w:rPr>
        <w:t>written or unwritten, including, without limitation, any severance or change in control benefits in Executive’s offer letter agreement, employment agreement and/or equity award agreement or previously approved by the Company.</w:t>
      </w:r>
    </w:p>
    <w:p>
      <w:pPr>
        <w:spacing w:after="0" w:line="175" w:lineRule="exact"/>
        <w:rPr>
          <w:sz w:val="20"/>
          <w:szCs w:val="20"/>
          <w:color w:val="auto"/>
        </w:rPr>
      </w:pPr>
    </w:p>
    <w:p>
      <w:pPr>
        <w:ind w:firstLine="1671"/>
        <w:spacing w:after="0" w:line="274" w:lineRule="auto"/>
        <w:tabs>
          <w:tab w:leader="none" w:pos="2551"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All questions concerning the construction, validity and interpretation of this Agreement will be governed by the laws of the State of California without regard to its conflicts of law provisions.</w:t>
      </w:r>
    </w:p>
    <w:p>
      <w:pPr>
        <w:spacing w:after="0" w:line="150" w:lineRule="exact"/>
        <w:rPr>
          <w:rFonts w:ascii="Arial" w:cs="Arial" w:eastAsia="Arial" w:hAnsi="Arial"/>
          <w:sz w:val="21"/>
          <w:szCs w:val="21"/>
          <w:color w:val="auto"/>
        </w:rPr>
      </w:pPr>
    </w:p>
    <w:p>
      <w:pPr>
        <w:jc w:val="both"/>
        <w:ind w:firstLine="1671"/>
        <w:spacing w:after="0" w:line="249" w:lineRule="auto"/>
        <w:tabs>
          <w:tab w:leader="none" w:pos="2527"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Whenever possible, each provision of this Agreement will be interpreted in such manner as to be effective and valid under applicable law, but if any provision of this Agreement is held to be invalid or unenforceable in any respect under any applicable law or rule in any jurisdiction, such invalidity or unenforceability will not affect any other provision or any other jurisdiction, but this Agreement will be reformed, construed and enforced in such jurisdiction as if such invalid or unenforceable provisions had never been contained herein.</w:t>
      </w:r>
    </w:p>
    <w:p>
      <w:pPr>
        <w:spacing w:after="0" w:line="178" w:lineRule="exact"/>
        <w:rPr>
          <w:rFonts w:ascii="Arial" w:cs="Arial" w:eastAsia="Arial" w:hAnsi="Arial"/>
          <w:sz w:val="21"/>
          <w:szCs w:val="21"/>
          <w:color w:val="auto"/>
        </w:rPr>
      </w:pPr>
    </w:p>
    <w:p>
      <w:pPr>
        <w:jc w:val="both"/>
        <w:ind w:firstLine="1671"/>
        <w:spacing w:after="0"/>
        <w:tabs>
          <w:tab w:leader="none" w:pos="2563"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any one of which need not contain signatures of more than one party, but all of which taken together will constitute one and the same Agreement. Signatures delivered by facsimile shall be deemed effective for all purposes.</w:t>
      </w:r>
    </w:p>
    <w:p>
      <w:pPr>
        <w:spacing w:after="0" w:line="186" w:lineRule="exact"/>
        <w:rPr>
          <w:rFonts w:ascii="Arial" w:cs="Arial" w:eastAsia="Arial" w:hAnsi="Arial"/>
          <w:sz w:val="22"/>
          <w:szCs w:val="22"/>
          <w:color w:val="auto"/>
        </w:rPr>
      </w:pPr>
    </w:p>
    <w:p>
      <w:pPr>
        <w:ind w:right="20" w:firstLine="1671"/>
        <w:spacing w:after="0" w:line="238" w:lineRule="auto"/>
        <w:tabs>
          <w:tab w:leader="none" w:pos="2563"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Executive Acknowledgement</w:t>
      </w:r>
      <w:r>
        <w:rPr>
          <w:rFonts w:ascii="Arial" w:cs="Arial" w:eastAsia="Arial" w:hAnsi="Arial"/>
          <w:sz w:val="22"/>
          <w:szCs w:val="22"/>
          <w:color w:val="auto"/>
        </w:rPr>
        <w:t>. Executive acknowledges that (i) Executive has consulted with or has had the opportunity to consult with independent counsel of Executive’s own choice concerning this Agreement, and has been advised to do so by the Company, and (ii) that Executive has read and understands the Agreement, is fully aware of its legal effect, and has entered into it freely based on Executive’s own judgment.</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6"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29" w:name="page130"/>
    <w:bookmarkEnd w:id="129"/>
    <w:p>
      <w:pPr>
        <w:ind w:firstLine="832"/>
        <w:spacing w:after="0" w:line="250" w:lineRule="auto"/>
        <w:rPr>
          <w:sz w:val="20"/>
          <w:szCs w:val="20"/>
          <w:color w:val="auto"/>
        </w:rPr>
      </w:pPr>
      <w:r>
        <w:rPr>
          <w:rFonts w:ascii="Arial" w:cs="Arial" w:eastAsia="Arial" w:hAnsi="Arial"/>
          <w:sz w:val="22"/>
          <w:szCs w:val="22"/>
          <w:color w:val="auto"/>
        </w:rPr>
        <w:t>The parties have executed this Agreement, in the case of the Company by its duly authorized officer, as of the dates set forth below.</w:t>
      </w:r>
    </w:p>
    <w:p>
      <w:pPr>
        <w:spacing w:after="0" w:line="169"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ALIGOS THERAPEUTICS, INC.</w:t>
      </w:r>
    </w:p>
    <w:p>
      <w:pPr>
        <w:spacing w:after="0" w:line="32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6985</wp:posOffset>
            </wp:positionV>
            <wp:extent cx="29914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92" w:lineRule="exact"/>
        <w:rPr>
          <w:sz w:val="20"/>
          <w:szCs w:val="20"/>
          <w:color w:val="auto"/>
        </w:rPr>
      </w:pPr>
    </w:p>
    <w:p>
      <w:pPr>
        <w:jc w:val="center"/>
        <w:ind w:left="4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6985</wp:posOffset>
            </wp:positionV>
            <wp:extent cx="29914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92" w:lineRule="exact"/>
        <w:rPr>
          <w:sz w:val="20"/>
          <w:szCs w:val="20"/>
          <w:color w:val="auto"/>
        </w:rPr>
      </w:pPr>
    </w:p>
    <w:p>
      <w:pPr>
        <w:jc w:val="center"/>
        <w:ind w:left="4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6985</wp:posOffset>
            </wp:positionV>
            <wp:extent cx="29914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4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-154940</wp:posOffset>
            </wp:positionV>
            <wp:extent cx="35572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6985</wp:posOffset>
            </wp:positionV>
            <wp:extent cx="29914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US-DOCS\119703462.4</w:t>
      </w:r>
    </w:p>
    <w:p>
      <w:pPr>
        <w:sectPr>
          <w:pgSz w:w="11900" w:h="16838" w:orient="portrait"/>
          <w:cols w:equalWidth="0" w:num="1">
            <w:col w:w="11240"/>
          </w:cols>
          <w:pgMar w:left="320" w:top="334"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Lawrence Blatt, certify that:</w:t>
      </w:r>
    </w:p>
    <w:p>
      <w:pPr>
        <w:spacing w:after="0" w:line="117" w:lineRule="exact"/>
        <w:rPr>
          <w:sz w:val="20"/>
          <w:szCs w:val="20"/>
          <w:color w:val="auto"/>
        </w:rPr>
      </w:pPr>
    </w:p>
    <w:p>
      <w:pPr>
        <w:ind w:left="500" w:hanging="492"/>
        <w:spacing w:after="0"/>
        <w:tabs>
          <w:tab w:leader="none" w:pos="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Aligos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140" w:right="380" w:hanging="498"/>
        <w:spacing w:after="0" w:line="342" w:lineRule="auto"/>
        <w:tabs>
          <w:tab w:leader="none" w:pos="11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498"/>
        <w:spacing w:after="0" w:line="263" w:lineRule="auto"/>
        <w:tabs>
          <w:tab w:leader="none" w:pos="11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498"/>
        <w:spacing w:after="0" w:line="342" w:lineRule="auto"/>
        <w:tabs>
          <w:tab w:leader="none" w:pos="11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00" w:hanging="498"/>
        <w:spacing w:after="0" w:line="277" w:lineRule="auto"/>
        <w:tabs>
          <w:tab w:leader="none" w:pos="11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20" w:val="left"/>
          <w:tab w:leader="none" w:pos="79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Lawrence Blatt</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Lesley Ann Calhoun, certify that:</w:t>
      </w:r>
    </w:p>
    <w:p>
      <w:pPr>
        <w:spacing w:after="0" w:line="117" w:lineRule="exact"/>
        <w:rPr>
          <w:sz w:val="20"/>
          <w:szCs w:val="20"/>
          <w:color w:val="auto"/>
        </w:rPr>
      </w:pPr>
    </w:p>
    <w:p>
      <w:pPr>
        <w:ind w:left="500" w:hanging="492"/>
        <w:spacing w:after="0"/>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Aligos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140" w:right="380" w:hanging="498"/>
        <w:spacing w:after="0" w:line="342" w:lineRule="auto"/>
        <w:tabs>
          <w:tab w:leader="none" w:pos="114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498"/>
        <w:spacing w:after="0" w:line="263" w:lineRule="auto"/>
        <w:tabs>
          <w:tab w:leader="none" w:pos="11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498"/>
        <w:spacing w:after="0" w:line="342" w:lineRule="auto"/>
        <w:tabs>
          <w:tab w:leader="none" w:pos="114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00" w:hanging="498"/>
        <w:spacing w:after="0" w:line="277" w:lineRule="auto"/>
        <w:tabs>
          <w:tab w:leader="none" w:pos="11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20" w:val="left"/>
          <w:tab w:leader="none" w:pos="772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Lesley Ann Calhoun</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Aligos Therapeutics, Inc. (the “Company”) on Form 10-Q for the period ending March 31,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140" w:hanging="498"/>
        <w:spacing w:after="0"/>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right="500" w:hanging="498"/>
        <w:spacing w:after="0" w:line="277" w:lineRule="auto"/>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880" w:val="left"/>
          <w:tab w:leader="none" w:pos="806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14605</wp:posOffset>
            </wp:positionV>
            <wp:extent cx="31718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Lawrence Blatt</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the Quarterly Report of Aligos Therapeutics, Inc. (the “Company”) on Form 10-Q for the period ending March 31,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140" w:hanging="498"/>
        <w:spacing w:after="0"/>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right="500" w:hanging="498"/>
        <w:spacing w:after="0" w:line="277" w:lineRule="auto"/>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880" w:val="left"/>
          <w:tab w:leader="none" w:pos="788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14605</wp:posOffset>
            </wp:positionV>
            <wp:extent cx="31718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Lesley Ann Calhoun</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1."/>
      <w:numFmt w:val="decimal"/>
      <w:start w:val="2"/>
    </w:lvl>
  </w:abstractNum>
  <w:abstractNum w:abstractNumId="7">
    <w:nsid w:val="2F305DEF"/>
    <w:multiLevelType w:val="hybridMultilevel"/>
    <w:lvl w:ilvl="0">
      <w:lvlJc w:val="left"/>
      <w:lvlText w:val="%1."/>
      <w:numFmt w:val="decimal"/>
      <w:start w:val="3"/>
    </w:lvl>
  </w:abstractNum>
  <w:abstractNum w:abstractNumId="8">
    <w:nsid w:val="25A70BF7"/>
    <w:multiLevelType w:val="hybridMultilevel"/>
    <w:lvl w:ilvl="0">
      <w:lvlJc w:val="left"/>
      <w:lvlText w:val="%1."/>
      <w:numFmt w:val="decimal"/>
      <w:start w:val="4"/>
    </w:lvl>
  </w:abstractNum>
  <w:abstractNum w:abstractNumId="9">
    <w:nsid w:val="1DBABF00"/>
    <w:multiLevelType w:val="hybridMultilevel"/>
    <w:lvl w:ilvl="0">
      <w:lvlJc w:val="left"/>
      <w:lvlText w:val="%1."/>
      <w:numFmt w:val="decimal"/>
      <w:start w:val="6"/>
    </w:lvl>
  </w:abstractNum>
  <w:abstractNum w:abstractNumId="10">
    <w:nsid w:val="4AD084E9"/>
    <w:multiLevelType w:val="hybridMultilevel"/>
    <w:lvl w:ilvl="0">
      <w:lvlJc w:val="left"/>
      <w:lvlText w:val="%1."/>
      <w:numFmt w:val="decimal"/>
      <w:start w:val="7"/>
    </w:lvl>
  </w:abstractNum>
  <w:abstractNum w:abstractNumId="11">
    <w:nsid w:val="1F48EAA1"/>
    <w:multiLevelType w:val="hybridMultilevel"/>
    <w:lvl w:ilvl="0">
      <w:lvlJc w:val="left"/>
      <w:lvlText w:val="%1."/>
      <w:numFmt w:val="decimal"/>
      <w:start w:val="8"/>
    </w:lvl>
  </w:abstractNum>
  <w:abstractNum w:abstractNumId="12">
    <w:nsid w:val="1381823A"/>
    <w:multiLevelType w:val="hybridMultilevel"/>
    <w:lvl w:ilvl="0">
      <w:lvlJc w:val="left"/>
      <w:lvlText w:val="%1."/>
      <w:numFmt w:val="decimal"/>
      <w:start w:val="9"/>
    </w:lvl>
  </w:abstractNum>
  <w:abstractNum w:abstractNumId="13">
    <w:nsid w:val="5DB70AE5"/>
    <w:multiLevelType w:val="hybridMultilevel"/>
    <w:lvl w:ilvl="0">
      <w:lvlJc w:val="left"/>
      <w:lvlText w:val="%1."/>
      <w:numFmt w:val="decimal"/>
      <w:start w:val="10"/>
    </w:lvl>
  </w:abstractNum>
  <w:abstractNum w:abstractNumId="14">
    <w:nsid w:val="100F8FCA"/>
    <w:multiLevelType w:val="hybridMultilevel"/>
    <w:lvl w:ilvl="0">
      <w:lvlJc w:val="left"/>
      <w:lvlText w:val="%1."/>
      <w:numFmt w:val="decimal"/>
      <w:start w:val="11"/>
    </w:lvl>
  </w:abstractNum>
  <w:abstractNum w:abstractNumId="15">
    <w:nsid w:val="6590700B"/>
    <w:multiLevelType w:val="hybridMultilevel"/>
    <w:lvl w:ilvl="0">
      <w:lvlJc w:val="left"/>
      <w:lvlText w:val="%1."/>
      <w:numFmt w:val="decimal"/>
      <w:start w:val="12"/>
    </w:lvl>
  </w:abstractNum>
  <w:abstractNum w:abstractNumId="16">
    <w:nsid w:val="15014ACB"/>
    <w:multiLevelType w:val="hybridMultilevel"/>
    <w:lvl w:ilvl="0">
      <w:lvlJc w:val="left"/>
      <w:lvlText w:val="%1."/>
      <w:numFmt w:val="decimal"/>
      <w:start w:val="14"/>
    </w:lvl>
  </w:abstractNum>
  <w:abstractNum w:abstractNumId="17">
    <w:nsid w:val="5F5E7FD0"/>
    <w:multiLevelType w:val="hybridMultilevel"/>
    <w:lvl w:ilvl="0">
      <w:lvlJc w:val="left"/>
      <w:lvlText w:val="%1."/>
      <w:numFmt w:val="decimal"/>
      <w:start w:val="15"/>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1."/>
      <w:numFmt w:val="upperLetter"/>
      <w:start w:val="1"/>
    </w:lvl>
  </w:abstractNum>
  <w:abstractNum w:abstractNumId="59">
    <w:nsid w:val="46B7D447"/>
    <w:multiLevelType w:val="hybridMultilevel"/>
    <w:lvl w:ilvl="0">
      <w:lvlJc w:val="left"/>
      <w:lvlText w:val="%1."/>
      <w:numFmt w:val="decimal"/>
      <w:start w:val="1"/>
    </w:lvl>
    <w:lvl w:ilvl="1">
      <w:lvlJc w:val="left"/>
      <w:lvlText w:val="(%2)"/>
      <w:numFmt w:val="lowerLetter"/>
      <w:start w:val="1"/>
    </w:lvl>
  </w:abstractNum>
  <w:abstractNum w:abstractNumId="60">
    <w:nsid w:val="4A2AC315"/>
    <w:multiLevelType w:val="hybridMultilevel"/>
    <w:lvl w:ilvl="0">
      <w:lvlJc w:val="left"/>
      <w:lvlText w:val="%1"/>
      <w:numFmt w:val="decimal"/>
      <w:start w:val="1"/>
    </w:lvl>
    <w:lvl w:ilvl="1">
      <w:lvlJc w:val="left"/>
      <w:lvlText w:val="(%2)"/>
      <w:numFmt w:val="lowerLetter"/>
      <w:start w:val="3"/>
    </w:lvl>
  </w:abstractNum>
  <w:abstractNum w:abstractNumId="61">
    <w:nsid w:val="39EE015C"/>
    <w:multiLevelType w:val="hybridMultilevel"/>
    <w:lvl w:ilvl="0">
      <w:lvlJc w:val="left"/>
      <w:lvlText w:val="%1."/>
      <w:numFmt w:val="decimal"/>
      <w:start w:val="3"/>
    </w:lvl>
    <w:lvl w:ilvl="1">
      <w:lvlJc w:val="left"/>
      <w:lvlText w:val="(%2)"/>
      <w:numFmt w:val="lowerLetter"/>
      <w:start w:val="1"/>
    </w:lvl>
  </w:abstractNum>
  <w:abstractNum w:abstractNumId="62">
    <w:nsid w:val="57FC4FBB"/>
    <w:multiLevelType w:val="hybridMultilevel"/>
    <w:lvl w:ilvl="0">
      <w:lvlJc w:val="left"/>
      <w:lvlText w:val="%1."/>
      <w:numFmt w:val="decimal"/>
      <w:start w:val="5"/>
    </w:lvl>
    <w:lvl w:ilvl="1">
      <w:lvlJc w:val="left"/>
      <w:lvlText w:val="(%2)"/>
      <w:numFmt w:val="lowerLetter"/>
      <w:start w:val="1"/>
    </w:lvl>
  </w:abstractNum>
  <w:abstractNum w:abstractNumId="63">
    <w:nsid w:val="CC1016F"/>
    <w:multiLevelType w:val="hybridMultilevel"/>
    <w:lvl w:ilvl="0">
      <w:lvlJc w:val="left"/>
      <w:lvlText w:val="%1"/>
      <w:numFmt w:val="lowerLetter"/>
      <w:start w:val="1"/>
    </w:lvl>
    <w:lvl w:ilvl="1">
      <w:lvlJc w:val="left"/>
      <w:lvlText w:val="(%2)"/>
      <w:numFmt w:val="lowerLetter"/>
      <w:start w:val="2"/>
    </w:lvl>
  </w:abstractNum>
  <w:abstractNum w:abstractNumId="64">
    <w:nsid w:val="43F18422"/>
    <w:multiLevelType w:val="hybridMultilevel"/>
    <w:lvl w:ilvl="0">
      <w:lvlJc w:val="left"/>
      <w:lvlText w:val="(%1)"/>
      <w:numFmt w:val="lowerLetter"/>
      <w:start w:val="35"/>
    </w:lvl>
    <w:lvl w:ilvl="1">
      <w:lvlJc w:val="left"/>
      <w:lvlText w:val="(%2)"/>
      <w:numFmt w:val="lowerLetter"/>
      <w:start w:val="3"/>
    </w:lvl>
  </w:abstractNum>
  <w:abstractNum w:abstractNumId="65">
    <w:nsid w:val="60EF011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6">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7F01579B"/>
    <w:multiLevelType w:val="hybridMultilevel"/>
    <w:lvl w:ilvl="0">
      <w:lvlJc w:val="left"/>
      <w:lvlText w:val="(%1)"/>
      <w:numFmt w:val="lowerRoman"/>
      <w:start w:val="3"/>
    </w:lvl>
  </w:abstractNum>
  <w:abstractNum w:abstractNumId="68">
    <w:nsid w:val="49DA307D"/>
    <w:multiLevelType w:val="hybridMultilevel"/>
    <w:lvl w:ilvl="0">
      <w:lvlJc w:val="left"/>
      <w:lvlText w:val="(%1)"/>
      <w:numFmt w:val="lowerLetter"/>
      <w:start w:val="35"/>
    </w:lvl>
    <w:lvl w:ilvl="1">
      <w:lvlJc w:val="left"/>
      <w:lvlText w:val="(%2)"/>
      <w:numFmt w:val="lowerLetter"/>
      <w:start w:val="5"/>
    </w:lvl>
  </w:abstractNum>
  <w:abstractNum w:abstractNumId="69">
    <w:nsid w:val="7055A5F5"/>
    <w:multiLevelType w:val="hybridMultilevel"/>
    <w:lvl w:ilvl="0">
      <w:lvlJc w:val="left"/>
      <w:lvlText w:val="(%1)"/>
      <w:numFmt w:val="lowerRoman"/>
      <w:start w:val="1"/>
    </w:lvl>
  </w:abstractNum>
  <w:abstractNum w:abstractNumId="70">
    <w:nsid w:val="5FB8370B"/>
    <w:multiLevelType w:val="hybridMultilevel"/>
    <w:lvl w:ilvl="0">
      <w:lvlJc w:val="left"/>
      <w:lvlText w:val="%1."/>
      <w:numFmt w:val="decimal"/>
      <w:start w:val="8"/>
    </w:lvl>
    <w:lvl w:ilvl="1">
      <w:lvlJc w:val="left"/>
      <w:lvlText w:val="(%2)"/>
      <w:numFmt w:val="lowerLetter"/>
      <w:start w:val="1"/>
    </w:lvl>
  </w:abstractNum>
  <w:abstractNum w:abstractNumId="71">
    <w:nsid w:val="50801EE1"/>
    <w:multiLevelType w:val="hybridMultilevel"/>
    <w:lvl w:ilvl="0">
      <w:lvlJc w:val="left"/>
      <w:lvlText w:val="%1"/>
      <w:numFmt w:val="decimal"/>
      <w:start w:val="1"/>
    </w:lvl>
    <w:lvl w:ilvl="1">
      <w:lvlJc w:val="left"/>
      <w:lvlText w:val="(%2)"/>
      <w:numFmt w:val="lowerLetter"/>
      <w:start w:val="2"/>
    </w:lvl>
  </w:abstractNum>
  <w:abstractNum w:abstractNumId="72">
    <w:nsid w:val="488AC1A"/>
    <w:multiLevelType w:val="hybridMultilevel"/>
    <w:lvl w:ilvl="0">
      <w:lvlJc w:val="left"/>
      <w:lvlText w:val="%1."/>
      <w:numFmt w:val="decimal"/>
      <w:start w:val="13"/>
    </w:lvl>
    <w:lvl w:ilvl="1">
      <w:lvlJc w:val="left"/>
      <w:lvlText w:val="(%2)"/>
      <w:numFmt w:val="lowerLetter"/>
      <w:start w:val="1"/>
    </w:lvl>
  </w:abstractNum>
  <w:abstractNum w:abstractNumId="73">
    <w:nsid w:val="5FB8011C"/>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74">
    <w:nsid w:val="6AA78F7F"/>
    <w:multiLevelType w:val="hybridMultilevel"/>
    <w:lvl w:ilvl="0">
      <w:lvlJc w:val="left"/>
      <w:lvlText w:val="%1"/>
      <w:numFmt w:val="lowerRoman"/>
      <w:start w:val="1"/>
    </w:lvl>
    <w:lvl w:ilvl="1">
      <w:lvlJc w:val="left"/>
      <w:lvlText w:val="(%2)"/>
      <w:numFmt w:val="lowerRoman"/>
      <w:start w:val="2"/>
    </w:lvl>
  </w:abstractNum>
  <w:abstractNum w:abstractNumId="75">
    <w:nsid w:val="7672BD23"/>
    <w:multiLevelType w:val="hybridMultilevel"/>
    <w:lvl w:ilvl="0">
      <w:lvlJc w:val="left"/>
      <w:lvlText w:val="(%1)"/>
      <w:numFmt w:val="lowerRoman"/>
      <w:start w:val="1"/>
    </w:lvl>
    <w:lvl w:ilvl="1">
      <w:lvlJc w:val="left"/>
      <w:lvlText w:val="(%2)"/>
      <w:numFmt w:val="lowerRoman"/>
      <w:start w:val="3"/>
    </w:lvl>
  </w:abstractNum>
  <w:abstractNum w:abstractNumId="76">
    <w:nsid w:val="6FC75AF8"/>
    <w:multiLevelType w:val="hybridMultilevel"/>
    <w:lvl w:ilvl="0">
      <w:lvlJc w:val="left"/>
      <w:lvlText w:val="(%1)"/>
      <w:numFmt w:val="lowerLetter"/>
      <w:start w:val="8"/>
    </w:lvl>
  </w:abstractNum>
  <w:abstractNum w:abstractNumId="77">
    <w:nsid w:val="6A5F7029"/>
    <w:multiLevelType w:val="hybridMultilevel"/>
    <w:lvl w:ilvl="0">
      <w:lvlJc w:val="left"/>
      <w:lvlText w:val="(%1)"/>
      <w:numFmt w:val="lowerLetter"/>
      <w:start w:val="9"/>
    </w:lvl>
  </w:abstractNum>
  <w:abstractNum w:abstractNumId="78">
    <w:nsid w:val="7D5E18F8"/>
    <w:multiLevelType w:val="hybridMultilevel"/>
    <w:lvl w:ilvl="0">
      <w:lvlJc w:val="left"/>
      <w:lvlText w:val="%1."/>
      <w:numFmt w:val="upperLetter"/>
      <w:start w:val="1"/>
    </w:lvl>
  </w:abstractNum>
  <w:abstractNum w:abstractNumId="79">
    <w:nsid w:val="5F3534A4"/>
    <w:multiLevelType w:val="hybridMultilevel"/>
    <w:lvl w:ilvl="0">
      <w:lvlJc w:val="left"/>
      <w:lvlText w:val="%1."/>
      <w:numFmt w:val="decimal"/>
      <w:start w:val="1"/>
    </w:lvl>
    <w:lvl w:ilvl="1">
      <w:lvlJc w:val="left"/>
      <w:lvlText w:val="(%2)"/>
      <w:numFmt w:val="lowerLetter"/>
      <w:start w:val="1"/>
    </w:lvl>
  </w:abstractNum>
  <w:abstractNum w:abstractNumId="80">
    <w:nsid w:val="73A1821B"/>
    <w:multiLevelType w:val="hybridMultilevel"/>
    <w:lvl w:ilvl="0">
      <w:lvlJc w:val="left"/>
      <w:lvlText w:val="%1"/>
      <w:numFmt w:val="decimal"/>
      <w:start w:val="1"/>
    </w:lvl>
    <w:lvl w:ilvl="1">
      <w:lvlJc w:val="left"/>
      <w:lvlText w:val="(%2)"/>
      <w:numFmt w:val="lowerLetter"/>
      <w:start w:val="3"/>
    </w:lvl>
  </w:abstractNum>
  <w:abstractNum w:abstractNumId="81">
    <w:nsid w:val="7DE67713"/>
    <w:multiLevelType w:val="hybridMultilevel"/>
    <w:lvl w:ilvl="0">
      <w:lvlJc w:val="left"/>
      <w:lvlText w:val="%1."/>
      <w:numFmt w:val="decimal"/>
      <w:start w:val="3"/>
    </w:lvl>
    <w:lvl w:ilvl="1">
      <w:lvlJc w:val="left"/>
      <w:lvlText w:val="(%2)"/>
      <w:numFmt w:val="lowerLetter"/>
      <w:start w:val="1"/>
    </w:lvl>
  </w:abstractNum>
  <w:abstractNum w:abstractNumId="82">
    <w:nsid w:val="555C55B5"/>
    <w:multiLevelType w:val="hybridMultilevel"/>
    <w:lvl w:ilvl="0">
      <w:lvlJc w:val="left"/>
      <w:lvlText w:val="%1"/>
      <w:numFmt w:val="decimal"/>
      <w:start w:val="1"/>
    </w:lvl>
    <w:lvl w:ilvl="1">
      <w:lvlJc w:val="left"/>
      <w:lvlText w:val="(%2)"/>
      <w:numFmt w:val="lowerLetter"/>
      <w:start w:val="3"/>
    </w:lvl>
  </w:abstractNum>
  <w:abstractNum w:abstractNumId="83">
    <w:nsid w:val="3FA62ACA"/>
    <w:multiLevelType w:val="hybridMultilevel"/>
    <w:lvl w:ilvl="0">
      <w:lvlJc w:val="left"/>
      <w:lvlText w:val="%1."/>
      <w:numFmt w:val="decimal"/>
      <w:start w:val="5"/>
    </w:lvl>
    <w:lvl w:ilvl="1">
      <w:lvlJc w:val="left"/>
      <w:lvlText w:val="(%2)"/>
      <w:numFmt w:val="lowerLetter"/>
      <w:start w:val="1"/>
    </w:lvl>
  </w:abstractNum>
  <w:abstractNum w:abstractNumId="84">
    <w:nsid w:val="14FCE74E"/>
    <w:multiLevelType w:val="hybridMultilevel"/>
    <w:lvl w:ilvl="0">
      <w:lvlJc w:val="left"/>
      <w:lvlText w:val="%1"/>
      <w:numFmt w:val="lowerLetter"/>
      <w:start w:val="1"/>
    </w:lvl>
    <w:lvl w:ilvl="1">
      <w:lvlJc w:val="left"/>
      <w:lvlText w:val="(%2)"/>
      <w:numFmt w:val="lowerLetter"/>
      <w:start w:val="2"/>
    </w:lvl>
  </w:abstractNum>
  <w:abstractNum w:abstractNumId="85">
    <w:nsid w:val="6A3DD3E8"/>
    <w:multiLevelType w:val="hybridMultilevel"/>
    <w:lvl w:ilvl="0">
      <w:lvlJc w:val="left"/>
      <w:lvlText w:val="(%1)"/>
      <w:numFmt w:val="lowerLetter"/>
      <w:start w:val="35"/>
    </w:lvl>
    <w:lvl w:ilvl="1">
      <w:lvlJc w:val="left"/>
      <w:lvlText w:val="(%2)"/>
      <w:numFmt w:val="lowerLetter"/>
      <w:start w:val="3"/>
    </w:lvl>
  </w:abstractNum>
  <w:abstractNum w:abstractNumId="86">
    <w:nsid w:val="71C9129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7">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
    <w:nsid w:val="53299938"/>
    <w:multiLevelType w:val="hybridMultilevel"/>
    <w:lvl w:ilvl="0">
      <w:lvlJc w:val="left"/>
      <w:lvlText w:val="(%1)"/>
      <w:numFmt w:val="lowerRoman"/>
      <w:start w:val="3"/>
    </w:lvl>
  </w:abstractNum>
  <w:abstractNum w:abstractNumId="89">
    <w:nsid w:val="1FBFE8E0"/>
    <w:multiLevelType w:val="hybridMultilevel"/>
    <w:lvl w:ilvl="0">
      <w:lvlJc w:val="left"/>
      <w:lvlText w:val="(%1)"/>
      <w:numFmt w:val="lowerLetter"/>
      <w:start w:val="5"/>
    </w:lvl>
  </w:abstractNum>
  <w:abstractNum w:abstractNumId="90">
    <w:nsid w:val="5092CA79"/>
    <w:multiLevelType w:val="hybridMultilevel"/>
    <w:lvl w:ilvl="0">
      <w:lvlJc w:val="left"/>
      <w:lvlText w:val="(%1)"/>
      <w:numFmt w:val="lowerRoman"/>
      <w:start w:val="1"/>
    </w:lvl>
  </w:abstractNum>
  <w:abstractNum w:abstractNumId="91">
    <w:nsid w:val="1D545C4D"/>
    <w:multiLevelType w:val="hybridMultilevel"/>
    <w:lvl w:ilvl="0">
      <w:lvlJc w:val="left"/>
      <w:lvlText w:val="%1."/>
      <w:numFmt w:val="decimal"/>
      <w:start w:val="8"/>
    </w:lvl>
    <w:lvl w:ilvl="1">
      <w:lvlJc w:val="left"/>
      <w:lvlText w:val="(%2)"/>
      <w:numFmt w:val="lowerLetter"/>
      <w:start w:val="1"/>
    </w:lvl>
  </w:abstractNum>
  <w:abstractNum w:abstractNumId="92">
    <w:nsid w:val="59ADEA3D"/>
    <w:multiLevelType w:val="hybridMultilevel"/>
    <w:lvl w:ilvl="0">
      <w:lvlJc w:val="left"/>
      <w:lvlText w:val="%1"/>
      <w:numFmt w:val="decimal"/>
      <w:start w:val="1"/>
    </w:lvl>
    <w:lvl w:ilvl="1">
      <w:lvlJc w:val="left"/>
      <w:lvlText w:val="(%2)"/>
      <w:numFmt w:val="lowerLetter"/>
      <w:start w:val="2"/>
    </w:lvl>
  </w:abstractNum>
  <w:abstractNum w:abstractNumId="93">
    <w:nsid w:val="288F1A34"/>
    <w:multiLevelType w:val="hybridMultilevel"/>
    <w:lvl w:ilvl="0">
      <w:lvlJc w:val="left"/>
      <w:lvlText w:val="%1."/>
      <w:numFmt w:val="decimal"/>
      <w:start w:val="13"/>
    </w:lvl>
    <w:lvl w:ilvl="1">
      <w:lvlJc w:val="left"/>
      <w:lvlText w:val="(%2)"/>
      <w:numFmt w:val="lowerLetter"/>
      <w:start w:val="1"/>
    </w:lvl>
  </w:abstractNum>
  <w:abstractNum w:abstractNumId="94">
    <w:nsid w:val="2A155DBC"/>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95">
    <w:nsid w:val="1D9F6E5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96">
    <w:nsid w:val="97E1B4E"/>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3"/>
    </w:lvl>
  </w:abstractNum>
  <w:abstractNum w:abstractNumId="97">
    <w:nsid w:val="51088277"/>
    <w:multiLevelType w:val="hybridMultilevel"/>
    <w:lvl w:ilvl="0">
      <w:lvlJc w:val="left"/>
      <w:lvlText w:val="(%1)"/>
      <w:numFmt w:val="lowerLetter"/>
      <w:start w:val="9"/>
    </w:lvl>
  </w:abstractNum>
  <w:abstractNum w:abstractNumId="98">
    <w:nsid w:val="1CA0C5FA"/>
    <w:multiLevelType w:val="hybridMultilevel"/>
    <w:lvl w:ilvl="0">
      <w:lvlJc w:val="left"/>
      <w:lvlText w:val="%1."/>
      <w:numFmt w:val="decimal"/>
      <w:start w:val="1"/>
    </w:lvl>
  </w:abstractNum>
  <w:abstractNum w:abstractNumId="99">
    <w:nsid w:val="53584BCB"/>
    <w:multiLevelType w:val="hybridMultilevel"/>
    <w:lvl w:ilvl="0">
      <w:lvlJc w:val="left"/>
      <w:lvlText w:val="%1."/>
      <w:numFmt w:val="decimal"/>
      <w:start w:val="4"/>
    </w:lvl>
  </w:abstractNum>
  <w:abstractNum w:abstractNumId="100">
    <w:nsid w:val="415E286C"/>
    <w:multiLevelType w:val="hybridMultilevel"/>
    <w:lvl w:ilvl="0">
      <w:lvlJc w:val="left"/>
      <w:lvlText w:val="(%1)"/>
      <w:numFmt w:val="lowerRoman"/>
      <w:start w:val="4"/>
    </w:lvl>
  </w:abstractNum>
  <w:abstractNum w:abstractNumId="101">
    <w:nsid w:val="7C58FD05"/>
    <w:multiLevelType w:val="hybridMultilevel"/>
    <w:lvl w:ilvl="0">
      <w:lvlJc w:val="left"/>
      <w:lvlText w:val="(%1)"/>
      <w:numFmt w:val="lowerRoman"/>
      <w:start w:val="1"/>
    </w:lvl>
  </w:abstractNum>
  <w:abstractNum w:abstractNumId="102">
    <w:nsid w:val="23D86AAC"/>
    <w:multiLevelType w:val="hybridMultilevel"/>
    <w:lvl w:ilvl="0">
      <w:lvlJc w:val="left"/>
      <w:lvlText w:val="%1."/>
      <w:numFmt w:val="decimal"/>
      <w:start w:val="7"/>
    </w:lvl>
  </w:abstractNum>
  <w:abstractNum w:abstractNumId="103">
    <w:nsid w:val="45E6D486"/>
    <w:multiLevelType w:val="hybridMultilevel"/>
    <w:lvl w:ilvl="0">
      <w:lvlJc w:val="left"/>
      <w:lvlText w:val="%1."/>
      <w:numFmt w:val="upperLetter"/>
      <w:start w:val="1"/>
    </w:lvl>
  </w:abstractNum>
  <w:abstractNum w:abstractNumId="104">
    <w:nsid w:val="5C10FE21"/>
    <w:multiLevelType w:val="hybridMultilevel"/>
    <w:lvl w:ilvl="0">
      <w:lvlJc w:val="left"/>
      <w:lvlText w:val="%1."/>
      <w:numFmt w:val="decimal"/>
      <w:start w:val="1"/>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07">
    <w:nsid w:val="4BD8591A"/>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abstractNum>
  <w:abstractNum w:abstractNumId="108">
    <w:nsid w:val="78DF6A55"/>
    <w:multiLevelType w:val="hybridMultilevel"/>
    <w:lvl w:ilvl="0">
      <w:lvlJc w:val="left"/>
      <w:lvlText w:val="%1."/>
      <w:numFmt w:val="decimal"/>
      <w:start w:val="6"/>
    </w:lvl>
    <w:lvl w:ilvl="1">
      <w:lvlJc w:val="left"/>
      <w:lvlText w:val="(%2)"/>
      <w:numFmt w:val="lowerLetter"/>
      <w:start w:val="1"/>
    </w:lvl>
  </w:abstractNum>
  <w:abstractNum w:abstractNumId="109">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0">
    <w:nsid w:val="2B0D8DB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11">
    <w:nsid w:val="6C80EC70"/>
    <w:multiLevelType w:val="hybridMultilevel"/>
    <w:lvl w:ilvl="0">
      <w:lvlJc w:val="left"/>
      <w:lvlText w:val="%1"/>
      <w:numFmt w:val="decimal"/>
      <w:start w:val="1"/>
    </w:lvl>
    <w:lvl w:ilvl="1">
      <w:lvlJc w:val="left"/>
      <w:lvlText w:val="(%2)"/>
      <w:numFmt w:val="lowerLetter"/>
      <w:start w:val="4"/>
    </w:lvl>
  </w:abstractNum>
  <w:abstractNum w:abstractNumId="112">
    <w:nsid w:val="379E21B5"/>
    <w:multiLevelType w:val="hybridMultilevel"/>
    <w:lvl w:ilvl="0">
      <w:lvlJc w:val="left"/>
      <w:lvlText w:val="%1."/>
      <w:numFmt w:val="decimal"/>
      <w:start w:val="10"/>
    </w:lvl>
    <w:lvl w:ilvl="1">
      <w:lvlJc w:val="left"/>
      <w:lvlText w:val="(%2)"/>
      <w:numFmt w:val="lowerLetter"/>
      <w:start w:val="1"/>
    </w:lvl>
  </w:abstractNum>
  <w:abstractNum w:abstractNumId="113">
    <w:nsid w:val="69E373"/>
    <w:multiLevelType w:val="hybridMultilevel"/>
    <w:lvl w:ilvl="0">
      <w:lvlJc w:val="left"/>
      <w:lvlText w:val="%1."/>
      <w:numFmt w:val="decimal"/>
      <w:start w:val="11"/>
    </w:lvl>
    <w:lvl w:ilvl="1">
      <w:lvlJc w:val="left"/>
      <w:lvlText w:val="(%2)"/>
      <w:numFmt w:val="lowerLetter"/>
      <w:start w:val="1"/>
    </w:lvl>
  </w:abstractNum>
  <w:abstractNum w:abstractNumId="114">
    <w:nsid w:val="2C27173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15">
    <w:nsid w:val="4C9B0904"/>
    <w:multiLevelType w:val="hybridMultilevel"/>
    <w:lvl w:ilvl="0">
      <w:lvlJc w:val="left"/>
      <w:lvlText w:val="%1"/>
      <w:numFmt w:val="lowerLetter"/>
      <w:start w:val="1"/>
    </w:lvl>
    <w:lvl w:ilvl="1">
      <w:lvlJc w:val="left"/>
      <w:lvlText w:val="(%2)"/>
      <w:numFmt w:val="lowerRoman"/>
      <w:start w:val="4"/>
    </w:lvl>
  </w:abstractNum>
  <w:abstractNum w:abstractNumId="116">
    <w:nsid w:val="6AA7B75C"/>
    <w:multiLevelType w:val="hybridMultilevel"/>
    <w:lvl w:ilvl="0">
      <w:lvlJc w:val="left"/>
      <w:lvlText w:val="(%1)"/>
      <w:numFmt w:val="lowerLetter"/>
      <w:start w:val="2"/>
    </w:lvl>
    <w:lvl w:ilvl="1">
      <w:lvlJc w:val="left"/>
      <w:lvlText w:val="%2"/>
      <w:numFmt w:val="lowerRoman"/>
      <w:start w:val="1"/>
    </w:lvl>
  </w:abstractNum>
  <w:abstractNum w:abstractNumId="117">
    <w:nsid w:val="1DF029D3"/>
    <w:multiLevelType w:val="hybridMultilevel"/>
    <w:lvl w:ilvl="0">
      <w:lvlJc w:val="left"/>
      <w:lvlText w:val="(%1)"/>
      <w:numFmt w:val="lowerLetter"/>
      <w:start w:val="5"/>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jpe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jpe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jpe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07" Type="http://schemas.openxmlformats.org/officeDocument/2006/relationships/hyperlink" Target="http://www.sec.gov/Archives/edgar/data/1799448/000119312520272852/d46540dex31.htm" TargetMode="External"/><Relationship Id="rId108" Type="http://schemas.openxmlformats.org/officeDocument/2006/relationships/hyperlink" Target="http://www.sec.gov/Archives/edgar/data/1799448/000119312520272852/d46540dex32.htm" TargetMode="External"/><Relationship Id="rId109" Type="http://schemas.openxmlformats.org/officeDocument/2006/relationships/hyperlink" Target="http://www.sec.gov/Archives/edgar/data/1799448/000119312520267346/d3140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2021-05-10T15:31:25Z</dcterms:created>
  <dcterms:modified xsi:type="dcterms:W3CDTF">2021-05-10T15:31:25Z</dcterms:modified>
</cp:coreProperties>
</file>