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ind w:left="2520" w:right="800" w:hanging="2522"/>
        <w:spacing w:after="0" w:line="336" w:lineRule="auto"/>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2140"/>
        <w:spacing w:after="0"/>
        <w:tabs>
          <w:tab w:leader="none" w:pos="5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1896745</wp:posOffset>
            </wp:positionH>
            <wp:positionV relativeFrom="paragraph">
              <wp:posOffset>74295</wp:posOffset>
            </wp:positionV>
            <wp:extent cx="1748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2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42"/>
          <w:szCs w:val="42"/>
          <w:b w:val="1"/>
          <w:bCs w:val="1"/>
          <w:color w:val="auto"/>
        </w:rPr>
        <w:t>Aligos Therapeutics, Inc.</w:t>
      </w:r>
    </w:p>
    <w:p>
      <w:pPr>
        <w:spacing w:after="0" w:line="60" w:lineRule="exact"/>
        <w:rPr>
          <w:sz w:val="24"/>
          <w:szCs w:val="24"/>
          <w:color w:val="auto"/>
        </w:rPr>
      </w:pPr>
    </w:p>
    <w:tbl>
      <w:tblPr>
        <w:tblLayout w:type="fixed"/>
        <w:tblInd w:w="320" w:type="dxa"/>
        <w:tblCellMar>
          <w:top w:w="0" w:type="dxa"/>
          <w:left w:w="0" w:type="dxa"/>
          <w:bottom w:w="0" w:type="dxa"/>
          <w:right w:w="0" w:type="dxa"/>
        </w:tblCellMar>
      </w:tblPr>
      <w:tr>
        <w:trPr>
          <w:trHeight w:val="238"/>
        </w:trPr>
        <w:tc>
          <w:tcPr>
            <w:tcW w:w="622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20" w:type="dxa"/>
            <w:vAlign w:val="bottom"/>
          </w:tcPr>
          <w:p>
            <w:pPr>
              <w:spacing w:after="0"/>
              <w:rPr>
                <w:sz w:val="20"/>
                <w:szCs w:val="20"/>
                <w:color w:val="auto"/>
              </w:rPr>
            </w:pPr>
          </w:p>
        </w:tc>
      </w:tr>
      <w:tr>
        <w:trPr>
          <w:trHeight w:val="253"/>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82-4724808</w:t>
            </w:r>
          </w:p>
        </w:tc>
      </w:tr>
      <w:tr>
        <w:trPr>
          <w:trHeight w:val="135"/>
        </w:trPr>
        <w:tc>
          <w:tcPr>
            <w:tcW w:w="6220" w:type="dxa"/>
            <w:vAlign w:val="bottom"/>
          </w:tcPr>
          <w:p>
            <w:pPr>
              <w:jc w:val="center"/>
              <w:ind w:right="3682"/>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20" w:type="dxa"/>
            <w:vAlign w:val="bottom"/>
          </w:tcPr>
          <w:p>
            <w:pPr>
              <w:jc w:val="center"/>
              <w:ind w:left="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120" w:type="dxa"/>
            <w:vAlign w:val="bottom"/>
          </w:tcPr>
          <w:p>
            <w:pPr>
              <w:jc w:val="center"/>
              <w:ind w:left="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64"/>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8"/>
                <w:szCs w:val="18"/>
                <w:b w:val="1"/>
                <w:bCs w:val="1"/>
                <w:color w:val="auto"/>
                <w:w w:val="99"/>
              </w:rPr>
              <w:t>One Corporate Drive, 2nd Floor</w:t>
            </w:r>
          </w:p>
        </w:tc>
        <w:tc>
          <w:tcPr>
            <w:tcW w:w="1120" w:type="dxa"/>
            <w:vAlign w:val="bottom"/>
          </w:tcPr>
          <w:p>
            <w:pPr>
              <w:spacing w:after="0"/>
              <w:rPr>
                <w:sz w:val="22"/>
                <w:szCs w:val="22"/>
                <w:color w:val="auto"/>
              </w:rPr>
            </w:pPr>
          </w:p>
        </w:tc>
      </w:tr>
      <w:tr>
        <w:trPr>
          <w:trHeight w:val="232"/>
        </w:trPr>
        <w:tc>
          <w:tcPr>
            <w:tcW w:w="6220" w:type="dxa"/>
            <w:vAlign w:val="bottom"/>
          </w:tcPr>
          <w:p>
            <w:pPr>
              <w:jc w:val="center"/>
              <w:ind w:right="3682"/>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66"/>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120" w:type="dxa"/>
            <w:vAlign w:val="bottom"/>
          </w:tcPr>
          <w:p>
            <w:pPr>
              <w:jc w:val="center"/>
              <w:ind w:left="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1896745</wp:posOffset>
            </wp:positionH>
            <wp:positionV relativeFrom="paragraph">
              <wp:posOffset>105410</wp:posOffset>
            </wp:positionV>
            <wp:extent cx="1748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2" w:lineRule="exact"/>
        <w:rPr>
          <w:sz w:val="24"/>
          <w:szCs w:val="24"/>
          <w:color w:val="auto"/>
        </w:rPr>
      </w:pPr>
    </w:p>
    <w:p>
      <w:pPr>
        <w:sectPr>
          <w:pgSz w:w="11900" w:h="16838" w:orient="portrait"/>
          <w:cols w:equalWidth="0" w:num="2">
            <w:col w:w="940" w:space="320"/>
            <w:col w:w="9980"/>
          </w:cols>
          <w:pgMar w:left="320" w:top="1045"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2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00" w:type="dxa"/>
            <w:vAlign w:val="bottom"/>
          </w:tcPr>
          <w:p>
            <w:pPr>
              <w:spacing w:after="0"/>
              <w:rPr>
                <w:sz w:val="13"/>
                <w:szCs w:val="13"/>
                <w:color w:val="auto"/>
              </w:rPr>
            </w:pPr>
          </w:p>
        </w:tc>
        <w:tc>
          <w:tcPr>
            <w:tcW w:w="43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7"/>
        </w:trPr>
        <w:tc>
          <w:tcPr>
            <w:tcW w:w="4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16"/>
                <w:szCs w:val="16"/>
                <w:color w:val="auto"/>
              </w:rPr>
            </w:pPr>
          </w:p>
        </w:tc>
        <w:tc>
          <w:tcPr>
            <w:tcW w:w="2260" w:type="dxa"/>
            <w:vAlign w:val="bottom"/>
          </w:tcPr>
          <w:p>
            <w:pPr>
              <w:ind w:left="880"/>
              <w:spacing w:after="0" w:line="188" w:lineRule="exact"/>
              <w:rPr>
                <w:sz w:val="20"/>
                <w:szCs w:val="20"/>
                <w:color w:val="auto"/>
              </w:rPr>
            </w:pPr>
            <w:r>
              <w:rPr>
                <w:rFonts w:ascii="Times New Roman" w:cs="Times New Roman" w:eastAsia="Times New Roman" w:hAnsi="Times New Roman"/>
                <w:sz w:val="18"/>
                <w:szCs w:val="18"/>
                <w:b w:val="1"/>
                <w:bCs w:val="1"/>
                <w:color w:val="auto"/>
              </w:rPr>
              <w:t>ALGS</w:t>
            </w:r>
          </w:p>
        </w:tc>
        <w:tc>
          <w:tcPr>
            <w:tcW w:w="100" w:type="dxa"/>
            <w:vAlign w:val="bottom"/>
          </w:tcPr>
          <w:p>
            <w:pPr>
              <w:spacing w:after="0"/>
              <w:rPr>
                <w:sz w:val="16"/>
                <w:szCs w:val="16"/>
                <w:color w:val="auto"/>
              </w:rPr>
            </w:pPr>
          </w:p>
        </w:tc>
        <w:tc>
          <w:tcPr>
            <w:tcW w:w="4360" w:type="dxa"/>
            <w:vAlign w:val="bottom"/>
          </w:tcPr>
          <w:p>
            <w:pPr>
              <w:jc w:val="right"/>
              <w:ind w:right="879"/>
              <w:spacing w:after="0" w:line="188"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238"/>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(Nasdaq Capital Market)</w:t>
            </w:r>
          </w:p>
        </w:tc>
      </w:tr>
    </w:tbl>
    <w:p>
      <w:pPr>
        <w:spacing w:after="0" w:line="63"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7" w:lineRule="exact"/>
        <w:tabs>
          <w:tab w:leader="none" w:pos="1980" w:val="left"/>
          <w:tab w:leader="none" w:pos="7680" w:val="left"/>
          <w:tab w:leader="none" w:pos="110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96" w:lineRule="exact"/>
        <w:rPr>
          <w:sz w:val="24"/>
          <w:szCs w:val="24"/>
          <w:color w:val="auto"/>
        </w:rPr>
      </w:pPr>
    </w:p>
    <w:p>
      <w:pPr>
        <w:spacing w:after="0" w:line="207" w:lineRule="exact"/>
        <w:tabs>
          <w:tab w:leader="none" w:pos="1980" w:val="left"/>
          <w:tab w:leader="none" w:pos="7680" w:val="left"/>
          <w:tab w:leader="none" w:pos="110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50" w:lineRule="exact"/>
        <w:rPr>
          <w:sz w:val="24"/>
          <w:szCs w:val="24"/>
          <w:color w:val="auto"/>
        </w:rPr>
      </w:pPr>
    </w:p>
    <w:p>
      <w:pPr>
        <w:jc w:val="right"/>
        <w:spacing w:after="0" w:line="207" w:lineRule="exact"/>
        <w:tabs>
          <w:tab w:leader="none" w:pos="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4"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900" w:val="left"/>
          <w:tab w:leader="none" w:pos="96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11" w:lineRule="exact"/>
        <w:rPr>
          <w:sz w:val="24"/>
          <w:szCs w:val="24"/>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May 1, 2025, the registrant had 6,114,801 shares of common stock, $0.0001 par value per share, outstanding, comprised of 5,314,801 shares of voting common stock, $0.0001 par value per share and 800,000 shares of non-voting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2" w:lineRule="exact"/>
        <w:rPr>
          <w:sz w:val="20"/>
          <w:szCs w:val="20"/>
          <w:color w:val="auto"/>
        </w:rPr>
      </w:pPr>
    </w:p>
    <w:p>
      <w:pPr>
        <w:ind w:left="1020" w:right="4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our drug candidates or any other future drug candidates, and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related to the research and development of our pipeline;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and maintaining regulatory approval for any of our current or future drug candidates, and any related restrictions or limitations;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size of the potential patient populations for our drug candidates and any future drug candidates, if approved for commercial use;</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collaborations, licensing or other arrangements and the financial terms of any such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expectations;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drug candidates, as well as the pricing and reimbursement of our drug candidates, if approved;</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 candidates and technology, including additional indications for which we may pursue;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including the projected term of patent protection;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scientific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and defend our intellectual property protection for our drug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5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Securities and Exchange Commission (the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117" w:lineRule="exact"/>
        <w:rPr>
          <w:sz w:val="20"/>
          <w:szCs w:val="20"/>
          <w:color w:val="auto"/>
        </w:rPr>
      </w:pPr>
    </w:p>
    <w:p>
      <w:pPr>
        <w:ind w:left="1020" w:right="28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 for a full fiscal year.</w:t>
      </w:r>
    </w:p>
    <w:p>
      <w:pPr>
        <w:spacing w:after="0" w:line="117"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other therapies, which exposes us to additional risks.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t>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23"/>
                <w:szCs w:val="23"/>
                <w:color w:val="auto"/>
              </w:rPr>
            </w:pPr>
          </w:p>
        </w:tc>
        <w:tc>
          <w:tcPr>
            <w:tcW w:w="5720" w:type="dxa"/>
            <w:vAlign w:val="bottom"/>
            <w:gridSpan w:val="10"/>
          </w:tcPr>
          <w:p>
            <w:pPr>
              <w:spacing w:after="0"/>
              <w:rPr>
                <w:sz w:val="23"/>
                <w:szCs w:val="23"/>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(Deficit)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680" w:type="dxa"/>
            <w:vAlign w:val="bottom"/>
            <w:tcBorders>
              <w:left w:val="single" w:sz="8" w:color="0000FF"/>
            </w:tcBorders>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vMerge w:val="continue"/>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9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12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240" w:type="dxa"/>
            <w:vAlign w:val="bottom"/>
            <w:gridSpan w:val="1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700" w:type="dxa"/>
            <w:vAlign w:val="bottom"/>
            <w:gridSpan w:val="1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73,763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64,098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Pr>
          <w:p>
            <w:pPr>
              <w:spacing w:after="0"/>
              <w:rPr>
                <w:sz w:val="18"/>
                <w:szCs w:val="18"/>
                <w:color w:val="auto"/>
              </w:rPr>
            </w:pPr>
          </w:p>
        </w:tc>
      </w:tr>
      <w:tr>
        <w:trPr>
          <w:trHeight w:val="209"/>
        </w:trPr>
        <w:tc>
          <w:tcPr>
            <w:tcW w:w="7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143,205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r>
      <w:tr>
        <w:trPr>
          <w:trHeight w:val="249"/>
        </w:trPr>
        <w:tc>
          <w:tcPr>
            <w:tcW w:w="7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150,699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100" w:type="dxa"/>
            <w:vAlign w:val="bottom"/>
            <w:shd w:val="clear" w:color="auto" w:fill="CFF0FC"/>
          </w:tcPr>
          <w:p>
            <w:pPr>
              <w:spacing w:after="0"/>
              <w:rPr>
                <w:sz w:val="21"/>
                <w:szCs w:val="21"/>
                <w:color w:val="auto"/>
              </w:rPr>
            </w:pPr>
          </w:p>
        </w:tc>
      </w:tr>
      <w:tr>
        <w:trPr>
          <w:trHeight w:val="197"/>
        </w:trPr>
        <w:tc>
          <w:tcPr>
            <w:tcW w:w="77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2023 common warrants liability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liability</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99,067</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as of March 31, 2025 and December</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31, 2024, respectively; no shares issued and outstanding as of March 31, 2025 and December 31, 2024,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198"/>
        </w:trPr>
        <w:tc>
          <w:tcPr>
            <w:tcW w:w="77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20,800,000 shares and 20,800,000 shares authorized as of March 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and December 31, 2024, respectively; 6,114,801 and 3,864,436 shares issued and outstanding as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March 31, 2025 and December 31, 2024, respectively.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690,909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588,576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(574,920)</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(618,008)</w:t>
            </w:r>
          </w:p>
        </w:tc>
      </w:tr>
      <w:tr>
        <w:trPr>
          <w:trHeight w:val="216"/>
        </w:trPr>
        <w:tc>
          <w:tcPr>
            <w:tcW w:w="7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(28,973)</w:t>
            </w: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100" w:type="dxa"/>
            <w:vAlign w:val="bottom"/>
            <w:shd w:val="clear" w:color="auto" w:fill="CFF0FC"/>
          </w:tcPr>
          <w:p>
            <w:pPr>
              <w:spacing w:after="0"/>
              <w:rPr>
                <w:sz w:val="19"/>
                <w:szCs w:val="19"/>
                <w:color w:val="auto"/>
              </w:rPr>
            </w:pP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-3933825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-3916680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-1979295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-316865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5"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9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(19,243)</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(22,046)</w:t>
            </w:r>
          </w:p>
        </w:tc>
        <w:tc>
          <w:tcPr>
            <w:tcW w:w="0" w:type="dxa"/>
            <w:vAlign w:val="bottom"/>
          </w:tcPr>
          <w:p>
            <w:pPr>
              <w:spacing w:after="0"/>
              <w:rPr>
                <w:sz w:val="1"/>
                <w:szCs w:val="1"/>
                <w:color w:val="auto"/>
              </w:rPr>
            </w:pPr>
          </w:p>
        </w:tc>
      </w:tr>
      <w:tr>
        <w:trPr>
          <w:trHeight w:val="216"/>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(14,372)</w:t>
            </w:r>
          </w:p>
        </w:tc>
        <w:tc>
          <w:tcPr>
            <w:tcW w:w="0" w:type="dxa"/>
            <w:vAlign w:val="bottom"/>
          </w:tcPr>
          <w:p>
            <w:pPr>
              <w:spacing w:after="0"/>
              <w:rPr>
                <w:sz w:val="1"/>
                <w:szCs w:val="1"/>
                <w:color w:val="auto"/>
              </w:rPr>
            </w:pPr>
          </w:p>
        </w:tc>
      </w:tr>
      <w:tr>
        <w:trPr>
          <w:trHeight w:val="20"/>
        </w:trPr>
        <w:tc>
          <w:tcPr>
            <w:tcW w:w="7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(34,839)</w:t>
            </w: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(34,863)</w:t>
            </w:r>
          </w:p>
        </w:tc>
        <w:tc>
          <w:tcPr>
            <w:tcW w:w="0" w:type="dxa"/>
            <w:vAlign w:val="bottom"/>
          </w:tcPr>
          <w:p>
            <w:pPr>
              <w:spacing w:after="0"/>
              <w:rPr>
                <w:sz w:val="1"/>
                <w:szCs w:val="1"/>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7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43,084</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(34,932)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basic</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5.12</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basic</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8,408,481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6,246,113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diluted</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8,709,693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-2153920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-2153920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-1588135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-1588135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-1305560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360" w:type="dxa"/>
            <w:vAlign w:val="bottom"/>
            <w:gridSpan w:val="3"/>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236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0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9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3,864,436</w:t>
            </w:r>
          </w:p>
        </w:tc>
        <w:tc>
          <w:tcPr>
            <w:tcW w:w="1160" w:type="dxa"/>
            <w:vAlign w:val="bottom"/>
            <w:gridSpan w:val="2"/>
            <w:shd w:val="clear" w:color="auto" w:fill="CFF0FC"/>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3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588,576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(618,008)</w:t>
            </w:r>
          </w:p>
        </w:tc>
        <w:tc>
          <w:tcPr>
            <w:tcW w:w="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(28,973)</w:t>
            </w: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RSU vesting</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146,468</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exercise of pre-funded warrants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pre-funded warrants</w:t>
            </w: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common warrants in connection with 2025</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2,103,307</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105,003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PIPE offering</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Costs related to 2025 PIPE offering</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(3,629)</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(3,629)</w:t>
            </w: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30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43,088</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43,088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March 31, 2025</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6,114,801</w:t>
            </w:r>
          </w:p>
        </w:tc>
        <w:tc>
          <w:tcPr>
            <w:tcW w:w="200" w:type="dxa"/>
            <w:vAlign w:val="bottom"/>
          </w:tcPr>
          <w:p>
            <w:pPr>
              <w:spacing w:after="0"/>
              <w:rPr>
                <w:sz w:val="12"/>
                <w:szCs w:val="12"/>
                <w:color w:val="auto"/>
              </w:rPr>
            </w:pPr>
          </w:p>
        </w:tc>
        <w:tc>
          <w:tcPr>
            <w:tcW w:w="960" w:type="dxa"/>
            <w:vAlign w:val="bottom"/>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690,909</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(574,920)</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447</w:t>
            </w:r>
          </w:p>
        </w:tc>
        <w:tc>
          <w:tcPr>
            <w:tcW w:w="140" w:type="dxa"/>
            <w:vAlign w:val="bottom"/>
          </w:tcPr>
          <w:p>
            <w:pPr>
              <w:spacing w:after="0"/>
              <w:rPr>
                <w:sz w:val="12"/>
                <w:szCs w:val="12"/>
                <w:color w:val="auto"/>
              </w:rPr>
            </w:pPr>
          </w:p>
        </w:tc>
        <w:tc>
          <w:tcPr>
            <w:tcW w:w="1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116,445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360" w:type="dxa"/>
            <w:vAlign w:val="bottom"/>
            <w:gridSpan w:val="3"/>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236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0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9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91"/>
        </w:trPr>
        <w:tc>
          <w:tcPr>
            <w:tcW w:w="30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3,003,855</w:t>
            </w:r>
          </w:p>
        </w:tc>
        <w:tc>
          <w:tcPr>
            <w:tcW w:w="1160" w:type="dxa"/>
            <w:vAlign w:val="bottom"/>
            <w:gridSpan w:val="2"/>
            <w:shd w:val="clear" w:color="auto" w:fill="CFF0FC"/>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578,325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(486,797)</w:t>
            </w:r>
          </w:p>
        </w:tc>
        <w:tc>
          <w:tcPr>
            <w:tcW w:w="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92,080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22,771</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from</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RSU vesting</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9"/>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(34,863)</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(34,863)</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March 31, 2024</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3,026,723</w:t>
            </w:r>
          </w:p>
        </w:tc>
        <w:tc>
          <w:tcPr>
            <w:tcW w:w="200" w:type="dxa"/>
            <w:vAlign w:val="bottom"/>
          </w:tcPr>
          <w:p>
            <w:pPr>
              <w:spacing w:after="0"/>
              <w:rPr>
                <w:sz w:val="12"/>
                <w:szCs w:val="12"/>
                <w:color w:val="auto"/>
              </w:rPr>
            </w:pPr>
          </w:p>
        </w:tc>
        <w:tc>
          <w:tcPr>
            <w:tcW w:w="960" w:type="dxa"/>
            <w:vAlign w:val="bottom"/>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580,973</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(521,660)</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476</w:t>
            </w:r>
          </w:p>
        </w:tc>
        <w:tc>
          <w:tcPr>
            <w:tcW w:w="140" w:type="dxa"/>
            <w:vAlign w:val="bottom"/>
          </w:tcPr>
          <w:p>
            <w:pPr>
              <w:spacing w:after="0"/>
              <w:rPr>
                <w:sz w:val="12"/>
                <w:szCs w:val="12"/>
                <w:color w:val="auto"/>
              </w:rPr>
            </w:pPr>
          </w:p>
        </w:tc>
        <w:tc>
          <w:tcPr>
            <w:tcW w:w="1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59,796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-2065020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-2065020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-2065020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-2065020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-2065020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-128270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-128270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-128270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-128270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-128270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9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43,088</w:t>
            </w:r>
          </w:p>
        </w:tc>
        <w:tc>
          <w:tcPr>
            <w:tcW w:w="2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(34,863)</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Accretion of discount on investments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 cash lease expense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(61,494)</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 including ESPP</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(4,765)</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(4,800)</w:t>
            </w:r>
          </w:p>
        </w:tc>
      </w:tr>
      <w:tr>
        <w:trPr>
          <w:trHeight w:val="216"/>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r>
      <w:tr>
        <w:trPr>
          <w:trHeight w:val="20"/>
        </w:trPr>
        <w:tc>
          <w:tcPr>
            <w:tcW w:w="7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(20,909)</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(22,746)</w:t>
            </w:r>
          </w:p>
        </w:tc>
      </w:tr>
      <w:tr>
        <w:trPr>
          <w:trHeight w:val="210"/>
        </w:trPr>
        <w:tc>
          <w:tcPr>
            <w:tcW w:w="7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Activities in available-for-sale investments: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(64,024)</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(88,573)</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7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(44,067)</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(88,642)</w:t>
            </w:r>
          </w:p>
        </w:tc>
      </w:tr>
      <w:tr>
        <w:trPr>
          <w:trHeight w:val="210"/>
        </w:trPr>
        <w:tc>
          <w:tcPr>
            <w:tcW w:w="7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198"/>
        </w:trPr>
        <w:tc>
          <w:tcPr>
            <w:tcW w:w="798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common warrants and pre-funded warrants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connection with PIPE Offering, net of costs</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101,742</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7980" w:type="dxa"/>
            <w:vAlign w:val="bottom"/>
            <w:tcBorders>
              <w:top w:val="single" w:sz="8" w:color="CFF0FC"/>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Net cash and cash equivalents provided by (used in) financing activities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101,742</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(111,407)</w:t>
            </w:r>
          </w:p>
        </w:tc>
      </w:tr>
      <w:tr>
        <w:trPr>
          <w:trHeight w:val="216"/>
        </w:trPr>
        <w:tc>
          <w:tcPr>
            <w:tcW w:w="7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37,107</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135,774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73,873</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120" w:type="dxa"/>
            <w:vAlign w:val="bottom"/>
          </w:tcPr>
          <w:p>
            <w:pPr>
              <w:spacing w:after="0"/>
              <w:rPr>
                <w:sz w:val="18"/>
                <w:szCs w:val="18"/>
                <w:color w:val="auto"/>
              </w:rPr>
            </w:pPr>
          </w:p>
        </w:tc>
      </w:tr>
      <w:tr>
        <w:trPr>
          <w:trHeight w:val="142"/>
        </w:trPr>
        <w:tc>
          <w:tcPr>
            <w:tcW w:w="7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PIPE issuance costs unpaid at period end</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-2359660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-2359660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-1519555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-1519555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-975360</wp:posOffset>
            </wp:positionV>
            <wp:extent cx="9398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-975360</wp:posOffset>
            </wp:positionV>
            <wp:extent cx="10287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-534035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-534035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520" w:right="7740" w:hanging="512"/>
        <w:spacing w:after="0" w:line="440" w:lineRule="auto"/>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183"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Aligos is a clinical-stage biotechnology company developing novel therapeutics to address unmet medical needs in viral and liver diseases, including for chronic hepatitis B virus (HBV) infection, metabolic dysfunction associated steatohepatitis (MASH), and coronaviruses.</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(U.S. GAAP) and follow the requirements of the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the Company’s annual consolidated financial statements and, in the opinion of management, reflect all adjustments, consisting only of normal recurring adjustments, which are necessary for a fair statement of the Company’s consolidated financial information. The condensed consolidated financial statements include the accounts of the Company and its wholly owned subsidiaries. All intercompany balances and transactions have been eliminated in consolidation. The results of operations for the three months ended March 31, 2025 are not necessarily indicative of the results to be expected for the full year or any other future period. The balance sheet as of December 31, 2024 is derived from the audited consolidated financial statements at that date but does not include all of the information required by U.S. GAAP for complete consolidated financial statements.</w:t>
      </w:r>
    </w:p>
    <w:p>
      <w:pPr>
        <w:spacing w:after="0" w:line="8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financial information should be read in conjunction with the audited consolidated financial statements and the related notes thereto included in the Company’s Annual Report on Form 10-K for the year ended December 31, 2024 filed with the SEC.</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amounts previously reported in Condensed Consolidated Statements of Operations and Comprehensive Income (Loss) for the period ended March 31, 2024 have been reclassified to conform to the current period presentation, with respect to the separate presentation of the change in fair value of 2023 Common Warrants in the amount of $14.4 million, previously included in Interest and other income (expense), net. The reclassification had no impact on our net loss.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March 31, 2025, the Condensed Consolidated Statements of Operations and Comprehensive Income (Loss) for the three months ended March 31, 2025 and 2024, the Condensed Consolidated Statements of Stockholders’ Equity (Deficit) for the three months ended March 31, 2025 and 2024, and the Condensed Consolidated Statements of Cash Flows for the three months ended March 31, 2025 and 2024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March 31, 2025 and the consolidated results of its operations and cash flows for the three months ended March 31, 2025 and 2024. The consolidated financial data and other information disclosed in these notes related to the three months ended March 31, 2025 and 2024 are unaudited. The consolidated results for the three months ended March 31, 2025 are not necessarily indicative of results to be expected for the year ending December 31, 2025, any other interim periods, or any future year or period.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in each fiscal year since its inception. As of March 31, 2025 and December 31, 2024, the Company had an accumulated deficit of $574.9 million and $618.0 million, respectively. Management expects to continue to incur additional substantial losses from operations in future fiscal years in the foreseeable future as a result of its research and development activities.</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2025, the Company has cash, cash equivalents and investments of approximately $137.9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to finance its cash needs through a combination of public or private equity offerings, debt financings, collaborations, strategic alliances, licensing arrangements and/or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the Company expects its existing cash, cash equivalents and investments, will enable it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Company’s ability to raise additional funds depends on financial, economic and other factors, many of which are beyond its control. For example, if there is a disruption of global financial markets,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maintains a dual banking system to limit its credit and liquidity risk.</w:t>
      </w:r>
    </w:p>
    <w:p>
      <w:pPr>
        <w:spacing w:after="0" w:line="284" w:lineRule="exact"/>
        <w:rPr>
          <w:sz w:val="20"/>
          <w:szCs w:val="20"/>
          <w:color w:val="auto"/>
        </w:rPr>
      </w:pPr>
    </w:p>
    <w:p>
      <w:pPr>
        <w:ind w:left="520" w:right="7400" w:hanging="512"/>
        <w:spacing w:after="0" w:line="378" w:lineRule="auto"/>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it believes to be reasonable under the circumstances. These estimates form the basis for making judgments about the carrying values of assets and liabilities when these values are not readily apparent from other sources. Accounting estimates and judgments are inherently uncertain, and actual results could differ from these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August 19, 2024, the Company effected a 1-for-25 reverse stock split of its authorized, issued and outstanding voting and non-voting common stock. All equity related information including per share amounts for all periods presented in these condensed consolidated financial statements and the notes thereto have been adjusted retroactively, where applicable, to reflect this reverse stock split.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and estimates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No material changes were made to the Company’s significant accounting policies disclosed in Note 2. Summary of significant accounting policies, in its Annual Report on Form 10-K, filed with the SEC on March 10, 2025, for the year ended December 31,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i.e. after December 31, 2025.</w:t>
      </w:r>
    </w:p>
    <w:p>
      <w:pPr>
        <w:spacing w:after="0" w:line="7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has considered all recent accounting pronouncements issued, but not yet effective, and does not expect any to have a material effect on the Company’s condensed consolidated financial statements other than those discussed in its Annual Report on Form 10-K, filed with the SEC on March 10, 2025, for the year ended December 31, 2024.</w:t>
      </w:r>
    </w:p>
    <w:p>
      <w:pPr>
        <w:spacing w:after="0" w:line="172" w:lineRule="exact"/>
        <w:rPr>
          <w:sz w:val="20"/>
          <w:szCs w:val="20"/>
          <w:color w:val="auto"/>
        </w:rPr>
      </w:pPr>
    </w:p>
    <w:p>
      <w:pPr>
        <w:ind w:left="520" w:right="8720" w:hanging="512"/>
        <w:spacing w:after="0" w:line="400" w:lineRule="auto"/>
        <w:tabs>
          <w:tab w:leader="none" w:pos="5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Property and equipment</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components of property and equipment as of March 31, 2025 and December 31, 2024 were as follows (in thousands):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 and equipment</w:t>
            </w: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Asset under construction</w:t>
            </w:r>
          </w:p>
        </w:tc>
        <w:tc>
          <w:tcPr>
            <w:tcW w:w="2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0"/>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at cost</w:t>
            </w: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(11,782)</w:t>
            </w:r>
          </w:p>
        </w:tc>
      </w:tr>
      <w:tr>
        <w:trPr>
          <w:trHeight w:val="20"/>
        </w:trPr>
        <w:tc>
          <w:tcPr>
            <w:tcW w:w="4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net</w:t>
            </w:r>
          </w:p>
        </w:tc>
        <w:tc>
          <w:tcPr>
            <w:tcW w:w="2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FF0FC"/>
          </w:tcPr>
          <w:p>
            <w:pPr>
              <w:spacing w:after="0"/>
              <w:rPr>
                <w:sz w:val="19"/>
                <w:szCs w:val="19"/>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$0.2 million for the three months ended March 31, 2025 and $0.3 million for the three months ended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leases are also included in property and equipment as vehicles and lab equipment on the Condensed Consolidated Balance Sheets.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Accrued R&amp;D expenses</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amortized cost, gross unrealized gains and losses, and estimated fair values of total fixed-maturity securities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center"/>
              <w:ind w:left="107"/>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00" w:type="dxa"/>
            <w:vAlign w:val="bottom"/>
          </w:tcPr>
          <w:p>
            <w:pPr>
              <w:jc w:val="center"/>
              <w:ind w:left="2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ind w:left="9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tcPr>
          <w:p>
            <w:pPr>
              <w:jc w:val="center"/>
              <w:ind w:left="4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9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tcPr>
          <w:p>
            <w:pPr>
              <w:jc w:val="center"/>
              <w:ind w:left="4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7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bonds</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64,102</w:t>
            </w:r>
          </w:p>
        </w:tc>
        <w:tc>
          <w:tcPr>
            <w:tcW w:w="900" w:type="dxa"/>
            <w:vAlign w:val="bottom"/>
          </w:tcPr>
          <w:p>
            <w:pPr>
              <w:jc w:val="right"/>
              <w:ind w:right="74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64,098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 w:name="page13"/>
    <w:bookmarkEnd w:id="12"/>
    <w:tbl>
      <w:tblPr>
        <w:tblLayout w:type="fixed"/>
        <w:tblInd w:w="52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bonds</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Five of our short-term investments are in an unrealized loss position. Changes in fair value are related to changes in market interest rates. The Company expects to collect all contractual principal and interest payments and does not intend to sell the investments before recovery of their amortized cost bases. As of March 31, 2025, all investments had a remaining maturity of less than one year.</w:t>
      </w:r>
    </w:p>
    <w:p>
      <w:pPr>
        <w:spacing w:after="0" w:line="68"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interest income of $0.8 million for the three months ended March 31, 2025, and $0.6 million for the three months ended March 31, 2024. The Company recorded accrued interest receivable of $0.1 million for the three months ended March 31, 2025. There was no accrued interest receivable as of December 31, 2024.</w:t>
      </w:r>
    </w:p>
    <w:p>
      <w:pPr>
        <w:spacing w:after="0" w:line="17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5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assets or liabilities, or other inputs that are observable or can be corroborated by observable market data.</w:t>
      </w:r>
    </w:p>
    <w:p>
      <w:pPr>
        <w:spacing w:after="0" w:line="65" w:lineRule="exact"/>
        <w:rPr>
          <w:sz w:val="20"/>
          <w:szCs w:val="20"/>
          <w:color w:val="auto"/>
        </w:rPr>
      </w:pPr>
    </w:p>
    <w:p>
      <w:pPr>
        <w:ind w:left="520"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5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60" w:type="dxa"/>
            <w:vAlign w:val="bottom"/>
          </w:tcPr>
          <w:p>
            <w:pPr>
              <w:spacing w:after="0"/>
              <w:rPr>
                <w:sz w:val="12"/>
                <w:szCs w:val="12"/>
                <w:color w:val="auto"/>
              </w:rPr>
            </w:pPr>
          </w:p>
        </w:tc>
        <w:tc>
          <w:tcPr>
            <w:tcW w:w="94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9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2023 common warrants liability</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(10,873)</w:t>
            </w:r>
          </w:p>
        </w:tc>
      </w:tr>
      <w:tr>
        <w:trPr>
          <w:trHeight w:val="20"/>
        </w:trPr>
        <w:tc>
          <w:tcPr>
            <w:tcW w:w="7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(10,873)</w:t>
            </w: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20"/>
        </w:trPr>
        <w:tc>
          <w:tcPr>
            <w:tcW w:w="7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7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60" w:type="dxa"/>
            <w:vAlign w:val="bottom"/>
          </w:tcPr>
          <w:p>
            <w:pPr>
              <w:spacing w:after="0"/>
              <w:rPr>
                <w:sz w:val="12"/>
                <w:szCs w:val="12"/>
                <w:color w:val="auto"/>
              </w:rPr>
            </w:pPr>
          </w:p>
        </w:tc>
        <w:tc>
          <w:tcPr>
            <w:tcW w:w="94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9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2023 common warrants liability</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(72,367)</w:t>
            </w:r>
          </w:p>
        </w:tc>
      </w:tr>
      <w:tr>
        <w:trPr>
          <w:trHeight w:val="20"/>
        </w:trPr>
        <w:tc>
          <w:tcPr>
            <w:tcW w:w="7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(72,367)</w:t>
            </w: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-1182370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-1165225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-1182370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-1165225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0" w:right="7120" w:hanging="512"/>
        <w:spacing w:after="0" w:line="440" w:lineRule="auto"/>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Warrants and Pre-Funded Warrants 2025 PIPE</w:t>
      </w:r>
    </w:p>
    <w:p>
      <w:pPr>
        <w:spacing w:after="0" w:line="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In February 2025, the Company closed its private investment in public equity (PIPE) offering (the 2025 Private Placement) and entered into a securities purchase agreement with certain investors (the 2025 Securities Purchase Agreement) that resulted in gross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3" w:name="page14"/>
    <w:bookmarkEnd w:id="13"/>
    <w:p>
      <w:pPr>
        <w:ind w:right="20"/>
        <w:spacing w:after="0" w:line="219" w:lineRule="exact"/>
        <w:rPr>
          <w:sz w:val="20"/>
          <w:szCs w:val="20"/>
          <w:color w:val="auto"/>
        </w:rPr>
      </w:pPr>
      <w:r>
        <w:rPr>
          <w:rFonts w:ascii="Times New Roman" w:cs="Times New Roman" w:eastAsia="Times New Roman" w:hAnsi="Times New Roman"/>
          <w:sz w:val="18"/>
          <w:szCs w:val="18"/>
          <w:color w:val="auto"/>
        </w:rPr>
        <w:t>proceeds of approximately $105.0 million. In the 2025 Private Placement, the Company issued (i) 2,103,307 shares of the Company’s common stock (the Common Stock), par value $0.0001 per share, consisting of 1,427,000 shares of voting common stock and 676,307 shares of non-voting common stock, (ii)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2025 Pre-Funded Warrants) to purchase up to 1,922,511 shares of Common Stock and (iii) accompanying common warrants (the 2025 Common Warrants) to purchase up to 2,012,909 shares of Common Stock. The purchase price per share was $26.0825, or $26.0824 per 2025 Pre-Funded Warrant, which represents the purchase price per share less the $0.0001 per share exercise price of each Pre-Funded Warrant. Each 2025 Pre-Funded Warrant is immediately exercisable and does not expire. Each 2025 Common Warrant has an exercise price of $26.02, is immediately exercisable and will expire in February 2032. The Company received net proceeds of approximately $101.7 million, after deducting the placement agent fees and expenses and offering costs.</w:t>
      </w:r>
    </w:p>
    <w:p>
      <w:pPr>
        <w:spacing w:after="0" w:line="9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2025 Common Warrants and 2025 Pre-Funded Warrants in Stockholders Equity (Deficit) on the Condensed Consolidated Balance Sheet and determined the outstanding 2025 Common Warrants and 2025 Pre-Funded Warrants are freestanding derivative instruments. The Company classified the 2025 Common Warrants and 2025 Pre-Funded Warrants as equity because they met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based on the terms in the 2025 Securities Purchase Agreement.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2023 PIPE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Company completed a PIPE offering and entered into a securities purchase agreement (the 2023 Securities Purchase Agreement) with certain institutional and accredited investors, pursuant to which the Company agreed to offer, issue and sell to these investors 1,257,168 shares of Common Stock, par value $0.0001 per share, pre-funded warrants to purchase an aggregate of 3,242,018 shares of Common Stock (the 2023 Pre-Funded Warrants), and warrants to purchase an aggregate of 2,249,680 shares of Common Stock (the 2023 Common Warrants). Each 2023 Pre-Funded Warrant has an exercise price of $0.0001 per share of common stock, was immediately exercisable and is exercisable until exercised in full. Each 2023 Common Warrant has an exercise price of $18.92 per share of common stock, is immediately exercisable and will expire on October 25, 2030. The closing of the offering occurred on October 25, 2023. The Company received gross proceeds of $92.1 million, and after deducting the placement agent fees and expenses and offering costs, net proceeds were $86.2 million.</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2023 and 2025 Pre-Funded Warrants outstanding at December 31, 2024 and March 31, 2025:</w:t>
      </w:r>
    </w:p>
    <w:p>
      <w:pPr>
        <w:spacing w:after="0" w:line="20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Pre-funded warrant shares outstanding</w:t>
            </w:r>
          </w:p>
        </w:tc>
        <w:tc>
          <w:tcPr>
            <w:tcW w:w="292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2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360" w:type="dxa"/>
            <w:vAlign w:val="bottom"/>
            <w:shd w:val="clear" w:color="auto" w:fill="CFF0FC"/>
          </w:tcPr>
          <w:p>
            <w:pPr>
              <w:spacing w:after="0"/>
              <w:rPr>
                <w:sz w:val="18"/>
                <w:szCs w:val="18"/>
                <w:color w:val="auto"/>
              </w:rPr>
            </w:pPr>
          </w:p>
        </w:tc>
        <w:tc>
          <w:tcPr>
            <w:tcW w:w="2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3,242,018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1,922,511</w:t>
            </w:r>
          </w:p>
        </w:tc>
        <w:tc>
          <w:tcPr>
            <w:tcW w:w="3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(146,484)</w:t>
            </w:r>
          </w:p>
        </w:tc>
        <w:tc>
          <w:tcPr>
            <w:tcW w:w="2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(800,613)</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360" w:type="dxa"/>
            <w:vAlign w:val="bottom"/>
            <w:tcBorders>
              <w:top w:val="single" w:sz="8" w:color="CFF0FC"/>
            </w:tcBorders>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10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the end of the period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360" w:type="dxa"/>
            <w:vAlign w:val="bottom"/>
            <w:shd w:val="clear" w:color="auto" w:fill="CFF0FC"/>
          </w:tcPr>
          <w:p>
            <w:pPr>
              <w:spacing w:after="0"/>
              <w:rPr>
                <w:sz w:val="18"/>
                <w:szCs w:val="18"/>
                <w:color w:val="auto"/>
              </w:rPr>
            </w:pP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-290830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-290830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2023 Common Warrant liability, which represents a recurring measurement that is classified with Level 3 of the fair value hierarchy wherein the fair value is estimated using significant unobservable inputs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0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liability</w:t>
            </w:r>
          </w:p>
        </w:tc>
        <w:tc>
          <w:tcPr>
            <w:tcW w:w="3060" w:type="dxa"/>
            <w:vAlign w:val="bottom"/>
            <w:gridSpan w:val="2"/>
            <w:shd w:val="clear" w:color="auto" w:fill="CFF0FC"/>
          </w:tcPr>
          <w:p>
            <w:pPr>
              <w:jc w:val="right"/>
              <w:ind w:right="14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6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Common warrants issued</w:t>
            </w: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warrants exercised</w:t>
            </w:r>
          </w:p>
        </w:tc>
        <w:tc>
          <w:tcPr>
            <w:tcW w:w="14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(1,361)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(61,494)</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vMerge w:val="continue"/>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liability</w:t>
            </w:r>
          </w:p>
        </w:tc>
        <w:tc>
          <w:tcPr>
            <w:tcW w:w="3060" w:type="dxa"/>
            <w:vAlign w:val="bottom"/>
            <w:gridSpan w:val="2"/>
            <w:shd w:val="clear" w:color="auto" w:fill="CFF0FC"/>
          </w:tcPr>
          <w:p>
            <w:pPr>
              <w:jc w:val="right"/>
              <w:ind w:right="14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6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520" w:type="dxa"/>
            <w:vAlign w:val="bottom"/>
          </w:tcPr>
          <w:p>
            <w:pPr>
              <w:spacing w:after="0"/>
              <w:rPr>
                <w:sz w:val="24"/>
                <w:szCs w:val="24"/>
                <w:color w:val="auto"/>
              </w:rPr>
            </w:pPr>
          </w:p>
        </w:tc>
        <w:tc>
          <w:tcPr>
            <w:tcW w:w="348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Borders>
              <w:top w:val="single" w:sz="8" w:color="auto"/>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-916305</wp:posOffset>
            </wp:positionV>
            <wp:extent cx="59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-916305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2023 Common Warrants was measured using the Black Scholes option pricing model and will be remeasured each reporting period, and the change in fair value will be recorded in earnings. The assumptions that the Company used to determine the fair value at the reporting date were as follows:</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9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5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r>
      <w:tr>
        <w:trPr>
          <w:trHeight w:val="210"/>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40" w:type="dxa"/>
            <w:vAlign w:val="bottom"/>
            <w:shd w:val="clear" w:color="auto" w:fill="CFF0FC"/>
          </w:tcPr>
          <w:p>
            <w:pPr>
              <w:spacing w:after="0"/>
              <w:rPr>
                <w:sz w:val="18"/>
                <w:szCs w:val="18"/>
                <w:color w:val="auto"/>
              </w:rPr>
            </w:pP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shd w:val="clear" w:color="auto" w:fill="CFF0FC"/>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4.00%</w:t>
            </w:r>
          </w:p>
        </w:tc>
        <w:tc>
          <w:tcPr>
            <w:tcW w:w="2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34"/>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87.21%</w:t>
            </w:r>
          </w:p>
        </w:tc>
        <w:tc>
          <w:tcPr>
            <w:tcW w:w="2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84.62%</w:t>
            </w: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2023 and 2025 Common Warrants outstanding at March 31, 2025:</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warrant shares outstanding</w:t>
            </w:r>
          </w:p>
        </w:tc>
        <w:tc>
          <w:tcPr>
            <w:tcW w:w="25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60" w:type="dxa"/>
            <w:vAlign w:val="bottom"/>
          </w:tcPr>
          <w:p>
            <w:pPr>
              <w:spacing w:after="0"/>
              <w:rPr>
                <w:sz w:val="15"/>
                <w:szCs w:val="15"/>
                <w:color w:val="auto"/>
              </w:rPr>
            </w:pPr>
          </w:p>
        </w:tc>
        <w:tc>
          <w:tcPr>
            <w:tcW w:w="25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2,249,680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2,012,909</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2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(48,822)</w:t>
            </w:r>
          </w:p>
        </w:tc>
      </w:tr>
      <w:tr>
        <w:trPr>
          <w:trHeight w:val="209"/>
        </w:trPr>
        <w:tc>
          <w:tcPr>
            <w:tcW w:w="20" w:type="dxa"/>
            <w:vAlign w:val="bottom"/>
          </w:tcPr>
          <w:p>
            <w:pPr>
              <w:spacing w:after="0"/>
              <w:rPr>
                <w:sz w:val="18"/>
                <w:szCs w:val="18"/>
                <w:color w:val="auto"/>
              </w:rPr>
            </w:pPr>
          </w:p>
        </w:tc>
        <w:tc>
          <w:tcPr>
            <w:tcW w:w="4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360" w:type="dxa"/>
            <w:vAlign w:val="bottom"/>
            <w:tcBorders>
              <w:top w:val="single" w:sz="8" w:color="CFF0FC"/>
            </w:tcBorders>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10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the end of the period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-290830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-290830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520" w:right="6340" w:hanging="512"/>
        <w:spacing w:after="0" w:line="393" w:lineRule="auto"/>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Incentive Awards and Stock-based Compensation </w:t>
      </w:r>
      <w:r>
        <w:rPr>
          <w:rFonts w:ascii="Times New Roman" w:cs="Times New Roman" w:eastAsia="Times New Roman" w:hAnsi="Times New Roman"/>
          <w:sz w:val="18"/>
          <w:szCs w:val="18"/>
          <w:b w:val="1"/>
          <w:bCs w:val="1"/>
          <w:i w:val="1"/>
          <w:iCs w:val="1"/>
          <w:color w:val="auto"/>
        </w:rPr>
        <w:t>Stock options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 activity during the three months ended March 31, 2025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 options</w:t>
            </w:r>
          </w:p>
        </w:tc>
        <w:tc>
          <w:tcPr>
            <w:tcW w:w="1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6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627,685</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(28,255)</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1,010,367</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March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exercisable as of March 31,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251,095</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60" w:type="dxa"/>
            <w:vAlign w:val="bottom"/>
          </w:tcPr>
          <w:p>
            <w:pPr>
              <w:spacing w:after="0"/>
              <w:rPr>
                <w:sz w:val="24"/>
                <w:szCs w:val="24"/>
                <w:color w:val="auto"/>
              </w:rPr>
            </w:pPr>
          </w:p>
        </w:tc>
        <w:tc>
          <w:tcPr>
            <w:tcW w:w="46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75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Restricted stock unit activity during the three months ended March 31, 2025 is as follows: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of Awards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unvested as of December 31, 2024</w:t>
            </w:r>
          </w:p>
        </w:tc>
        <w:tc>
          <w:tcPr>
            <w:tcW w:w="12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2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(590)</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Issued and unvested as of March 31, 2025</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-2922270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-2922270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-2630805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-2630805</wp:posOffset>
            </wp:positionV>
            <wp:extent cx="59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-1062355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-1062355</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5" w:name="page16"/>
    <w:bookmarkEnd w:id="15"/>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for the three months ended March 31, 2025 and 2024 (in thousands):</w:t>
      </w:r>
    </w:p>
    <w:p>
      <w:pPr>
        <w:spacing w:after="0" w:line="178" w:lineRule="exact"/>
        <w:rPr>
          <w:sz w:val="20"/>
          <w:szCs w:val="20"/>
          <w:color w:val="auto"/>
        </w:rPr>
      </w:pPr>
    </w:p>
    <w:tbl>
      <w:tblPr>
        <w:tblLayout w:type="fixed"/>
        <w:tblInd w:w="15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4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4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-25400</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1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9" w:lineRule="exact"/>
        <w:rPr>
          <w:sz w:val="20"/>
          <w:szCs w:val="20"/>
          <w:color w:val="auto"/>
        </w:rPr>
      </w:pPr>
    </w:p>
    <w:p>
      <w:pPr>
        <w:ind w:left="520" w:right="7680" w:hanging="512"/>
        <w:spacing w:after="0" w:line="377" w:lineRule="auto"/>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from contracts with customers </w:t>
      </w:r>
      <w:r>
        <w:rPr>
          <w:rFonts w:ascii="Times New Roman" w:cs="Times New Roman" w:eastAsia="Times New Roman" w:hAnsi="Times New Roman"/>
          <w:sz w:val="18"/>
          <w:szCs w:val="18"/>
          <w:b w:val="1"/>
          <w:bCs w:val="1"/>
          <w:i w:val="1"/>
          <w:iCs w:val="1"/>
          <w:color w:val="auto"/>
        </w:rPr>
        <w:t>Agreement with Amoytop</w:t>
      </w:r>
    </w:p>
    <w:p>
      <w:pPr>
        <w:spacing w:after="0" w:line="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May 2023, the Company and Amoytop Biotech Co., Ltd (Amoytop) entered into an exclusive Development Agreement and Research Collaboration Agreement with a focus on nucleic acid technology for HBV treatment, with the Company granting to Amoytop an exclusive option to enter into an exclusive license to develop and commercialize such compounds. Under the terms of the agreement, the Company received an upfront payment of $7.0 million, less withholding taxes of $1.1 million from Amoytop. With respect to the agreement, the Company will be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and Amoytop entered into a nine-month extension to the Development Agreement and Research Collaboration Agreement, covering work performed through January 2025. Under the terms of the agreement, the Company received an upfront payment of $1.5 million which was recognized from the second quarter of 2024 through the first quarter of 2025.</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Amoytop agreement falls within the scope of Accounting Standards Codification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probability of achieving any of the milestone payments is remote, and therefore determined to be constrained and excluded from the transaction price.</w:t>
      </w:r>
    </w:p>
    <w:p>
      <w:pPr>
        <w:spacing w:after="0" w:line="8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$0.3 million and $0.7 million, respectively, in revenue from customers related to upfront payments. During the three months ended March 31, 2025 and 2024, the Company recognized no revenue from customers related to milestone payments. The unrecognized portion of the upfront payments received during the three months ended March 31, 2024 is recorded on the Condensed Consolidated Balance Sheets as “Deferred revenue from customers”.</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Changes in deferred revenue balances arose as a result of the Company recognizing the following revenue from customers during the periods below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from customers as of January 1</w:t>
            </w:r>
          </w:p>
        </w:tc>
        <w:tc>
          <w:tcPr>
            <w:tcW w:w="290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received in the period</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customers recognized in the period</w:t>
            </w:r>
          </w:p>
        </w:tc>
        <w:tc>
          <w:tcPr>
            <w:tcW w:w="20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revenue from customers as of March 31</w:t>
            </w:r>
          </w:p>
        </w:tc>
        <w:tc>
          <w:tcPr>
            <w:tcW w:w="202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20" w:type="dxa"/>
            <w:vAlign w:val="bottom"/>
            <w:vMerge w:val="restart"/>
          </w:tcPr>
          <w:p>
            <w:pPr>
              <w:jc w:val="right"/>
              <w:ind w:right="1336"/>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-1079500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ADCT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ADC Therapeutics (ADCT) agreement falls within the scope of ASC 606, Revenue from Contracts with Customers (ASC 606). The agreement did not fall under the ASC 808 guidance due to ADCT and the Company not being joint active participants, nor both parties having significant risks and rewards. Management of the Company determined that there was one performance obligation for the agreements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spacing w:after="0" w:line="200" w:lineRule="exact"/>
        <w:rPr>
          <w:sz w:val="20"/>
          <w:szCs w:val="20"/>
          <w:color w:val="auto"/>
        </w:rPr>
      </w:pPr>
    </w:p>
    <w:p>
      <w:pPr>
        <w:spacing w:after="0" w:line="20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In-licensing agreements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with Emory University (Emory)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agreed to pay Emory up to an aggregate of $125.0 million upon the achievement of specified development, regulatory, and commercial milestones, and all ongoing patent costs. During the three months ended March 31, 2025 and 2024, the Company had no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range from a low-single digit to a mid-single digit rate.</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made no payments associated with royalties and recognized no expense or accruals.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Luxna Biotech Co., Ltd. (Luxna)</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MASH, which the Company may select at any time during the first eight years of the term, to the extent not licensed to a third party, and (iii)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7" w:name="page18"/>
    <w:bookmarkEnd w:id="17"/>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 million.</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 million in April 2020.</w:t>
      </w:r>
    </w:p>
    <w:p>
      <w:pPr>
        <w:spacing w:after="0" w:line="7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make payments to Luxna, in aggregate, totaling up to but no more than $55.5 million upon the achievement of specified development, regulatory, and commercial milestones. During the three months ended March 31, 2025 and 2024, the Company recognized no expenses related to milestone payments. The Company is also required to pay Luxna a low-single digit royalty percentage on net sale of applicable products, if any. During the three months ended March 31, 2025 and 2024, the Company made no payments associated with royalties.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Katholieke Universiteit Leuven (KU Leuven)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terminated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The Company is also required to pay a revenue share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three months ended March 31, 2025, the Company made no payments of royalties or milestones.</w:t>
      </w:r>
    </w:p>
    <w:p>
      <w:pPr>
        <w:spacing w:after="0" w:line="200" w:lineRule="exact"/>
        <w:rPr>
          <w:sz w:val="20"/>
          <w:szCs w:val="20"/>
          <w:color w:val="auto"/>
        </w:rPr>
      </w:pPr>
    </w:p>
    <w:p>
      <w:pPr>
        <w:spacing w:after="0" w:line="30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March 31, 2025 and December 31, 2024. The Company enters into contracts in the normal course of business that includes arrangements with clinical research organizations, vendors for preclinical research and vendors for manufacturing. These agreements generally allow for cancellation with notice. As of March 31, 2025, the Company had no material non-cancellable purchase commitments.</w:t>
      </w:r>
    </w:p>
    <w:p>
      <w:pPr>
        <w:spacing w:after="0" w:line="183"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income tax provision of $43.0 thousand for the three months ended March 31, 2025, primarily related to the Company's international operations.</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has a history of losses in prior fiscal years and projects losses for the full year 2025. The Company continues to maintain a full valuation allowance on its net deferred tax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8" w:name="page19"/>
    <w:bookmarkEnd w:id="18"/>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share of the Company (in thousands, except share and per share data):</w:t>
      </w:r>
    </w:p>
    <w:p>
      <w:pPr>
        <w:spacing w:after="0" w:line="182"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3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as reported</w:t>
            </w:r>
          </w:p>
        </w:tc>
        <w:tc>
          <w:tcPr>
            <w:tcW w:w="1200" w:type="dxa"/>
            <w:vAlign w:val="bottom"/>
            <w:shd w:val="clear" w:color="auto" w:fill="CFF0FC"/>
          </w:tcPr>
          <w:p>
            <w:pPr>
              <w:jc w:val="right"/>
              <w:ind w:right="10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43,088</w:t>
            </w:r>
          </w:p>
        </w:tc>
        <w:tc>
          <w:tcPr>
            <w:tcW w:w="1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Change in fair value of the 2023 common warrants</w:t>
            </w:r>
          </w:p>
        </w:tc>
        <w:tc>
          <w:tcPr>
            <w:tcW w:w="1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(61,494)</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net loss</w:t>
            </w:r>
          </w:p>
        </w:tc>
        <w:tc>
          <w:tcPr>
            <w:tcW w:w="1200" w:type="dxa"/>
            <w:vAlign w:val="bottom"/>
            <w:shd w:val="clear" w:color="auto" w:fill="CFF0FC"/>
          </w:tcPr>
          <w:p>
            <w:pPr>
              <w:jc w:val="right"/>
              <w:ind w:right="10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(18,406)</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(34,863)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1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8,408,481</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6,246,113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 Weighted average shares issuable upon exercise of 2023 common warrants</w:t>
            </w:r>
          </w:p>
        </w:tc>
        <w:tc>
          <w:tcPr>
            <w:tcW w:w="1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301,212</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1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8,709,693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6,246,113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1200" w:type="dxa"/>
            <w:vAlign w:val="bottom"/>
            <w:shd w:val="clear" w:color="auto" w:fill="CFF0FC"/>
          </w:tcPr>
          <w:p>
            <w:pPr>
              <w:jc w:val="right"/>
              <w:ind w:right="10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1200" w:type="dxa"/>
            <w:vAlign w:val="bottom"/>
          </w:tcPr>
          <w:p>
            <w:pPr>
              <w:jc w:val="right"/>
              <w:ind w:right="10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-719455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-719455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-454025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-454025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-179705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-162560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-179705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-162560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includes options to purchase common stock, unvested restricted stock and warrants to purchase common stock. For the three months ended March 31, 2025, the 2023 common warrants were dilutive and included in the total weighted average shares outstanding, diluted. For the three months ended March 31, 2024, all potentially dilutive securities have been excluded from the computation of diluted net loss per share as the effect would be to reduce the net loss per share. Therefore, for the three months ended March 31, 2024, the weighted-average number of shares outstanding used to calculate both basic and diluted net loss per share is the same.</w:t>
      </w:r>
    </w:p>
    <w:p>
      <w:pPr>
        <w:spacing w:after="0" w:line="7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47"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300" w:type="dxa"/>
        <w:tblCellMar>
          <w:top w:w="0" w:type="dxa"/>
          <w:left w:w="0" w:type="dxa"/>
          <w:bottom w:w="0" w:type="dxa"/>
          <w:right w:w="0" w:type="dxa"/>
        </w:tblCellMar>
      </w:tblPr>
      <w:tr>
        <w:trPr>
          <w:trHeight w:val="142"/>
        </w:trPr>
        <w:tc>
          <w:tcPr>
            <w:tcW w:w="5860" w:type="dxa"/>
            <w:vAlign w:val="bottom"/>
          </w:tcPr>
          <w:p>
            <w:pPr>
              <w:spacing w:after="0"/>
              <w:rPr>
                <w:sz w:val="12"/>
                <w:szCs w:val="12"/>
                <w:color w:val="auto"/>
              </w:rPr>
            </w:pPr>
          </w:p>
        </w:tc>
        <w:tc>
          <w:tcPr>
            <w:tcW w:w="2200" w:type="dxa"/>
            <w:vAlign w:val="bottom"/>
            <w:tcBorders>
              <w:top w:val="single" w:sz="8" w:color="auto"/>
              <w:bottom w:val="single" w:sz="8" w:color="auto"/>
            </w:tcBorders>
          </w:tcPr>
          <w:p>
            <w:pPr>
              <w:jc w:val="right"/>
              <w:ind w:right="8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2200" w:type="dxa"/>
            <w:vAlign w:val="bottom"/>
            <w:tcBorders>
              <w:top w:val="single" w:sz="8" w:color="auto"/>
              <w:bottom w:val="single" w:sz="8" w:color="auto"/>
            </w:tcBorders>
          </w:tcPr>
          <w:p>
            <w:pPr>
              <w:jc w:val="right"/>
              <w:ind w:right="8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1,010,367</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404,902</w:t>
            </w:r>
          </w:p>
        </w:tc>
        <w:tc>
          <w:tcPr>
            <w:tcW w:w="100" w:type="dxa"/>
            <w:vAlign w:val="bottom"/>
            <w:shd w:val="clear" w:color="auto" w:fill="CFF0FC"/>
          </w:tcPr>
          <w:p>
            <w:pPr>
              <w:spacing w:after="0"/>
              <w:rPr>
                <w:sz w:val="17"/>
                <w:szCs w:val="17"/>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17,264</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6,183</w:t>
            </w:r>
          </w:p>
        </w:tc>
        <w:tc>
          <w:tcPr>
            <w:tcW w:w="100" w:type="dxa"/>
            <w:vAlign w:val="bottom"/>
          </w:tcPr>
          <w:p>
            <w:pPr>
              <w:spacing w:after="0"/>
              <w:rPr>
                <w:sz w:val="17"/>
                <w:szCs w:val="17"/>
                <w:color w:val="auto"/>
              </w:rPr>
            </w:pPr>
          </w:p>
        </w:tc>
      </w:tr>
      <w:tr>
        <w:trPr>
          <w:trHeight w:val="203"/>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2,012,909</w:t>
            </w:r>
          </w:p>
        </w:tc>
        <w:tc>
          <w:tcPr>
            <w:tcW w:w="300" w:type="dxa"/>
            <w:vAlign w:val="bottom"/>
            <w:tcBorders>
              <w:bottom w:val="single" w:sz="8" w:color="CFF0FC"/>
            </w:tcBorders>
            <w:shd w:val="clear" w:color="auto" w:fill="CFF0FC"/>
          </w:tcPr>
          <w:p>
            <w:pPr>
              <w:spacing w:after="0"/>
              <w:rPr>
                <w:sz w:val="17"/>
                <w:szCs w:val="17"/>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2,249,680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6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3,040,540</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2,660,765</w:t>
            </w:r>
          </w:p>
        </w:tc>
        <w:tc>
          <w:tcPr>
            <w:tcW w:w="100" w:type="dxa"/>
            <w:vAlign w:val="bottom"/>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-162560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-162560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5"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chief operating decision maker (CODM), who is defined as the Company's Chairman, President and Chief Executive Officer, assesses performance for the Company’s single reportable segment and decides how to allocate resources based on the Company’s total operating expenses as reported on the Consolidated Statements of Operations and Comprehensive Income (Loss). The CODM’s review of total operating expenses at the consolidated level is used to monitor the Company’s spending as well as budget versus actual results. As part of the CODM’s review of the segment’s performance, the CODM reviews the Company’s operating expense information. This includes research and development costs as well as general and administrative expenses. Based upon the operating expense information, the CODM can reconcile to net income (loss) as reported on the Consolidated Statements of Operations and Comprehensive Income (Loss), shown in the table below. The significant expense categories are consistent with those presented on the face of the consolidated financial statements, except for the breakout of the early-stage research and development from the late-stage research and development. The CODM does not receive or use any other segmented or disaggregated financial or any significant expense information for decision making purposes.</w:t>
      </w: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4" w:right="419" w:bottom="1440" w:gutter="0" w:footer="0" w:header="0"/>
        </w:sectPr>
      </w:pPr>
    </w:p>
    <w:bookmarkStart w:id="19" w:name="page20"/>
    <w:bookmarkEnd w:id="19"/>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segment revenues, significant segment expenses and reported segment net income for the three months ended March 31, 2025 and 2024 (in thousands):</w:t>
      </w:r>
    </w:p>
    <w:p>
      <w:pPr>
        <w:spacing w:after="0" w:line="10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9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r>
      <w:tr>
        <w:trPr>
          <w:trHeight w:val="210"/>
        </w:trPr>
        <w:tc>
          <w:tcPr>
            <w:tcW w:w="59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1120" w:type="dxa"/>
            <w:vAlign w:val="bottom"/>
            <w:shd w:val="clear" w:color="auto" w:fill="CFF0FC"/>
          </w:tcPr>
          <w:p>
            <w:pPr>
              <w:jc w:val="right"/>
              <w:ind w:right="96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Customers</w:t>
            </w:r>
          </w:p>
        </w:tc>
        <w:tc>
          <w:tcPr>
            <w:tcW w:w="1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r>
      <w:tr>
        <w:trPr>
          <w:trHeight w:val="216"/>
        </w:trPr>
        <w:tc>
          <w:tcPr>
            <w:tcW w:w="59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Early-stage research and development</w:t>
            </w:r>
            <w:r>
              <w:rPr>
                <w:rFonts w:ascii="Times New Roman" w:cs="Times New Roman" w:eastAsia="Times New Roman" w:hAnsi="Times New Roman"/>
                <w:sz w:val="24"/>
                <w:szCs w:val="24"/>
                <w:color w:val="auto"/>
                <w:vertAlign w:val="superscript"/>
              </w:rPr>
              <w:t>(1)</w:t>
            </w:r>
          </w:p>
        </w:tc>
        <w:tc>
          <w:tcPr>
            <w:tcW w:w="1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c>
          <w:tcPr>
            <w:tcW w:w="10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5920" w:type="dxa"/>
            <w:vAlign w:val="bottom"/>
            <w:tcBorders>
              <w:right w:val="single" w:sz="8" w:color="CFF0FC"/>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Late-stage research and development</w:t>
            </w:r>
            <w:r>
              <w:rPr>
                <w:rFonts w:ascii="Times New Roman" w:cs="Times New Roman" w:eastAsia="Times New Roman" w:hAnsi="Times New Roman"/>
                <w:sz w:val="24"/>
                <w:szCs w:val="24"/>
                <w:color w:val="auto"/>
                <w:vertAlign w:val="superscript"/>
              </w:rPr>
              <w:t>(2)</w:t>
            </w:r>
          </w:p>
        </w:tc>
        <w:tc>
          <w:tcPr>
            <w:tcW w:w="1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(13,660)</w:t>
            </w:r>
          </w:p>
        </w:tc>
        <w:tc>
          <w:tcPr>
            <w:tcW w:w="10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(15,426)</w:t>
            </w:r>
          </w:p>
        </w:tc>
      </w:tr>
      <w:tr>
        <w:trPr>
          <w:trHeight w:val="216"/>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(5,052)</w:t>
            </w:r>
          </w:p>
        </w:tc>
        <w:tc>
          <w:tcPr>
            <w:tcW w:w="10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(6,666)</w:t>
            </w:r>
          </w:p>
        </w:tc>
      </w:tr>
      <w:tr>
        <w:trPr>
          <w:trHeight w:val="216"/>
        </w:trPr>
        <w:tc>
          <w:tcPr>
            <w:tcW w:w="59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(19,554)</w:t>
            </w:r>
          </w:p>
        </w:tc>
        <w:tc>
          <w:tcPr>
            <w:tcW w:w="10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(23,032)</w:t>
            </w:r>
          </w:p>
        </w:tc>
      </w:tr>
      <w:tr>
        <w:trPr>
          <w:trHeight w:val="216"/>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8"/>
                <w:szCs w:val="18"/>
                <w:color w:val="auto"/>
              </w:rPr>
            </w:pPr>
          </w:p>
        </w:tc>
      </w:tr>
      <w:tr>
        <w:trPr>
          <w:trHeight w:val="216"/>
        </w:trPr>
        <w:tc>
          <w:tcPr>
            <w:tcW w:w="5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1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(14,372)</w:t>
            </w:r>
          </w:p>
        </w:tc>
      </w:tr>
      <w:tr>
        <w:trPr>
          <w:trHeight w:val="216"/>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1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(34,839)</w:t>
            </w:r>
          </w:p>
        </w:tc>
      </w:tr>
      <w:tr>
        <w:trPr>
          <w:trHeight w:val="216"/>
        </w:trPr>
        <w:tc>
          <w:tcPr>
            <w:tcW w:w="59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 provision</w:t>
            </w:r>
          </w:p>
        </w:tc>
        <w:tc>
          <w:tcPr>
            <w:tcW w:w="1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920" w:type="dxa"/>
            <w:vAlign w:val="bottom"/>
            <w:tcBorders>
              <w:right w:val="single" w:sz="8" w:color="CFF0FC"/>
            </w:tcBorders>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and consolidated net income (loss)</w:t>
            </w:r>
          </w:p>
        </w:tc>
        <w:tc>
          <w:tcPr>
            <w:tcW w:w="1120" w:type="dxa"/>
            <w:vAlign w:val="bottom"/>
          </w:tcPr>
          <w:p>
            <w:pPr>
              <w:jc w:val="right"/>
              <w:ind w:right="96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43,088</w:t>
            </w:r>
          </w:p>
        </w:tc>
        <w:tc>
          <w:tcPr>
            <w:tcW w:w="100" w:type="dxa"/>
            <w:vAlign w:val="bottom"/>
          </w:tcPr>
          <w:p>
            <w:pPr>
              <w:spacing w:after="0"/>
              <w:rPr>
                <w:sz w:val="18"/>
                <w:szCs w:val="18"/>
                <w:color w:val="auto"/>
              </w:rPr>
            </w:pPr>
          </w:p>
        </w:tc>
        <w:tc>
          <w:tcPr>
            <w:tcW w:w="10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(34,863)</w:t>
            </w:r>
          </w:p>
        </w:tc>
      </w:tr>
      <w:tr>
        <w:trPr>
          <w:trHeight w:val="20"/>
        </w:trPr>
        <w:tc>
          <w:tcPr>
            <w:tcW w:w="5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-170815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960" w:hanging="203"/>
        <w:spacing w:after="0"/>
        <w:tabs>
          <w:tab w:leader="none" w:pos="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Early-stage research and development includes costs incurred from Discovery programs.</w:t>
      </w:r>
    </w:p>
    <w:p>
      <w:pPr>
        <w:spacing w:after="0" w:line="136" w:lineRule="exact"/>
        <w:rPr>
          <w:rFonts w:ascii="Times New Roman" w:cs="Times New Roman" w:eastAsia="Times New Roman" w:hAnsi="Times New Roman"/>
          <w:sz w:val="14"/>
          <w:szCs w:val="14"/>
          <w:color w:val="auto"/>
        </w:rPr>
      </w:pPr>
    </w:p>
    <w:p>
      <w:pPr>
        <w:ind w:left="960" w:hanging="203"/>
        <w:spacing w:after="0"/>
        <w:tabs>
          <w:tab w:leader="none" w:pos="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Late-stage research and development includes costs incurred from Phase 1 and Phase 2 clinical trial programs.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 primarily generates revenue through its license and collaboration agreements (see Notes 8 and 9).</w:t>
      </w: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20" w:right="539" w:bottom="1440" w:gutter="0" w:footer="0" w:header="0"/>
        </w:sectPr>
      </w:pPr>
    </w:p>
    <w:bookmarkStart w:id="20" w:name="page21"/>
    <w:bookmarkEnd w:id="2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27" w:lineRule="exact"/>
        <w:rPr>
          <w:sz w:val="20"/>
          <w:szCs w:val="20"/>
          <w:color w:val="auto"/>
        </w:rPr>
      </w:pPr>
      <w:r>
        <w:rPr>
          <w:rFonts w:ascii="Times New Roman" w:cs="Times New Roman" w:eastAsia="Times New Roman" w:hAnsi="Times New Roman"/>
          <w:sz w:val="18"/>
          <w:szCs w:val="18"/>
          <w:color w:val="auto"/>
        </w:rPr>
        <w:t>We are a clinical-stage biotechnology company focused on developing novel therapeutics to address unmet medical needs in liver diseases and viral infections, including in the areas of chronic hepatitis B virus (HBV) infection, metabolic dysfunction-associated steatohepatitis (MASH), and coronavirus infections (e.g.,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MERS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and other related infections). The Aligos team has a demonstrated track record of success in drug development and medicinal chemistry in liver and viral diseases, resulting in three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drug candidates.</w:t>
      </w:r>
    </w:p>
    <w:p>
      <w:pPr>
        <w:spacing w:after="0" w:line="24" w:lineRule="exact"/>
        <w:rPr>
          <w:sz w:val="20"/>
          <w:szCs w:val="20"/>
          <w:color w:val="auto"/>
        </w:rPr>
      </w:pPr>
    </w:p>
    <w:p>
      <w:pPr>
        <w:ind w:right="200" w:firstLine="509"/>
        <w:spacing w:after="0" w:line="224" w:lineRule="exact"/>
        <w:rPr>
          <w:sz w:val="20"/>
          <w:szCs w:val="20"/>
          <w:color w:val="auto"/>
        </w:rPr>
      </w:pPr>
      <w:r>
        <w:rPr>
          <w:rFonts w:ascii="Times New Roman" w:cs="Times New Roman" w:eastAsia="Times New Roman" w:hAnsi="Times New Roman"/>
          <w:sz w:val="18"/>
          <w:szCs w:val="18"/>
          <w:color w:val="auto"/>
        </w:rPr>
        <w:t>Our pipeline of drug candidates includes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for MASH,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coronavirus infections, and a portfolio of preclinical programs.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Capsid Assembly Modulator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for chronic HBV infection with enhanced pharmacologic properties vs.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drugs and has demonstrated greater HBV DNA suppression compared to the standard of care, nucleos(t)ide analogs (NAs), as well as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viral antigens in Phase 1 clinical studies conducted to 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thyroid hormone receptor beta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for MASH with enhanced pharmacologic properties vs. competitor THR-β agonists. Phase 2a topline data demonstrated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met the primary endpoint with statistically significant reductions in liver fat at Week 12 as measured by MRI-PDFF.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small molecule pan-coronavirus 3CL PI, which has been at least 3-fold more potent in cell-based assays of coronavirus infection than other approved CoV PIs and we believe can be dosed twice daily without the requirement for ritonavir co-dosing based on Phase 1 clinical studies conducted to date.</w:t>
      </w:r>
    </w:p>
    <w:p>
      <w:pPr>
        <w:spacing w:after="0" w:line="5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000184: Potential best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class small molecule CAM</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 for chronic hepatitis B virus infection</w:t>
      </w:r>
    </w:p>
    <w:p>
      <w:pPr>
        <w:spacing w:after="0" w:line="15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primary area of focus seeks to enhance the viral suppression and rate of functional cure for chronic HBV infection, which often results in life-threatening conditions such as cirrhosis, end-stage liver disease, and the most common form of liver cancer, hepatocellular carcinoma (HCC). To achieve this, we are developing a portfolio of differentiated chronic HBV infection drug candidates, including a small molecule CAM that results in the production of empty viral capsids.</w:t>
      </w:r>
    </w:p>
    <w:p>
      <w:pPr>
        <w:spacing w:after="0" w:line="31" w:lineRule="exact"/>
        <w:rPr>
          <w:sz w:val="20"/>
          <w:szCs w:val="20"/>
          <w:color w:val="auto"/>
        </w:rPr>
      </w:pPr>
    </w:p>
    <w:p>
      <w:pPr>
        <w:ind w:firstLine="509"/>
        <w:spacing w:after="0" w:line="223" w:lineRule="exact"/>
        <w:rPr>
          <w:sz w:val="20"/>
          <w:szCs w:val="20"/>
          <w:color w:val="auto"/>
        </w:rPr>
      </w:pPr>
      <w:r>
        <w:rPr>
          <w:rFonts w:ascii="Times New Roman" w:cs="Times New Roman" w:eastAsia="Times New Roman" w:hAnsi="Times New Roman"/>
          <w:sz w:val="18"/>
          <w:szCs w:val="18"/>
          <w:color w:val="auto"/>
        </w:rPr>
        <w:t>In 2018,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a lead drug candidate (GLP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 and the associated IP for a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from the laboratory of Professor Raymond Schinazi at Emory University. Our scientists optimized this lead drug candidate to discover the highly potent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which was further optimized to the prodrug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has superior DMPK properties with enhanced absorption and high liver uptake, with a ~2-300-fold improvement in in vitro potency compared to other known CAMs.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 class of small molecule antiviral agents that accelerate HBV capsid assembly and inhibit pgRNA encapsidation (1st MOA), resulting in empty viral capsids and lower circulating HBV DNA and RNA levels.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also believed to regulate the establishment of cccDNA (2nd MOA), a major factor for the persistence of HBV infection which can be assessed by circulating HBV antigen levels (HBsAg, HBcrAg, and HBeAg). In clinical trials,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have shown reductions in HBV DNA and RNA (1st MOA), but have rarely or inconsistently shown reductions in HBV antigens (2nd MOA). There have also been observations of the emergence of viral CAM-E drug resistance with competitor compounds.</w:t>
      </w:r>
    </w:p>
    <w:p>
      <w:pPr>
        <w:spacing w:after="0" w:line="90" w:lineRule="exact"/>
        <w:rPr>
          <w:sz w:val="20"/>
          <w:szCs w:val="20"/>
          <w:color w:val="auto"/>
        </w:rPr>
      </w:pPr>
    </w:p>
    <w:p>
      <w:pPr>
        <w:ind w:right="20" w:firstLine="509"/>
        <w:spacing w:after="0" w:line="223" w:lineRule="exact"/>
        <w:rPr>
          <w:sz w:val="20"/>
          <w:szCs w:val="20"/>
          <w:color w:val="auto"/>
        </w:rPr>
      </w:pPr>
      <w:r>
        <w:rPr>
          <w:rFonts w:ascii="Times New Roman" w:cs="Times New Roman" w:eastAsia="Times New Roman" w:hAnsi="Times New Roman"/>
          <w:sz w:val="18"/>
          <w:szCs w:val="18"/>
          <w:color w:val="auto"/>
        </w:rPr>
        <w:t>A multi-part Phase 1 study is ongoing, with the completed evaluation of the safety, tolerability, and pharmacokinetic profile of ALG-000184 in HVs. Additionally, a dose-ranging phase assessing the safety, pharmacokinetics, and antiviral activity of 10-300 mg doses of ALG-000184 administered over 28 days in untreated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with chronic HBV infection has also been completed. In these study phases,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was found to be well tolerated with a favorable PK profile and demonstrated potentially best-in-class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HBV DNA and RNA reductions at all doses tested, as well as HBV surface antigen (HBsAg) reductions in a subset of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receiving 100 mg or 300 mg of ALG-000184 (Hou et al, AASLD 2022). Based on the favorable profile observed with dosing up to 300 mg of ALG-000184 for 28 days, additional Phase 1 cohorts are currently underway to evaluate the risk-benefit profile of ALG-000184 at doses of 300 mg, with or without entecavir (ETV) therapy, for up to 96 weeks in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and HBeAg-subjects with chronic HBV infection. Preliminary data from several of these cohorts (Agarwal et al., EASL 2024; Yuen et al., AASLD 2024, APASL 2025) have been presented, showing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administered for up to 96 weeks, was well tolerated, exhibited a favorable PK profile, and demonstrated potentially best-in-class antiviral activity.</w:t>
      </w:r>
    </w:p>
    <w:p>
      <w:pPr>
        <w:spacing w:after="0" w:line="66" w:lineRule="exact"/>
        <w:rPr>
          <w:sz w:val="20"/>
          <w:szCs w:val="20"/>
          <w:color w:val="auto"/>
        </w:rPr>
      </w:pPr>
    </w:p>
    <w:p>
      <w:pPr>
        <w:ind w:right="80" w:firstLine="509"/>
        <w:spacing w:after="0" w:line="256" w:lineRule="exact"/>
        <w:rPr>
          <w:sz w:val="20"/>
          <w:szCs w:val="20"/>
          <w:color w:val="auto"/>
        </w:rPr>
      </w:pPr>
      <w:r>
        <w:rPr>
          <w:rFonts w:ascii="Times New Roman" w:cs="Times New Roman" w:eastAsia="Times New Roman" w:hAnsi="Times New Roman"/>
          <w:sz w:val="18"/>
          <w:szCs w:val="18"/>
          <w:color w:val="auto"/>
        </w:rPr>
        <w:t>Data from up to 84 weeks following an oral daily dose of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monotherapy in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demonstrated sustained HBV DNA suppression (&lt;LLOQ &lt;10 IU/mL, target detected or target not detected) in 6/10 (60%) subjects with chronic HBV infection at week 48 and 9/9 (100%) at week 84. Data from the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monotherapy cohort demonstrated sustained HBV DNA suppression in all 11/11 (100%) subjects by Week 24. In addition, 10/11 (91%)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 w:name="page22"/>
    <w:bookmarkEnd w:id="21"/>
    <w:p>
      <w:pPr>
        <w:ind w:right="440"/>
        <w:spacing w:after="0" w:line="282" w:lineRule="auto"/>
        <w:rPr>
          <w:sz w:val="20"/>
          <w:szCs w:val="20"/>
          <w:color w:val="auto"/>
        </w:rPr>
      </w:pPr>
      <w:r>
        <w:rPr>
          <w:rFonts w:ascii="Times New Roman" w:cs="Times New Roman" w:eastAsia="Times New Roman" w:hAnsi="Times New Roman"/>
          <w:sz w:val="18"/>
          <w:szCs w:val="18"/>
          <w:color w:val="auto"/>
        </w:rPr>
        <w:t>achieved HBV DNA below the lower limit of detection (LLOQ &lt;4.29 IU/mL, target not detected) at week 48. Importantly, no viral breakthrough was observed in any subject, and no known CAM resistant mutations were identified.</w:t>
      </w:r>
    </w:p>
    <w:p>
      <w:pPr>
        <w:spacing w:after="0" w:line="54"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color w:val="auto"/>
        </w:rPr>
        <w:t>Compared to Phase 3 studies with the current standard of care nucleos(t)ide analogs (NAs), tenofovir disoproxil fumarate (TDF) and tenofovir alafenamide (TAF) (Buti et al., Lancet Gastro, 2016; Chen et al., Lancet Gastro 2016), these Phase 1 data to date suggest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treatment may be superior to NAs in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in achieving HBV DNA levels &lt; LLOQ after 48 weeks on treatment, which is the approvable endpoint for chronic suppressive therapy in chronic HBV infection (Food and Drug Administration (FDA) Guidance, Chronic Hepatitis B Virus Infection: Developing Drugs for Treatment Guidance for Industry, April 2022 – Section III.B.1.a). We have received affirmative feedback from the FDA supporting chronic suppressive therapy with ALG-000184, along with the Committee for Medicinal Products for Human Use (CHMP; EU) and the National Medical Products Administration (NMPA; China). Subsequent clinical studies, including a Phase 2 study, will be conducted to show superiority to standard of care NA treatment (HBV DNA levels &lt; LLOQ, target detected or target not detected) after 48 weeks of treatment. Furthermore, when combined with other mechanisms of action, as well as other candidates in our chronic HBV infection portfolio, ALG-000184 dosing regimens have the potential to contribute to achieving higher rates of functional cure than with currently approved agents.</w:t>
      </w:r>
    </w:p>
    <w:p>
      <w:pPr>
        <w:spacing w:after="0" w:line="71" w:lineRule="exact"/>
        <w:rPr>
          <w:sz w:val="20"/>
          <w:szCs w:val="20"/>
          <w:color w:val="auto"/>
        </w:rPr>
      </w:pPr>
    </w:p>
    <w:p>
      <w:pPr>
        <w:jc w:val="both"/>
        <w:ind w:right="220" w:firstLine="509"/>
        <w:spacing w:after="0" w:line="235" w:lineRule="exact"/>
        <w:rPr>
          <w:sz w:val="20"/>
          <w:szCs w:val="20"/>
          <w:color w:val="auto"/>
        </w:rPr>
      </w:pPr>
      <w:r>
        <w:rPr>
          <w:rFonts w:ascii="Times New Roman" w:cs="Times New Roman" w:eastAsia="Times New Roman" w:hAnsi="Times New Roman"/>
          <w:sz w:val="18"/>
          <w:szCs w:val="18"/>
          <w:color w:val="auto"/>
        </w:rPr>
        <w:t>Dosing of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and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with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in Phase 1 was recently completed and 96-week safety, PK, and antiviral activity data will be presented at upcoming scientific conferences. In October 2024, Aligos announced that the FDA cleared the Company’s investigational new drug application (IND) for a Phase 1 drug-drug interaction study.</w:t>
      </w:r>
    </w:p>
    <w:p>
      <w:pPr>
        <w:spacing w:after="0" w:line="92" w:lineRule="exact"/>
        <w:rPr>
          <w:sz w:val="20"/>
          <w:szCs w:val="20"/>
          <w:color w:val="auto"/>
        </w:rPr>
      </w:pPr>
    </w:p>
    <w:p>
      <w:pPr>
        <w:ind w:right="40" w:firstLine="509"/>
        <w:spacing w:after="0" w:line="224" w:lineRule="auto"/>
        <w:rPr>
          <w:sz w:val="20"/>
          <w:szCs w:val="20"/>
          <w:color w:val="auto"/>
        </w:rPr>
      </w:pPr>
      <w:r>
        <w:rPr>
          <w:rFonts w:ascii="Times New Roman" w:cs="Times New Roman" w:eastAsia="Times New Roman" w:hAnsi="Times New Roman"/>
          <w:sz w:val="18"/>
          <w:szCs w:val="18"/>
          <w:color w:val="auto"/>
        </w:rPr>
        <w:t>The Phase 2 B-SUPREME study will be a randomized, double-blind, active-controlled multicenter study evaluating the safety and efficacy of ALG-000184 compared with tenofovir disoproxil fumarate in approximately 200 currently untreated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HBeAg- adult subjects with chronic HBV infection for 48 weeks. The primary endpoint in the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arm will be HBV DNA &lt;LLOQ (10 IU/mL, target detected (TD) or target not detected (TND)) and the primary endpoint in the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arm will be HBV DNA &lt;LLOQ (10 IU/mL target not detected (TND)). The study will also evaluate safety, pharmacokinetics, and other secondary and exploratory biomarkers, including reductions in HBV antigens and other markers of HBV infection. The Phase 2 study is expected to begin in mid-2025 with interim data projected in 2026 and topline data anticipated in 2027.</w:t>
      </w:r>
    </w:p>
    <w:p>
      <w:pPr>
        <w:spacing w:after="0" w:line="5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055009: Potential best-in-class small molecule THR-β agonist for metabolic dysfunction-associated steatohepatitis</w:t>
      </w:r>
    </w:p>
    <w:p>
      <w:pPr>
        <w:spacing w:after="0" w:line="158" w:lineRule="exact"/>
        <w:rPr>
          <w:sz w:val="20"/>
          <w:szCs w:val="20"/>
          <w:color w:val="auto"/>
        </w:rPr>
      </w:pPr>
    </w:p>
    <w:p>
      <w:pPr>
        <w:ind w:right="40" w:firstLine="674"/>
        <w:spacing w:after="0" w:line="224" w:lineRule="exact"/>
        <w:rPr>
          <w:sz w:val="20"/>
          <w:szCs w:val="20"/>
          <w:color w:val="auto"/>
        </w:rPr>
      </w:pPr>
      <w:r>
        <w:rPr>
          <w:rFonts w:ascii="Times New Roman" w:cs="Times New Roman" w:eastAsia="Times New Roman" w:hAnsi="Times New Roman"/>
          <w:sz w:val="18"/>
          <w:szCs w:val="18"/>
          <w:color w:val="auto"/>
        </w:rPr>
        <w:t>MASH is a complex, chronic liver disease which is a leading cause of liver-related morbidity including cirrhosis, hepatocellular carcinoma, liver transplant, and end-stage liver disease. In 2024, the FDA approved resmetirom, a THR-β agonist, as the first drug for the treatment of MASH. However, additional agents in this class are needed to address remaining unmet needs, including the potential for improved efficacy and a more favorable risk-benefit profile. To achieve this, ALG-055009 has been purposefully designed to exhibit significantly greater potency (approximately 50-fold higher compared to resmetirom in head-to-head in vitro studies) and enhanced β selectivity, along with optimized pharmacologic properties to deliver an improved PK profile. We believe these advantages position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as a strong candidate to become a best-in-class THR-β agonist.</w:t>
      </w:r>
    </w:p>
    <w:p>
      <w:pPr>
        <w:spacing w:after="0" w:line="23" w:lineRule="exact"/>
        <w:rPr>
          <w:sz w:val="20"/>
          <w:szCs w:val="20"/>
          <w:color w:val="auto"/>
        </w:rPr>
      </w:pPr>
    </w:p>
    <w:p>
      <w:pPr>
        <w:ind w:right="60" w:firstLine="674"/>
        <w:spacing w:after="0" w:line="225" w:lineRule="exact"/>
        <w:rPr>
          <w:sz w:val="20"/>
          <w:szCs w:val="20"/>
          <w:color w:val="auto"/>
        </w:rPr>
      </w:pPr>
      <w:r>
        <w:rPr>
          <w:rFonts w:ascii="Times New Roman" w:cs="Times New Roman" w:eastAsia="Times New Roman" w:hAnsi="Times New Roman"/>
          <w:sz w:val="18"/>
          <w:szCs w:val="18"/>
          <w:color w:val="auto"/>
        </w:rPr>
        <w:t>A first-in-human Phase 1 study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in HVs (oral single ascending doses (SAD)) and in subjects with hyperlipidemia (14 oral daily multiple ascending doses (MAD)) has been completed. Clinical data after single doses up to 4 mg and multiple doses up to 1 mg showed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was well tolerated, had dose proportional PK with low intersubject variability, and demonstrated expected thyromimetic effects (i.e., generally dose proportional increases in sex hormone binding globulin and decreases in various atherogenic lipids and thyroid hormones without any clinical evidence of thyroid dysfunction). We also evaluated relative bioavailability where we showed the soft gelatin capsules used in the Phase 2a study described below delivered similar exposures compared to the solution formulation used in the SAD/MAD parts of the Phase 1 study; we observed low intersubject PK variability and there was no evidence of a meaningful food effect.</w:t>
      </w:r>
    </w:p>
    <w:p>
      <w:pPr>
        <w:spacing w:after="0" w:line="91" w:lineRule="exact"/>
        <w:rPr>
          <w:sz w:val="20"/>
          <w:szCs w:val="20"/>
          <w:color w:val="auto"/>
        </w:rPr>
      </w:pPr>
    </w:p>
    <w:p>
      <w:pPr>
        <w:ind w:right="120" w:firstLine="674"/>
        <w:spacing w:after="0" w:line="219" w:lineRule="exact"/>
        <w:rPr>
          <w:sz w:val="20"/>
          <w:szCs w:val="20"/>
          <w:color w:val="auto"/>
        </w:rPr>
      </w:pPr>
      <w:r>
        <w:rPr>
          <w:rFonts w:ascii="Times New Roman" w:cs="Times New Roman" w:eastAsia="Times New Roman" w:hAnsi="Times New Roman"/>
          <w:sz w:val="18"/>
          <w:szCs w:val="18"/>
          <w:color w:val="auto"/>
        </w:rPr>
        <w:t>Based on these promising Phase 1 data, we initiated the Phase 2a HERALD study (NCT06342947) at sites across the United States. The study was a 12-week randomized, double-blind, placebo-controlled trial evaluating 4 doses (0.3 mg, 0.5 mg, 0.7 mg, and 0.9 mg) of ALG-055009 vs. placebo in 102 subjects with presumed MASH and liver fibrosis at stages 1-3 (F1-F3). The primary endpoint of this study was percent relative change in liver fat content by MRI-PDFF at Week 12. This study also evaluated the safety and PK of ALG-055009 treatment and its effect on multiple other efficacy biomarkers, including other non-invasive tests previously shown to be impacted by treatment with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We announced positive topline data from this study in 2024, demonstrating that ALG-055009 dose groups were well-tolerated and met the primary endpoint. Specifically, doses of 0.5 mg to</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0.9 mg ALG-055009 demonstrated statistically significant reductions in liver fat at Week 12, with placebo-adjusted median relative reductions up to 46.2% as measured by MRI-PDFF. Up to 70% of subjects achieved ≥30% relative reduction in liver fat compared to baseline. Eighteen subjects who were on stable GLP-1 agonist therapy qualified for enrollment in the study, with liver fat content meeting the inclusion criteria of ≥10% at baseline as measured by MRI-PDFF. Notably, 11 of 14 subjects on stable GLP-1 agonists treated with ALG-055009 had liver fat decreases, whereas 4 of 4 subjects on stable GLP-1 agonists treated with placebo had increases in liver fat over the 12-week dosing period (Loomba et al, AASLD 2025).</w:t>
      </w:r>
    </w:p>
    <w:p>
      <w:pPr>
        <w:spacing w:after="0" w:line="38" w:lineRule="exact"/>
        <w:rPr>
          <w:sz w:val="20"/>
          <w:szCs w:val="20"/>
          <w:color w:val="auto"/>
        </w:rPr>
      </w:pPr>
    </w:p>
    <w:p>
      <w:pPr>
        <w:ind w:right="60" w:firstLine="674"/>
        <w:spacing w:after="0" w:line="245" w:lineRule="exact"/>
        <w:rPr>
          <w:sz w:val="20"/>
          <w:szCs w:val="20"/>
          <w:color w:val="auto"/>
        </w:rPr>
      </w:pPr>
      <w:r>
        <w:rPr>
          <w:rFonts w:ascii="Times New Roman" w:cs="Times New Roman" w:eastAsia="Times New Roman" w:hAnsi="Times New Roman"/>
          <w:sz w:val="18"/>
          <w:szCs w:val="18"/>
          <w:color w:val="auto"/>
        </w:rPr>
        <w:t>In the Phase 2a study,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demonstrated a favorable tolerability profile with no evidence of clinical hyper/hypothyroidism. Incidence of gastrointestinal-related treatment emergent adverse events were similar in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compared to placebo. Specifically, similar rates of diarrhea were observed in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compared to placebo,</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with no dose-response. Significant reductions in atherogenic lipids, including LDL-C, lipoprotein (a), and apolipoprotein B, were also observed (Loomba et al, AASLD 2025).</w:t>
      </w:r>
    </w:p>
    <w:p>
      <w:pPr>
        <w:spacing w:after="0" w:line="54" w:lineRule="exact"/>
        <w:rPr>
          <w:sz w:val="20"/>
          <w:szCs w:val="20"/>
          <w:color w:val="auto"/>
        </w:rPr>
      </w:pPr>
    </w:p>
    <w:p>
      <w:pPr>
        <w:ind w:right="60" w:firstLine="674"/>
        <w:spacing w:after="0" w:line="282" w:lineRule="auto"/>
        <w:rPr>
          <w:sz w:val="20"/>
          <w:szCs w:val="20"/>
          <w:color w:val="auto"/>
        </w:rPr>
      </w:pPr>
      <w:r>
        <w:rPr>
          <w:rFonts w:ascii="Times New Roman" w:cs="Times New Roman" w:eastAsia="Times New Roman" w:hAnsi="Times New Roman"/>
          <w:sz w:val="18"/>
          <w:szCs w:val="18"/>
          <w:color w:val="auto"/>
        </w:rPr>
        <w:t>Phase 2b enabling activities are underway, with expected completion in the middle of 2025. We are also assessing potential Phase 2b clinical trial study designs with key opinion leaders. We are evaluating a variety of options to fund continued development, including potential out-licensing.</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097558: Potential best-in-class small molecule ritonavir-free protease inhibitor for pan-coronavirus</w:t>
      </w:r>
    </w:p>
    <w:p>
      <w:pPr>
        <w:spacing w:after="0" w:line="158" w:lineRule="exact"/>
        <w:rPr>
          <w:sz w:val="20"/>
          <w:szCs w:val="20"/>
          <w:color w:val="auto"/>
        </w:rPr>
      </w:pPr>
    </w:p>
    <w:p>
      <w:pPr>
        <w:ind w:right="40" w:firstLine="674"/>
        <w:spacing w:after="0" w:line="220" w:lineRule="exact"/>
        <w:rPr>
          <w:sz w:val="20"/>
          <w:szCs w:val="20"/>
          <w:color w:val="auto"/>
        </w:rPr>
      </w:pPr>
      <w:r>
        <w:rPr>
          <w:rFonts w:ascii="Times New Roman" w:cs="Times New Roman" w:eastAsia="Times New Roman" w:hAnsi="Times New Roman"/>
          <w:sz w:val="18"/>
          <w:szCs w:val="18"/>
          <w:color w:val="auto"/>
        </w:rPr>
        <w:t>Another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the Rega Institute at Katholieke Universiteit Leuven (KU Leuven), the Center for Innovation and Stimulation of Drug Discovery (CISTIM) and the Centre for Drug Design and Discovery (CD3). This collaboration led to the discovery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which has completed a Phase 1 first-in-human evaluation in healthy volunteers and advanced into a clinical trial evaluating high-risk COVID-19 patients.</w:t>
      </w:r>
    </w:p>
    <w:p>
      <w:pPr>
        <w:spacing w:after="0" w:line="52" w:lineRule="exact"/>
        <w:rPr>
          <w:sz w:val="20"/>
          <w:szCs w:val="20"/>
          <w:color w:val="auto"/>
        </w:rPr>
      </w:pPr>
    </w:p>
    <w:p>
      <w:pPr>
        <w:ind w:right="80" w:firstLine="674"/>
        <w:spacing w:after="0" w:line="231"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has been shown to be at least 3-fold more potent than nirmatrelvir and other PIs in clinical development against a panel of SARS-CoV-2 variants (including Omicron). It also has demonstrated broad pan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coronavirus activity, including against SARS-CoV-1 and MERS-CoV. In the first-in-human Phase 1 clinical study, single doses up to 2000 mg and multiple doses up to 800 mg Q12H for 7 days were well tolerated with an acceptable PK profile that indicates ritonavir boosting is not required. Furthermore, the absence of a clinically relevant DDI with midazolam, suggests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can be co-administered with CYP3A4 substrates (NCT05840952). Based on these Phase 1 data (Wilkes et al., RespiDart, 2024), the projected efficacious dose range to treat SARS-CoV-2 is 200-600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Q12 x 5 days, without the need for ritonavir coadministration.</w:t>
      </w:r>
    </w:p>
    <w:p>
      <w:pPr>
        <w:spacing w:after="0" w:line="22" w:lineRule="exact"/>
        <w:rPr>
          <w:sz w:val="20"/>
          <w:szCs w:val="20"/>
          <w:color w:val="auto"/>
        </w:rPr>
      </w:pPr>
    </w:p>
    <w:p>
      <w:pPr>
        <w:ind w:right="40" w:firstLine="674"/>
        <w:spacing w:after="0" w:line="226"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began three additional clinical trials in 2024. AGILE University of Liverpool, a UK government supported platform trial (MRC and Wellcome Trust funding), is sponsoring and performing a study in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patients evaluating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as monotherapy or in combination with remdesivir (NCT04746183). Additionally, clinical studies evaluating PK in special populations (renal and hepatic impairment subjects; NIAID contract) are on-going (NCT06698549). NIAID is also sponsoring a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drug interaction and relative bioavailability study in healthy volunteers expected to start dosing in the second quarter of 2025 (NCT06568861). We expect that future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including ongoing Phase 2 enabling activities, will be funded by external sources, including public funding sources as described below.</w:t>
      </w:r>
    </w:p>
    <w:p>
      <w:pPr>
        <w:spacing w:after="0" w:line="94" w:lineRule="exact"/>
        <w:rPr>
          <w:sz w:val="20"/>
          <w:szCs w:val="20"/>
          <w:color w:val="auto"/>
        </w:rPr>
      </w:pPr>
    </w:p>
    <w:p>
      <w:pPr>
        <w:ind w:right="120" w:firstLine="674"/>
        <w:spacing w:after="0" w:line="222" w:lineRule="exact"/>
        <w:rPr>
          <w:sz w:val="20"/>
          <w:szCs w:val="20"/>
          <w:color w:val="auto"/>
        </w:rPr>
      </w:pPr>
      <w:r>
        <w:rPr>
          <w:rFonts w:ascii="Times New Roman" w:cs="Times New Roman" w:eastAsia="Times New Roman" w:hAnsi="Times New Roman"/>
          <w:sz w:val="18"/>
          <w:szCs w:val="18"/>
          <w:color w:val="auto"/>
        </w:rPr>
        <w:t>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and the follow up compound, are now also being funded with federal funds from the NIAID, NIH, Department of Health and Human Services, under Contract No. 75N93023C00052. We filed an IND in the third quarter of 2024 and clinical studies in special populations were initiated in the second half of 2024 as part of this NIAID contract. We expect to receive approximately $13.8 million in funds across these two NIH awards and contracts to support these activities. To date, these funds have not been impacted by any changes at the NIH or NIAID. We are also seeking additional external funding (e.g., from governmental agencies) to support future studies as we advance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the treatment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and future coronavirus pandemics.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consist of the following:</w:t>
      </w:r>
    </w:p>
    <w:p>
      <w:pPr>
        <w:spacing w:after="0" w:line="115"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included recognition of our upfront payments pursuant to the Merck Original Agreement and First Amendment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in prior years. In order to record collaboration revenue, we utilized an input method to recognize revenue over time as costs were incurred.</w:t>
      </w:r>
    </w:p>
    <w:p>
      <w:pPr>
        <w:spacing w:after="0" w:line="50"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revenue </w:t>
      </w:r>
      <w:r>
        <w:rPr>
          <w:rFonts w:ascii="Times New Roman" w:cs="Times New Roman" w:eastAsia="Times New Roman" w:hAnsi="Times New Roman"/>
          <w:sz w:val="18"/>
          <w:szCs w:val="18"/>
          <w:color w:val="auto"/>
        </w:rPr>
        <w:t>includes recognition of revenue generated from research and development services under third-party contracts with customers.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record contract revenue, we utilize an input method to recognize revenue over time as costs are incurred.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costs and general and administrative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00" w:firstLine="509"/>
        <w:spacing w:after="0" w:line="219" w:lineRule="exact"/>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clinical development activities related to our chronic HBV infection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95" w:lineRule="exact"/>
        <w:rPr>
          <w:sz w:val="20"/>
          <w:szCs w:val="20"/>
          <w:color w:val="auto"/>
        </w:rPr>
      </w:pPr>
    </w:p>
    <w:p>
      <w:pPr>
        <w:ind w:left="1020" w:right="4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in-process research and development, including license fees and milestones paid to third-party collaborators for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materials, including fees paid to contract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collaborators that perform nonclinical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 for rent and maintenance of facilities, insurance, and other supplies.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4" w:name="page25"/>
    <w:bookmarkEnd w:id="24"/>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Interest and other income, net comprises interest income, net and other income, net. Interest income, net primarily consists of interest earned on our cash, cash equivalents, and investments. Other income, net consists primarily of the change in fair value of our common warrant liability, investments and foreign currency gains/losses.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2023 common warrants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change in fair value of 2023 common warrants includes the remeasurement of the 2023 common warrants using the Black Scholes option pricing model at each reporting period.</w:t>
      </w:r>
    </w:p>
    <w:p>
      <w:pPr>
        <w:spacing w:after="0" w:line="378" w:lineRule="exact"/>
        <w:rPr>
          <w:sz w:val="20"/>
          <w:szCs w:val="20"/>
          <w:color w:val="auto"/>
        </w:rPr>
      </w:pPr>
    </w:p>
    <w:p>
      <w:pPr>
        <w:ind w:right="20" w:firstLine="666"/>
        <w:spacing w:after="0" w:line="254"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in each year since our formation in February 2018. Our net income was $43.1 million for the three months ended March 31, 2025 and net loss was $34.9 million for the three months ended March 31, 2024, and our net losses were $131.2 million for the year ended December 31, 2024. We have had no revenue from product sales. As of March 31, 2025, we had an accumulated deficit of $574.9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three months ended March 31, 2025 and 2024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vMerge w:val="continue"/>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FF0FC"/>
          </w:tcPr>
          <w:p>
            <w:pPr>
              <w:jc w:val="center"/>
              <w:ind w:left="633"/>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(1,864)</w:t>
            </w: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(1,614)</w:t>
            </w: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(3,478)</w:t>
            </w: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(19,243)</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(22,046)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w:t>
            </w: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(14,372)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75,866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630"/>
        </w:trPr>
        <w:tc>
          <w:tcPr>
            <w:tcW w:w="4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Revenue from collaborations</w:t>
      </w:r>
    </w:p>
    <w:p>
      <w:pPr>
        <w:spacing w:after="0" w:line="119"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auto"/>
        </w:rPr>
        <w:t>There was no revenue recognized from collaborations for the three months ended March 31, 2025, due to the termination of the collaboration agreement in the first quarter of 2024. We recognized $0.3 million as revenue from collaborations for the three months ended March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decreased by $0.4 million for the three months ended March 31, 2025, when compared to the same period in 2024. The decrease was due to the near completion of the original agreement with Amoytop and the start of the extension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track direct external research and development expenses on a program-specific basis (chronic HBV infection, MASH, coronaviruses and early-stage programs). The following table summarizes these research and development costs (in thousands):</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300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7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7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 research and development expenses by development program:</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Chronic Hepatitis B virus infection program</w:t>
            </w:r>
          </w:p>
        </w:tc>
        <w:tc>
          <w:tcPr>
            <w:tcW w:w="860" w:type="dxa"/>
            <w:vAlign w:val="bottom"/>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8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Metabolic dysfunction-associated steatohepatitis program</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Coronaviruses program</w:t>
            </w:r>
          </w:p>
        </w:tc>
        <w:tc>
          <w:tcPr>
            <w:tcW w:w="8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8"/>
                <w:szCs w:val="18"/>
                <w:color w:val="auto"/>
              </w:rPr>
            </w:pPr>
          </w:p>
        </w:tc>
      </w:tr>
      <w:tr>
        <w:trPr>
          <w:trHeight w:val="216"/>
        </w:trPr>
        <w:tc>
          <w:tcPr>
            <w:tcW w:w="7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early-stage programs</w:t>
            </w: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860" w:type="dxa"/>
            <w:vAlign w:val="bottom"/>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8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tcPr>
          <w:p>
            <w:pPr>
              <w:spacing w:after="0"/>
              <w:rPr>
                <w:sz w:val="18"/>
                <w:szCs w:val="18"/>
                <w:color w:val="auto"/>
              </w:rPr>
            </w:pPr>
          </w:p>
        </w:tc>
      </w:tr>
      <w:tr>
        <w:trPr>
          <w:trHeight w:val="216"/>
        </w:trPr>
        <w:tc>
          <w:tcPr>
            <w:tcW w:w="7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60" w:type="dxa"/>
            <w:vAlign w:val="bottom"/>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8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0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-453390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-453390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decreased by $1.9 million during the three months ended March 31, 2025, compared to the same period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decrease in the three-month period was primarily due to a $1.1 million decrease in third-party expenses due to reduced clinical study costs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the completion of the MASH Phase 1 clinical trial, partially offset by increased spend in the chronic HBV infection program. There was also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decrease in employee-related costs including a $0.8 million decrease in stock-based compensation, and a $0.2 million decrease in facility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$1.6 million during the three months ended March 31, 2025, compared to the same period in 2024. This was primarily due to a $0.8 million decrease in third party expenses due to reduced legal and intellectual property spend, a $0.7 million decrease in employee-related costs, and a $0.1 million decrease in facility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interest and other income, net for the three months ended March 31, 2025 and 2024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vMerge w:val="continue"/>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w:t>
            </w: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interest and other income, net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increased by $0.3 million for the three months ended March 31, 2025 when compared to the same period ended March 31, 2024, primarily due to an increase in the investment balance.</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Other income, net decreased by $1.0 million for the three months ended March 31, 2025 compared to the same period ended March 31, 2024, due to a decrease in the accretion of short-term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Change in fair value of 2023 common warrants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change in fair value of 2023 common warrants was an increase of $75.9 million for the three months ended March 31, 2025 compared to the same period ended March 31, 2024 The increase was due to a decrease in the fair value of the 2023 common warrants measured using the Black Scholes option pricing model remeasured at each reporting period, principally due to a decrease in the stock price between December 31, 2024 and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year since inception. Our net losses were $131.2 million for the year ended December 31, 2024 and $87.7 million for the year ended December 31, 2023. We had a net income of $43.1 million for the three months ended March 31, 2025, due to a gain resulting from the remeasurement of the 2023 Common Warrants. Without this gain, we would have a net loss. We have not generated any revenue from product sales or any other sources and have incurred significant operating losses. We have not yet commercialized any products and we do not expect to generate revenue from sales of any drug candidates for at least several years, if ever.</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operations have been financed primarily by net proceeds from the sale and issuance of our convertible preferred stock, proceeds from public offerings, revenue from customer and collaboration agreements, and proceeds from private placements of our common stock, warrants and pre-funded warrants, and the issuance of convertible debt.</w:t>
      </w:r>
    </w:p>
    <w:p>
      <w:pPr>
        <w:spacing w:after="0" w:line="68" w:lineRule="exact"/>
        <w:rPr>
          <w:sz w:val="20"/>
          <w:szCs w:val="20"/>
          <w:color w:val="auto"/>
        </w:rPr>
      </w:pPr>
    </w:p>
    <w:p>
      <w:pPr>
        <w:ind w:right="20" w:firstLine="509"/>
        <w:spacing w:after="0" w:line="218" w:lineRule="exact"/>
        <w:rPr>
          <w:sz w:val="20"/>
          <w:szCs w:val="20"/>
          <w:color w:val="auto"/>
        </w:rPr>
      </w:pPr>
      <w:r>
        <w:rPr>
          <w:rFonts w:ascii="Times New Roman" w:cs="Times New Roman" w:eastAsia="Times New Roman" w:hAnsi="Times New Roman"/>
          <w:sz w:val="18"/>
          <w:szCs w:val="18"/>
          <w:color w:val="auto"/>
        </w:rPr>
        <w:t>In February 2025, we entered into a securities purchase agreement (the 2025 Securities Purchase Agreement) with certain investors names therein (the Purchasers) pursuant to which we issued (i) 2,103,307 shares of our common stock (the Common Stock), consisting of 1,427,000 shares of voting Common Stock and 676,307 shares of non-voting Common Stock, (ii)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2025 Pre-Funded Warrants) to purchase up to an aggregate of 1,922,511 shares of voting Common Stock, and (iii) accompanying common warrants (the 2025 Common Warrants and, together with the 2025 Pre-Funded Warrants, the 2025 Warrants) to purchase up to an aggregate of 2,012,909 shares of Common Stock. Each Warrant is exercisable for one share of Common Stock (the 2025 Private Placement). We received gross proceeds of approximately $105.0 million. In connection to the 2025 Private Placement, we also entered into a registration rights agreement with the Purchasers, pursuant to which we agreed to register for resale the shares of Common Stock sold to the Purchasers, as well as the shares of Common Stock underlying the 2025 Warrants sold to the Purchasers, on the terms set forth therein. We also entered into a registration rights agreement with Baker Brothers Life Sciences, L.P. (together with its affiliates, the Lead Investor), pursuant to which we agreed to file a resale registration statement with the Securities and Exchange Commission following demand by the Lead Investor to register the resale of shares of Common Stock and any Common Stock issued or issuable upon the exercise or conversion of non-voting Common Stock and any of our other securities held by the Lead Investor.</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we had cash, cash equivalents and investments of $137.9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19"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chronic HBV infection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which we have initiated clinical trials, as well as our research and development of our other drug candidates within our MASH and coronavirus programs.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incur costs associated with operating as a public company. We expect that our expenses will increase substantially to the extent we:</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and additional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nonclinical and clinical development of other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for any of our drug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our drug candidates for clinical development and potentially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27" w:name="page28"/>
    <w:bookmarkEnd w:id="27"/>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triggering payments by us under our current and potential future licensing and/or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or expand existing facilities to support our ongoing development activity;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any future commercialization efforts and any additional requirement of being a public company.</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2" w:lineRule="exact"/>
        <w:rPr>
          <w:sz w:val="20"/>
          <w:szCs w:val="20"/>
          <w:color w:val="auto"/>
        </w:rPr>
      </w:pPr>
    </w:p>
    <w:p>
      <w:pPr>
        <w:ind w:left="1020" w:right="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p>
    <w:p>
      <w:pPr>
        <w:spacing w:after="0" w:line="7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8" w:name="page29"/>
    <w:bookmarkEnd w:id="28"/>
    <w:p>
      <w:pPr>
        <w:spacing w:after="0" w:line="266" w:lineRule="auto"/>
        <w:rPr>
          <w:sz w:val="20"/>
          <w:szCs w:val="20"/>
          <w:color w:val="auto"/>
        </w:rPr>
      </w:pPr>
      <w:r>
        <w:rPr>
          <w:rFonts w:ascii="Times New Roman" w:cs="Times New Roman" w:eastAsia="Times New Roman" w:hAnsi="Times New Roman"/>
          <w:sz w:val="18"/>
          <w:szCs w:val="18"/>
          <w:color w:val="auto"/>
        </w:rPr>
        <w:t>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46"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5684520</wp:posOffset>
            </wp:positionH>
            <wp:positionV relativeFrom="paragraph">
              <wp:posOffset>-12065</wp:posOffset>
            </wp:positionV>
            <wp:extent cx="8572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-12065</wp:posOffset>
            </wp:positionV>
            <wp:extent cx="8572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(20,909)</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(22,746)</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(88,642)</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(used in) financing activities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70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(111,407)</w:t>
            </w:r>
          </w:p>
        </w:tc>
      </w:tr>
      <w:tr>
        <w:trPr>
          <w:trHeight w:val="20"/>
        </w:trPr>
        <w:tc>
          <w:tcPr>
            <w:tcW w:w="7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utilized $20.9 million of cash, primarily resulting from our net income of $43.1 million, offset by net changes in operating assets and liabilities of $3.8 million, and non-cash charges of $60.2 million, driven by the gain as a result of remeasuring the 2023 Common Warrants. Net cash used in operating activities resulted in changes in our operating assets and liabilities of $3.8 million, consisting of a decrease of $4.8 million in accrued liabilities, a decrease of $0.5 million in operating lease liabilities, a decrease of $0.2 million in deferred revenue, an increase in other assets of $0.1 million partially offset by an increase of $1.7 million in accounts payable. The decrease in deferred revenue was due to the recognition of revenue from customers due to progress towards the completion of the projects. The decrease in accrued liabilities was largely due to the bonus payments that occurred in the first quarter of 2025. The increase in accounts payable is due to the timing of payments to vendors.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utilized $22.7 million of cash, primarily resulting from our net loss of $34.9 million and net changes in operating assets and liabilities of $5.5 million, partially offset by non-cash charges of $17.6 million. Net cash used in operating activities resulted in changes in our operating assets and liabilities of $5.5 million, consisting of a decrease of $4.8 million in accrued liabilities, a decrease of $0.6 million in operating lease liabilities, and a decrease of $0.6 million in deferred revenue, partially offset by a decrease in other assets of $0.2 million and an increase of $0.3 million in accounts payable. The decrease in deferred revenue was due to the recognition of revenue from collaborations due to progress towards the completion of the projects. The decrease in accrued liabilities was largely due to the bonus payment that occurred in the first quarter of 2024. The decrease in accounts payable is due to the timing of payments to vendors.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investing activities used $44.1 million of cash, primarily due to $64.0 million of purchase of short-term investments partially offset by $20.0 million related to maturities of short-term investments.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investing activities used $88.6 million of cash, primarily due to purchase of short-term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$101.7 million, primarily due to proceeds from the 2025 PIPE financing.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net cash used in financing activities was $19 thousand, primarily due to payments of our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have no material changes to our contractual obligations and commitments as of March 31, 2025 as disclosed in the contractual obligations and commitment section in our Annual Report on Form 10-K filed with the SEC on March 10,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For a discussion of our critical accounting estimates, see the section titled “Management’s Discussion and Analysis of Financial Condition and Results of Operations” and the notes to our audited financial statements in our Annual Report on Form 10-K, filed with the SEC on March 10, 2025 for the year ended December 31, 2024, and the notes to the financial statements appearing elsewhere in this Quarterly Report on Form 10-Q. There have been no material changes to these critical accounting policies and estimates through March 31, 2025 from those discussed in our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the expected impact of recently adopted accounting pronouncements, see Note 2. Summary of significant accounting policies in the “Notes to Unaudited Condensed Consolidated Financial Statements” contained in Part I, Item 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three months ended March 31, 2025, compared to the disclosures in Part II, Item 7A of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under the Exchange Act)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2025, our disclosure controls and procedures were effective at the reasonable assurance level.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that occurred during the fiscal quarter ended March 31, 2025 that has materially affected, or is reasonably likely to materially affect, our internal control over financial reporting.</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However, regardless of the outcome, litigation can have an adverse impact on our business, financial condition, results of operations and prospects because of associated costs and diversion of management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need for additional capital</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biotechnology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net losses. Our net losses were $131.2 million for the year ended December 31, 2024 and $87.7 million for the year ended December 31, 2023. We had a net income of $43.1 million for the three months ended March 31, 2025, due to a gain resulting from the remeasurement of the 2023 Common Warrants. Without this gain, we would have a net loss. As of March 31, 2025, we had total stockholders’ equity of $116.4 million. We have funded our operations to date primarily with proceeds from the sale of common stock, preferred stock, convertible notes and warrants, and to a lesser extent from upfront payments under our license/collaboration agreements.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 for a full fiscal year.</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and nonclinical development of drug candidates and programs and identifying and developing new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drug candidates that we develop;</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coverage and reimbursement by third-party payors for drug candidates that we develop;</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drug candidates that we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market developments;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infringement or other intellectual property-related claims,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for a full fiscal year and may need to obtain additional funding to continue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and February 2025, we closed private investments of our securities that generated approximately $92.1 million and $105.0 million in gross proceeds, respectively, before deducting placement agent fees and other offering expenses. As of March 31, 2025, we had cash, cash equivalents and investments of $137.9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and warrants. For example, in November 2024, we filed a Registration Statement on Form S-3 covering the offering of up to $400.0 million of common stock, preferred stock, debt securities, warrants, units and rights, which was declared effective by the SEC in November 2024 (November 2024 Shelf Registration Statement). In October 2023 and February 2025, we completed a private placement of common stock, warrants and pre-funded warrants.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and the macro-economic environment generally.</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ability to raise additional funds depends on financial, economic and other factors, many of which are beyond our control. For example, if there is a disruption of global financial markets,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72" w:lineRule="exact"/>
        <w:rPr>
          <w:sz w:val="20"/>
          <w:szCs w:val="20"/>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nonclinical studies, clinical trials or other research and development activities or eliminate one or more of our development programs altogether; or</w:t>
      </w:r>
    </w:p>
    <w:p>
      <w:pPr>
        <w:spacing w:after="0" w:line="53" w:lineRule="exact"/>
        <w:rPr>
          <w:rFonts w:ascii="Times New Roman" w:cs="Times New Roman" w:eastAsia="Times New Roman" w:hAnsi="Times New Roman"/>
          <w:sz w:val="18"/>
          <w:szCs w:val="18"/>
          <w:color w:val="auto"/>
        </w:rPr>
      </w:pPr>
    </w:p>
    <w:p>
      <w:pPr>
        <w:jc w:val="both"/>
        <w:ind w:left="1020" w:right="3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have a shelf registration statement effective, however, our ability to raise capital under this registration statement may be limited by, among other things, SEC rules and regulations impacting the eligibility of smaller companies to use Form S-3 for primary offerings of securities. Although alternative public and private transaction structures may be available, these may require additional time and cost, may impose operational restrictions on us, and may not be available on attractive terms.</w:t>
      </w:r>
    </w:p>
    <w:p>
      <w:pPr>
        <w:spacing w:after="0" w:line="1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5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54" w:lineRule="exact"/>
        <w:rPr>
          <w:sz w:val="20"/>
          <w:szCs w:val="20"/>
          <w:color w:val="auto"/>
        </w:rPr>
      </w:pPr>
    </w:p>
    <w:p>
      <w:pPr>
        <w:ind w:left="1020" w:right="2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 in the United States and internationally;</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as well as building out our supply chain, which may vary depending on the quantity produced, and the terms of any agreements we enter into with third-party suppliers;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due under any current or future collaboration or license agreement, including our existing license agreements with Emory University (Emory) and KU Leuven;</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any future approved products, and potential future drugs that compete with our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in 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future approved products, which may vary significantly over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principles or our accounting policies;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adversely affected by the effects of health pandemics or epidemics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our current clinical trial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addition, a continuing widespread pandemic could result in significant disruption of global financial markets, reducing our ability to access capital, which could negatively affect our liquidity and ability to progress our operations. In addition, a recession,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5" w:name="page36"/>
    <w:bookmarkEnd w:id="35"/>
    <w:p>
      <w:pPr>
        <w:ind w:right="240"/>
        <w:spacing w:after="0" w:line="282" w:lineRule="auto"/>
        <w:rPr>
          <w:sz w:val="20"/>
          <w:szCs w:val="20"/>
          <w:color w:val="auto"/>
        </w:rPr>
      </w:pPr>
      <w:r>
        <w:rPr>
          <w:rFonts w:ascii="Times New Roman" w:cs="Times New Roman" w:eastAsia="Times New Roman" w:hAnsi="Times New Roman"/>
          <w:sz w:val="18"/>
          <w:szCs w:val="18"/>
          <w:color w:val="auto"/>
        </w:rPr>
        <w:t>down-turn, market correction or supply chain disruption resulting from health pandemics or epidemics could materially adversely affect the value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process</w:t>
      </w:r>
    </w:p>
    <w:p>
      <w:pPr>
        <w:spacing w:after="0" w:line="11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7" w:lineRule="exact"/>
        <w:rPr>
          <w:sz w:val="20"/>
          <w:szCs w:val="20"/>
          <w:color w:val="auto"/>
        </w:rPr>
      </w:pPr>
    </w:p>
    <w:p>
      <w:pPr>
        <w:ind w:firstLine="509"/>
        <w:spacing w:after="0" w:line="217" w:lineRule="exact"/>
        <w:rPr>
          <w:sz w:val="20"/>
          <w:szCs w:val="20"/>
          <w:color w:val="auto"/>
        </w:rPr>
      </w:pPr>
      <w:r>
        <w:rPr>
          <w:rFonts w:ascii="Times New Roman" w:cs="Times New Roman" w:eastAsia="Times New Roman" w:hAnsi="Times New Roman"/>
          <w:sz w:val="18"/>
          <w:szCs w:val="18"/>
          <w:color w:val="auto"/>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chronic HBV infection portfolio previously included our STOPSTM drug candidate, ALG-010133, one of our proprietary s-antigen transport-inhibiting oligonucleotide polymers that was in a Phase 1b dose range finding trial (NCT04485663) evaluating subjects with chronic HBV infection as well as our proprietary antisense oligonucleotide, ALG-020572, that was in a Phase 1a/1b umbrella study (NCT05001022) and for which dosing in chronic HBV infection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subject and several additional subjects experiencing ALT flares.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10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8"/>
          <w:szCs w:val="18"/>
          <w:color w:val="auto"/>
        </w:rPr>
        <w:t>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current and future drug candidates depends on many factors, which may include the following:</w:t>
      </w:r>
    </w:p>
    <w:p>
      <w:pPr>
        <w:spacing w:after="0" w:line="117" w:lineRule="exact"/>
        <w:rPr>
          <w:sz w:val="20"/>
          <w:szCs w:val="20"/>
          <w:color w:val="auto"/>
        </w:rPr>
      </w:pPr>
    </w:p>
    <w:p>
      <w:pPr>
        <w:ind w:left="1020" w:right="2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utilize our drug discovery platforms;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investigational new drug applications (INDs), clinical trial applications (CTAs) and/or similar applications in other jurisdictions for our planned and future clinical trials;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drug candidates in the intended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clinical supply for our clinical trials and commercial manufacturing, if our drug candidates are approved;</w:t>
      </w:r>
    </w:p>
    <w:p>
      <w:pPr>
        <w:spacing w:after="0" w:line="53" w:lineRule="exact"/>
        <w:rPr>
          <w:rFonts w:ascii="Times New Roman" w:cs="Times New Roman" w:eastAsia="Times New Roman" w:hAnsi="Times New Roman"/>
          <w:sz w:val="18"/>
          <w:szCs w:val="18"/>
          <w:color w:val="auto"/>
        </w:rPr>
      </w:pPr>
    </w:p>
    <w:p>
      <w:pPr>
        <w:ind w:left="1020" w:right="120" w:hanging="503"/>
        <w:spacing w:after="0" w:line="312"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drug candidates in select indications or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exclusivity for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drug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benefits and uses,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drug candidates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117"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virus infection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82"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75" w:lineRule="exact"/>
        <w:rPr>
          <w:sz w:val="20"/>
          <w:szCs w:val="20"/>
          <w:color w:val="auto"/>
        </w:rPr>
      </w:pPr>
    </w:p>
    <w:p>
      <w:pPr>
        <w:ind w:left="1020" w:right="4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by us or third parties to comply with regulatory requirements, including the requirements of good laboratory practice (GLP);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nonclinical or other in vivo or in vitro data to support the initiation of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our drug candidates for use in nonclinical studies and clinical trials from third-party suppliers on a timely basis;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other global-scale potentially catastrophic events, including other public health pandemics or epidemics, terrorism, war, and climate changes.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drug candidate is safe or effective for its proposed indication;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8" w:name="page39"/>
    <w:bookmarkEnd w:id="38"/>
    <w:p>
      <w:pPr>
        <w:ind w:left="1020" w:right="7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clinical trials or nonclinical studies;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to the FDA or other submission or to obtain regulatory approval in the United States, the European Union (EU)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17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49" w:lineRule="exact"/>
        <w:rPr>
          <w:sz w:val="20"/>
          <w:szCs w:val="20"/>
          <w:color w:val="auto"/>
        </w:rPr>
      </w:pPr>
    </w:p>
    <w:p>
      <w:pPr>
        <w:ind w:right="20" w:firstLine="509"/>
        <w:spacing w:after="0" w:line="217" w:lineRule="exact"/>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doses levels (maximum feasible dose is 600 mg) that were planned to be evaluated in a subsequent cohort were very unlikely to reach the 1 log10 IU/mL HBsAg reduction level that we had previously defined as necessary to advance the program. As another example, in March 2022, we discontinued further development of our ASO drug candidate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020572, due to an unanticipated serious adverse event involving significant increase in ALT in one chronic HBV infection subject and several other subjects experiencing ALT flares in the same study.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10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68" w:lineRule="exact"/>
        <w:rPr>
          <w:sz w:val="20"/>
          <w:szCs w:val="20"/>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9" w:name="page40"/>
    <w:bookmarkEnd w:id="39"/>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materials for drug candidates we develop or other materials necessary to conduct clinical trials may be insufficient or inadequate;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disruptions by man-made or natural disasters or public health pandemics or epidemics or other business interruptions.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Specifically, should we experience another pandemic or epidemic outbreak on a similar if not greater scale as the COVID-19 outbreak, the clinical trial sites for our current drug trials,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the U.S. House of Representatives has passed the BIOSECURE Act and the Senate has advanced a substantially similar bill, which legislation, if passed and enacted into law, would have the potential to restrict the ability of U.S. biopharmaceutical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is also uncertainty as to how measures being implemented by the new administration will impact the operations of various agencies. Any of these occurrences may harm our business, financial condition and prospects significantly. In addition, many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0" w:name="page41"/>
    <w:bookmarkEnd w:id="40"/>
    <w:p>
      <w:pPr>
        <w:ind w:right="540"/>
        <w:spacing w:after="0" w:line="282" w:lineRule="auto"/>
        <w:rPr>
          <w:sz w:val="20"/>
          <w:szCs w:val="20"/>
          <w:color w:val="auto"/>
        </w:rPr>
      </w:pPr>
      <w:r>
        <w:rPr>
          <w:rFonts w:ascii="Times New Roman" w:cs="Times New Roman" w:eastAsia="Times New Roman" w:hAnsi="Times New Roman"/>
          <w:sz w:val="18"/>
          <w:szCs w:val="18"/>
          <w:color w:val="auto"/>
        </w:rPr>
        <w:t>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58"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chronic HBV infection is at an early stage and we may be unable to produce a therapy that successfully treats chronic HBV infection. Even if successful, we may be unable to obtain regulatory approval for and successfully commercialize our drug candidates.</w:t>
      </w:r>
    </w:p>
    <w:p>
      <w:pPr>
        <w:spacing w:after="0" w:line="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pursuit of a treatment for chronic HBV infection, including</w:t>
      </w:r>
    </w:p>
    <w:p>
      <w:pPr>
        <w:spacing w:after="0" w:line="22" w:lineRule="exact"/>
        <w:rPr>
          <w:sz w:val="20"/>
          <w:szCs w:val="20"/>
          <w:color w:val="auto"/>
        </w:rPr>
      </w:pPr>
    </w:p>
    <w:p>
      <w:pPr>
        <w:ind w:right="40"/>
        <w:spacing w:after="0" w:line="217"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 CAM-E that is currently in a multipart Phase 1 trial. If we cannot successfully develop, obtain regulatory approval for and commercialize our drug candidates for the treatment of chronic HBV infection, our business may be harmed. The mechanism of action of our chronic HBV infection drug candidates is complex, and we do not know the degree to which it will translate into a therapeutic benefit, if any, in chronic HBV infection or any other indication, and we do not know the degree to which the complex mechanism of action may contribute to long-term safety issues or adverse events when our drug candidates are taken for prolonged periods, as is inherent in the treatment of chronic HBV infection.</w:t>
      </w:r>
    </w:p>
    <w:p>
      <w:pPr>
        <w:spacing w:after="0" w:line="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chronic HBV infection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7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chronic HBV infection, our drug candidates will likely compete with products that have already been approved or may in the future be approved for the treatment of chronic HBV infection prior to our drug candidates and/or that have greater efficacy than our drug candidates, either alone or in combination.</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MASH is at an early stage and we may be unable to produce a therapy that successfully treats MASH. Even if successful, we may be unable to obtain regulatory approval for and successfully commercialize our drug candidates.</w:t>
      </w:r>
    </w:p>
    <w:p>
      <w:pPr>
        <w:spacing w:after="0" w:line="51" w:lineRule="exact"/>
        <w:rPr>
          <w:sz w:val="20"/>
          <w:szCs w:val="20"/>
          <w:color w:val="auto"/>
        </w:rPr>
      </w:pPr>
    </w:p>
    <w:p>
      <w:pPr>
        <w:ind w:right="100" w:firstLine="509"/>
        <w:spacing w:after="0" w:line="219" w:lineRule="exact"/>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pursuit of a treatment for MASH, including ALG-055009,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ß agonist which has completed a Phase 2a trial. If we cannot successfully develop, obtain regulatory approval for and commercialize our drug candidates for the treatment of MASH, our business may be harmed. The mechanism of action of our MASH drug candidates is complex, and we do not know the degree to which it will translate into a therapeutic benefit, if any, in MASH or any other indication, and we do not know the degree to which the complex mechanism of action may contribute to long-term safety issues or adverse events when our drug candidates are taken for prolonged periods, as is inherent in the treatment of MASH.</w:t>
      </w:r>
    </w:p>
    <w:p>
      <w:pPr>
        <w:spacing w:after="0" w:line="9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MASH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MASH, our drug candidates will likely compete with products that have already been approved or may in the future be approved for the treatment of MASH prior to our drug candidates and/or that have greater efficacy than our drug candidates, either alone or in combination. Behavioral modifications, such as diet and exercise, can also decrease or eliminate the demand for our potential MASH treatments.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potential therapies for COVID-19 is at an early stage.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response to the outbreak of COVID-19, the disease caused by the virus SARS-CoV-2, we are pursuing various potential therapies to address the disease, including our drug candidate ALG-097558, an oral protease inhibitor which is currently in a clinical trial in COVID-19 subjects. Our development of this potential therapy is at an early stage, and we may be unable to produce in a timely manner a therapy that successfully treats the virus or that has broad clinical applicability, if at all.</w:t>
      </w:r>
    </w:p>
    <w:p>
      <w:pPr>
        <w:spacing w:after="0" w:line="7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For example, in June 2020, we entered into a Research, Licensing and Commercialization Agreement with KU Leuven under which we were collaborating with KU Leuven’s Rega Institute for Medical Research, as well as its CD3,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1" w:name="page42"/>
    <w:bookmarkEnd w:id="41"/>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committing significant personnel to the development of ALG-097558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May 25, 2023, Pfizer, Inc. received an approval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nonclinical studies and early-stage clinical trials may not be predictive of future results.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differ materially from the final data.</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for participation in our clinical trials and, where appropriate, biopsies for future patient enrichment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remain in the trial through the completion of evaluation;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by man-made or natural disasters, or public health pandemics or epidemics or other business interruptions.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8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drug candidate manufacturing or formulation may result in additional costs or delay.</w:t>
      </w:r>
    </w:p>
    <w:p>
      <w:pPr>
        <w:spacing w:after="0" w:line="121"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6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7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80" w:firstLine="509"/>
        <w:spacing w:after="0" w:line="27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16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6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t>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There is also uncertainty as to how measures being implemented by the new administration will impact the operations of various agencies. For example, the potential loss of personnel at various agencies could lead to disruptions and delays in review of our product candidates.</w:t>
      </w:r>
    </w:p>
    <w:p>
      <w:pPr>
        <w:spacing w:after="0" w:line="7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5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for a full fiscal year. The degree of market acceptance of any drug candidate, if approved for commercial sale,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companion diagnostic and/or complementary diagnostic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5" w:name="page46"/>
    <w:bookmarkEnd w:id="45"/>
    <w:p>
      <w:pPr>
        <w:ind w:right="400"/>
        <w:spacing w:after="0" w:line="282" w:lineRule="auto"/>
        <w:rPr>
          <w:sz w:val="20"/>
          <w:szCs w:val="20"/>
          <w:color w:val="auto"/>
        </w:rPr>
      </w:pPr>
      <w:r>
        <w:rPr>
          <w:rFonts w:ascii="Times New Roman" w:cs="Times New Roman" w:eastAsia="Times New Roman" w:hAnsi="Times New Roman"/>
          <w:sz w:val="18"/>
          <w:szCs w:val="18"/>
          <w:color w:val="auto"/>
        </w:rPr>
        <w:t>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17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cGMP, and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8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we filed or suspension or revocation of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eligibility from government contracts or refusals of government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regulatory compliance, we may lose any marketing approval that we may have obtained, and we may not achieve profitability for a full fiscal year.</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8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For example, we have or are currently conducting initial clinical trials for ALG-000184, ALG-055009 and ALG-097558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international trade policies or our international operations, including seeking and obtaining approval to commercialize our drug candidates in foreign jurisdictions, could harm our business.</w:t>
      </w:r>
    </w:p>
    <w:p>
      <w:pPr>
        <w:spacing w:after="0" w:line="5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We engage in international operations with offices in the United States, Belgium and China as well as third-party suppliers spanning multiple countries outside the U.S., and we intend to seek approval to market our drug candidates outside of the United States. We may also do so for future drug candidates. Due to the complex relationship among the U.S. and the countries in which we conduct our business, there is an inherent risk that political, diplomatic, and national security factors may lead to global trade restrictions and changes to trade policies or export and import regulations which could harm our business. The U.S. government has announced new tariffs affecting a wide range of products and jurisdictions and has indicated an intention to continue developing new trade policies, including in the pharmaceutical industry. In response, certain foreign governments have announced or implemented reciprocal or retaliatory tariffs and other protectionist measures.</w:t>
      </w:r>
    </w:p>
    <w:p>
      <w:pPr>
        <w:spacing w:after="0" w:line="8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for the manufacture of certain product candidates for clinical testing, as well as for manufacture of any products that we may commercialize, if approved.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we are or will be subject to additional risks related to these international business markets and relationships, including:</w:t>
      </w:r>
    </w:p>
    <w:p>
      <w:pPr>
        <w:spacing w:after="0" w:line="117" w:lineRule="exact"/>
        <w:rPr>
          <w:sz w:val="20"/>
          <w:szCs w:val="20"/>
          <w:color w:val="auto"/>
        </w:rPr>
      </w:pPr>
    </w:p>
    <w:p>
      <w:pPr>
        <w:ind w:left="1020" w:right="6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 candidates in foreign countries, including challenging processes for marketing biopharmaceutical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and enforcement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or different data privacy and information security laws, regulations and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proposed tariffs, reciprocal or retaliatory trade measures, sanctions,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global trade policies as a result of trade disputes or more restrictive trade policies;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left="1020" w:right="9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 compliance with tax, employment, immigration and labor laws for employees living or traveling abroad;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impact of public health pandemics or epidemics (including, for example, the COVID-19 pandemic).</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Increases in tariffs will likely result in increased research and development expenses, including with respect to increased costs associated with drug product shipments, laboratory supplies, equipment, research materials and components and information technology supplies and materials. Increases in tariffs will likely increase our supply chain complexity and could also potentially disrupt our existing supply chain. The ultimate impact of current or future tariffs and trade restrictions remains uncertain.</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are complex regulatory, tax, labor and other legal requirements imposed by many of the individual countries in which we may operate, with which we will need to comply.</w:t>
      </w:r>
    </w:p>
    <w:p>
      <w:pPr>
        <w:spacing w:after="0" w:line="15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hiring and retention of key personnel and receipt of user fees, changes in senior leadership at FDA and HHS, and other events that may otherwise affect the FDA’s performance of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w:t>
      </w:r>
    </w:p>
    <w:p>
      <w:pPr>
        <w:spacing w:after="0" w:line="68" w:lineRule="exact"/>
        <w:rPr>
          <w:sz w:val="20"/>
          <w:szCs w:val="20"/>
          <w:color w:val="auto"/>
        </w:rPr>
      </w:pPr>
    </w:p>
    <w:p>
      <w:pPr>
        <w:jc w:val="both"/>
        <w:ind w:right="72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HBV, COVID-19 or other viral diseases as a result of their genetic makeup. In addition, the route of administration for our potential therapies could be inconvenient and/or not commercially viable, which could also limit the potential market for our therapies.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8" w:name="page49"/>
    <w:bookmarkEnd w:id="48"/>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estimate, it could have an adverse effect on our business, financial condition, results of operations and prospects.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example, we believe MASH to be one of the most prevalent chronic liver diseases worldwide, however, our projections of the number of people who have MASH, as well as the subset of people with the disease who have the potential to benefit from treatment with our drug candidates, are based on our beliefs and estimates. The effort to identify patients with MASH is in early stages, and we cannot accurately predict the number of patients for whom treatment might be possible. MASH is often undiagnosed and may be left undiagnosed for a long time, partly because a definitive diagnosis of MASH is currently based on a histological assessment of a liver biopsy, which impairs the ability to easily identify patients. If improved diagnostic techniques for identifying MASH patients who will benefit from treatment are not developed, our market opportunity may be smaller than we currently anticipate. Further, if government authorities and third-party payors choose to limit coverage and reimbursement of our MASH drug candidate, such as limiting the number of patients’ treatment that would be covered and reimbursable, this could result in a smaller market opportunity for our MASH drug candidate than we anticipate.</w:t>
      </w:r>
    </w:p>
    <w:p>
      <w:pPr>
        <w:spacing w:after="0" w:line="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MASH,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8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Current FDA-approved treatments for chronic HBV infection include peg-IFNα, marketed by Roche Holding AG (Roche), and oral antiviral agents such as nucleoside analogs, marketed by Gilead Sciences, Inc. (Gilead) and Bristol-Myers Squibb Company. These treatments do not lead to either a functional or a complete cure in the vast majority of patients, and in the case of nucleoside analogs, may require life-long treatment. Several large and small pharmaceutical companies are developing programs with various mechanisms of action, to be used alone or in combination, with the goal of achieving higher rates of viral suppression or functional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9" w:name="page50"/>
    <w:bookmarkEnd w:id="49"/>
    <w:p>
      <w:pPr>
        <w:ind w:right="220"/>
        <w:spacing w:after="0" w:line="256" w:lineRule="auto"/>
        <w:rPr>
          <w:sz w:val="20"/>
          <w:szCs w:val="20"/>
          <w:color w:val="auto"/>
        </w:rPr>
      </w:pPr>
      <w:r>
        <w:rPr>
          <w:rFonts w:ascii="Times New Roman" w:cs="Times New Roman" w:eastAsia="Times New Roman" w:hAnsi="Times New Roman"/>
          <w:sz w:val="18"/>
          <w:szCs w:val="18"/>
          <w:color w:val="auto"/>
        </w:rPr>
        <w:t>cure in patients with chronic HBV infection. Companies with oligonucleotide agents in clinical development include Arbutus Biopharma Corporation, Ionis Pharmaceuticals, Inc. (together with GlaxoSmithKline plc (GSK)), Arrowhead Pharmaceuticals, Inc. (together with Janssen Pharmaceuticals, Inc. (Janssen)), and Vir Biotechnology, Inc. (together with Alnylam Pharmaceuticals, Inc.). Several companies are developing CAM-Es, including Assembly Biosciences Inc. and Enanta Pharmaceuticals. Several companies, including GSK and Janssen, are developing therapeutic vaccines for HBV, and several others have approved HBV vaccines, including Dynavax Technologies, Inc., GSK, Johnson &amp; Johnson, and Merck. Replicor, Inc. is developing nucleic acid polymers (NAPs) for use in chronic HBV infection patients.</w:t>
      </w:r>
    </w:p>
    <w:p>
      <w:pPr>
        <w:spacing w:after="0" w:line="79" w:lineRule="exact"/>
        <w:rPr>
          <w:sz w:val="20"/>
          <w:szCs w:val="20"/>
          <w:color w:val="auto"/>
        </w:rPr>
      </w:pPr>
    </w:p>
    <w:p>
      <w:pPr>
        <w:ind w:right="340" w:firstLine="509"/>
        <w:spacing w:after="0" w:line="220" w:lineRule="exact"/>
        <w:rPr>
          <w:sz w:val="20"/>
          <w:szCs w:val="20"/>
          <w:color w:val="auto"/>
        </w:rPr>
      </w:pPr>
      <w:r>
        <w:rPr>
          <w:rFonts w:ascii="Times New Roman" w:cs="Times New Roman" w:eastAsia="Times New Roman" w:hAnsi="Times New Roman"/>
          <w:sz w:val="18"/>
          <w:szCs w:val="18"/>
          <w:color w:val="auto"/>
        </w:rPr>
        <w:t>There is one currently FDA-approved THR-b agonist treatment for MASH by Madrigal Pharmaceuticals, Inc. A number of pharmaceutical companies, including AbbVie, Inc., AstraZeneca PLC/MedImmune LLC, Bristol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Myers Squibb Company, Eli Lilly and Company, Merck, Pfizer, Inc., Novo Nordisk, as well as large and small biotechnology companies such as 89bio, Inc., Akero Therapeutics, Inc., Gilead, Inventiva Pharma SA, MediciNova, Inc., and Viking Therapeutics, Inc. are pursuing the development or marketing of pharmaceuticals that target MASH.</w:t>
      </w:r>
    </w:p>
    <w:p>
      <w:pPr>
        <w:spacing w:after="0" w:line="92"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In addition to remdesivir, which is FDA-approved, on May 25, 2023, Pfizer, Inc. received approval from the FDA for Paxlovid, an orally administered SARS-CoV-2 protease inhibitor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and Jakafi by Incyte Corporation. There are significant efforts globally to develop both therapeutic and prophylactic drug candidates including by Enanta Pharmaceuticals and Shionogi. Several companies are focused on antibody treatments, including Regeneron Pharmaceuticals, Inc. and Vir Biotechnology, Inc. (together with GSK, Biogen Inc. and WuXi Biologics Ltd.). The availability of such COVID-19 vaccines and each of Pfizer’s and Merck’s oral COVID-19 drug may reduce or eliminate the need for our potential COVID-19 therapies to treat the disease and therefore negatively impact the commercial opportunity.</w:t>
      </w:r>
    </w:p>
    <w:p>
      <w:pPr>
        <w:spacing w:after="0" w:line="9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8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68"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notice, either the patent owner or NDA holder sues for patent infringement, approval of the ANDA or 505(b)(2) NDA is stayed for up to 30 months.</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1" w:name="page52"/>
    <w:bookmarkEnd w:id="51"/>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72" w:lineRule="exact"/>
        <w:rPr>
          <w:sz w:val="20"/>
          <w:szCs w:val="20"/>
          <w:color w:val="auto"/>
        </w:rPr>
      </w:pPr>
    </w:p>
    <w:p>
      <w:pPr>
        <w:ind w:firstLine="509"/>
        <w:spacing w:after="0" w:line="217" w:lineRule="exact"/>
        <w:rPr>
          <w:sz w:val="20"/>
          <w:szCs w:val="20"/>
          <w:color w:val="auto"/>
        </w:rPr>
      </w:pPr>
      <w:r>
        <w:rPr>
          <w:rFonts w:ascii="Times New Roman" w:cs="Times New Roman" w:eastAsia="Times New Roman" w:hAnsi="Times New Roman"/>
          <w:sz w:val="18"/>
          <w:szCs w:val="18"/>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clinical trials of our drug candidates ALG-000184,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ALG-097558.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10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17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2" w:name="page53"/>
    <w:bookmarkEnd w:id="52"/>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payments under our license agreements with Emory University, KU Leuven, and Luxna Biotech Co., Ltd.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entered into a License Agreement with Emory in June 2018, a Research, Licensing and Commercialization Agreement with KU Leuven in June 2020 and an amendment in July 2023 and a 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2024, previously filed with the SEC. If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payments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results of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 The American Rescue Plan Act of 2021 was also signed into law, which eliminated the statutory Medicaid drug rebate cap, beginning January 1, 2024. The rebate was previously capped at 100% of a drug's average manufacturer price.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negotiation program is currently subject to legal challenges. For that and other reasons, it is currently unclear how the IRA will be effectuated.</w:t>
      </w:r>
    </w:p>
    <w:p>
      <w:pPr>
        <w:spacing w:after="0" w:line="8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and abroad.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8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8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in countries outside of the United States, including Belgium, Australia and China, where laws may in some cases be more stringent than the requirements in the United States. For example, in Europe, the EU General Data Protection Regulation (GDPR) went into effect in May 2018 and imposes strict requirements for the processing of the personal data of individuals within the European Economic Area (EEA) or in the context of our activities within the EEA.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or 4% of the total worldwide annual turnover of our preceding fiscal year, whichever is higher. In addition to fines, a breach of the GDPR may result in regulatory investigations, reputational damage, orders to cease/ change our data processing activities, enforcement notices, assessment notices (for a compulsory audit), civil claims (including class actions) and/or other administrative penalties.</w:t>
      </w:r>
    </w:p>
    <w:p>
      <w:pPr>
        <w:spacing w:after="0" w:line="86"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Further, from January 1, 2021, we have to comply with the United Kingdom GDPR (UK GDPR), which, together, with the amended Data Protection Act 2018, retains the GDPR in UK national law (collectively, the UK GDPR), and imposes separate but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5" w:name="page56"/>
    <w:bookmarkEnd w:id="55"/>
    <w:p>
      <w:pPr>
        <w:ind w:right="280"/>
        <w:spacing w:after="0" w:line="282" w:lineRule="auto"/>
        <w:rPr>
          <w:sz w:val="20"/>
          <w:szCs w:val="20"/>
          <w:color w:val="auto"/>
        </w:rPr>
      </w:pPr>
      <w:r>
        <w:rPr>
          <w:rFonts w:ascii="Times New Roman" w:cs="Times New Roman" w:eastAsia="Times New Roman" w:hAnsi="Times New Roman"/>
          <w:sz w:val="18"/>
          <w:szCs w:val="18"/>
          <w:color w:val="auto"/>
        </w:rPr>
        <w:t>similar obligations to those under the GDPR and comparable penalties, including fines up to the greater of £17.5 million or 4% of global turnover of the annual global revenues of the noncompliant undertaking.</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regulates the transfer of personal data to third countries outside of the EEA, such as the United States, which are not considered by the European Commission to provide an adequate level of personal data protection, and the efficacy and longevity of current transfer mechanisms between the EEA, and the United States remains uncertain. We currently rely on approved data transfer mechanisms such as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adequacy of the DPF as an approved GDPR transfer mechanism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8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we use artificial intelligence, including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that our information technology systems, or those used by our CROs or other contractors or consultants, fail or suffer security breaches.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and contractors. Despite the implementation of security measures, our information technology systems and those of our CROs and other contractors and consultants are vulnerable to attack, damage and interruption from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w:t>
      </w:r>
    </w:p>
    <w:p>
      <w:pPr>
        <w:spacing w:after="0" w:line="8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6" w:name="page57"/>
    <w:bookmarkEnd w:id="56"/>
    <w:p>
      <w:pPr>
        <w:ind w:right="20"/>
        <w:spacing w:after="0" w:line="274" w:lineRule="auto"/>
        <w:rPr>
          <w:sz w:val="20"/>
          <w:szCs w:val="20"/>
          <w:color w:val="auto"/>
        </w:rPr>
      </w:pPr>
      <w:r>
        <w:rPr>
          <w:rFonts w:ascii="Times New Roman" w:cs="Times New Roman" w:eastAsia="Times New Roman" w:hAnsi="Times New Roman"/>
          <w:sz w:val="17"/>
          <w:szCs w:val="17"/>
          <w:color w:val="auto"/>
        </w:rPr>
        <w:t>As a result of the COVID-19 pandemic,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6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breach of our systems.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are currently collaborating with third parties to develop certain of our potential drug candidates.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(if any) or drug candidates;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7" w:name="page58"/>
    <w:bookmarkEnd w:id="57"/>
    <w:p>
      <w:pPr>
        <w:ind w:left="1020" w:right="1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84"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We may also be restricted under future collaboration agreements from entering into additional agreements on certain terms with potential collaborators.</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8" w:name="page59"/>
    <w:bookmarkEnd w:id="58"/>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67" w:lineRule="exact"/>
        <w:rPr>
          <w:sz w:val="20"/>
          <w:szCs w:val="20"/>
          <w:color w:val="auto"/>
        </w:rPr>
      </w:pPr>
    </w:p>
    <w:p>
      <w:pPr>
        <w:ind w:right="80" w:firstLine="509"/>
        <w:spacing w:after="0" w:line="219" w:lineRule="exact"/>
        <w:rPr>
          <w:sz w:val="20"/>
          <w:szCs w:val="20"/>
          <w:color w:val="auto"/>
        </w:rPr>
      </w:pPr>
      <w:r>
        <w:rPr>
          <w:rFonts w:ascii="Times New Roman" w:cs="Times New Roman" w:eastAsia="Times New Roman" w:hAnsi="Times New Roman"/>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ALG-097558,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9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9" w:name="page60"/>
    <w:bookmarkEnd w:id="59"/>
    <w:p>
      <w:pPr>
        <w:ind w:right="40"/>
        <w:spacing w:after="0" w:line="282" w:lineRule="auto"/>
        <w:rPr>
          <w:sz w:val="20"/>
          <w:szCs w:val="20"/>
          <w:color w:val="auto"/>
        </w:rPr>
      </w:pPr>
      <w:r>
        <w:rPr>
          <w:rFonts w:ascii="Times New Roman" w:cs="Times New Roman" w:eastAsia="Times New Roman" w:hAnsi="Times New Roman"/>
          <w:sz w:val="18"/>
          <w:szCs w:val="18"/>
          <w:color w:val="auto"/>
        </w:rPr>
        <w:t>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8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68"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addition, the U.S. House of Representatives has passed the BIOSECURE Act and the Senate has advanced a substantially similar bill, which legislation, if passed and enacted into law, would have the potential to restrict the ability of U.S. biopharmaceutical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17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81" w:lineRule="exact"/>
        <w:rPr>
          <w:sz w:val="20"/>
          <w:szCs w:val="20"/>
          <w:color w:val="auto"/>
        </w:rPr>
      </w:pPr>
    </w:p>
    <w:p>
      <w:pPr>
        <w:ind w:left="1020" w:right="100" w:hanging="503"/>
        <w:spacing w:after="0" w:line="255"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80"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75"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80"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1" w:name="page62"/>
    <w:bookmarkEnd w:id="61"/>
    <w:p>
      <w:pPr>
        <w:ind w:left="1020" w:right="240"/>
        <w:spacing w:after="0" w:line="266" w:lineRule="auto"/>
        <w:rPr>
          <w:sz w:val="20"/>
          <w:szCs w:val="20"/>
          <w:color w:val="auto"/>
        </w:rPr>
      </w:pPr>
      <w:r>
        <w:rPr>
          <w:rFonts w:ascii="Times New Roman" w:cs="Times New Roman" w:eastAsia="Times New Roman" w:hAnsi="Times New Roman"/>
          <w:sz w:val="18"/>
          <w:szCs w:val="18"/>
          <w:color w:val="auto"/>
        </w:rPr>
        <w:t>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68" w:lineRule="exact"/>
        <w:rPr>
          <w:sz w:val="20"/>
          <w:szCs w:val="20"/>
          <w:color w:val="auto"/>
        </w:rPr>
      </w:pPr>
    </w:p>
    <w:p>
      <w:pPr>
        <w:ind w:left="1020" w:right="2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chronic HBV infection and MASH programs, we do not own or in-license any issued patents with claims that specifically recite our ALG-097558 or ALG-125755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2" w:name="page63"/>
    <w:bookmarkEnd w:id="62"/>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3" w:name="page64"/>
    <w:bookmarkEnd w:id="63"/>
    <w:p>
      <w:pPr>
        <w:ind w:right="480"/>
        <w:spacing w:after="0" w:line="282" w:lineRule="auto"/>
        <w:rPr>
          <w:sz w:val="20"/>
          <w:szCs w:val="20"/>
          <w:color w:val="auto"/>
        </w:rPr>
      </w:pPr>
      <w:r>
        <w:rPr>
          <w:rFonts w:ascii="Times New Roman" w:cs="Times New Roman" w:eastAsia="Times New Roman" w:hAnsi="Times New Roman"/>
          <w:sz w:val="18"/>
          <w:szCs w:val="18"/>
          <w:color w:val="auto"/>
        </w:rPr>
        <w:t>order to enforce such patents against third parties, and such cooperation may not be provided to us. Any of the foregoing could harm our competitive position, business, financial condition, results of operations and prospects.</w:t>
      </w:r>
    </w:p>
    <w:p>
      <w:pPr>
        <w:spacing w:after="0" w:line="15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chronic HBV infection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4" w:name="page65"/>
    <w:bookmarkEnd w:id="64"/>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80"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68"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technology and processes of one party infringe intellectual property of the other party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sublicense patent and other rights to third parties;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transfer or assign the license;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termination.</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2024, previously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at all, our business could be harmed.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spacing w:after="0" w:line="255" w:lineRule="auto"/>
        <w:rPr>
          <w:sz w:val="20"/>
          <w:szCs w:val="20"/>
          <w:color w:val="auto"/>
        </w:rPr>
      </w:pPr>
      <w:r>
        <w:rPr>
          <w:rFonts w:ascii="Times New Roman" w:cs="Times New Roman" w:eastAsia="Times New Roman" w:hAnsi="Times New Roman"/>
          <w:sz w:val="18"/>
          <w:szCs w:val="18"/>
          <w:color w:val="auto"/>
        </w:rPr>
        <w:t>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2024, previously filed with the SEC. Any of the foregoing could harm our competitive position, business, financial condition, results of operations and prospects.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89" w:lineRule="exact"/>
        <w:rPr>
          <w:sz w:val="20"/>
          <w:szCs w:val="20"/>
          <w:color w:val="auto"/>
        </w:rPr>
      </w:pPr>
    </w:p>
    <w:p>
      <w:pPr>
        <w:ind w:right="60" w:firstLine="509"/>
        <w:spacing w:after="0" w:line="219" w:lineRule="exact"/>
        <w:rPr>
          <w:sz w:val="20"/>
          <w:szCs w:val="20"/>
          <w:color w:val="auto"/>
        </w:rPr>
      </w:pPr>
      <w:r>
        <w:rPr>
          <w:rFonts w:ascii="Times New Roman" w:cs="Times New Roman" w:eastAsia="Times New Roman" w:hAnsi="Times New Roman"/>
          <w:sz w:val="18"/>
          <w:szCs w:val="18"/>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9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establish our competitive position on our drug candidates for an adequate amount of time.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drug candidates, one or more of our owned or licensed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patents may be eligible for limited patent term extension under the Hatch-Waxman Act, and similar legislation in the EU and certain other countries.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Hatch-Waxman Act permits a patent term extension of up to five years for a patent covering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6" w:name="page67"/>
    <w:bookmarkEnd w:id="66"/>
    <w:p>
      <w:pPr>
        <w:ind w:right="20"/>
        <w:spacing w:after="0" w:line="253" w:lineRule="auto"/>
        <w:rPr>
          <w:sz w:val="20"/>
          <w:szCs w:val="20"/>
          <w:color w:val="auto"/>
        </w:rPr>
      </w:pPr>
      <w:r>
        <w:rPr>
          <w:rFonts w:ascii="Times New Roman" w:cs="Times New Roman" w:eastAsia="Times New Roman" w:hAnsi="Times New Roman"/>
          <w:sz w:val="18"/>
          <w:szCs w:val="18"/>
          <w:color w:val="auto"/>
        </w:rPr>
        <w:t>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spacing w:after="0" w:line="8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Moreover, geo-political actions in the U.S. and in foreign countries could increase the uncertainties and costs surrounding the prosecution or maintenance of our patent applications or those of any current or future licensors and the maintenance, enforcement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7" w:name="page68"/>
    <w:bookmarkEnd w:id="67"/>
    <w:p>
      <w:pPr>
        <w:spacing w:after="0" w:line="255" w:lineRule="auto"/>
        <w:rPr>
          <w:sz w:val="20"/>
          <w:szCs w:val="20"/>
          <w:color w:val="auto"/>
        </w:rPr>
      </w:pPr>
      <w:r>
        <w:rPr>
          <w:rFonts w:ascii="Times New Roman" w:cs="Times New Roman" w:eastAsia="Times New Roman" w:hAnsi="Times New Roman"/>
          <w:sz w:val="18"/>
          <w:szCs w:val="18"/>
          <w:color w:val="auto"/>
        </w:rPr>
        <w:t>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drug candidates.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8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1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8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8" w:name="page69"/>
    <w:bookmarkEnd w:id="68"/>
    <w:p>
      <w:pPr>
        <w:ind w:right="20"/>
        <w:spacing w:after="0" w:line="254" w:lineRule="auto"/>
        <w:rPr>
          <w:sz w:val="20"/>
          <w:szCs w:val="20"/>
          <w:color w:val="auto"/>
        </w:rPr>
      </w:pPr>
      <w:r>
        <w:rPr>
          <w:rFonts w:ascii="Times New Roman" w:cs="Times New Roman" w:eastAsia="Times New Roman" w:hAnsi="Times New Roman"/>
          <w:sz w:val="18"/>
          <w:szCs w:val="18"/>
          <w:color w:val="auto"/>
        </w:rPr>
        <w:t>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9" w:name="page70"/>
    <w:bookmarkEnd w:id="69"/>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3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directed to such intellectual property.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operational, financial and management controls, reporting systems and procedures.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1" w:name="page72"/>
    <w:bookmarkEnd w:id="71"/>
    <w:p>
      <w:pPr>
        <w:spacing w:after="0" w:line="266" w:lineRule="auto"/>
        <w:rPr>
          <w:sz w:val="20"/>
          <w:szCs w:val="20"/>
          <w:color w:val="auto"/>
        </w:rPr>
      </w:pPr>
      <w:r>
        <w:rPr>
          <w:rFonts w:ascii="Times New Roman" w:cs="Times New Roman" w:eastAsia="Times New Roman" w:hAnsi="Times New Roman"/>
          <w:sz w:val="18"/>
          <w:szCs w:val="18"/>
          <w:color w:val="auto"/>
        </w:rPr>
        <w:t>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18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2" w:name="page73"/>
    <w:bookmarkEnd w:id="72"/>
    <w:p>
      <w:pPr>
        <w:ind w:right="40"/>
        <w:spacing w:after="0" w:line="256" w:lineRule="auto"/>
        <w:rPr>
          <w:sz w:val="20"/>
          <w:szCs w:val="20"/>
          <w:color w:val="auto"/>
        </w:rPr>
      </w:pPr>
      <w:r>
        <w:rPr>
          <w:rFonts w:ascii="Times New Roman" w:cs="Times New Roman" w:eastAsia="Times New Roman" w:hAnsi="Times New Roman"/>
          <w:sz w:val="18"/>
          <w:szCs w:val="18"/>
          <w:color w:val="auto"/>
        </w:rPr>
        <w:t>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investors.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8"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nonclinical studies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drug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public health pandemics or epidemics;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In the absence of an active trading market common stock, investors may not be able to sell their common stock at a price or at the time that they would like to sell.</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i.e., December 31, 2025,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75"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6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2025, our executive officers, directors and their affiliates beneficially own, in the aggregate, approximately 57% of our outstanding common stock (assuming all shares of non-voting common stock are converted into voting common stock in accordance with the terms of our amended and restated certificate of incorporation), and 26% of our outstanding common stock (assuming all shares of non-voting common stock are converted to voting common stock and all pre-funded warrants are exercised in full on a cash exercise basis). In addition, in our October 2023 and February 2025 private placements, certain of the holders of 5% or more of our capital stock acquired pre-funded warrants to purchase shares of our common stock (which are immediately exercisable and have an exercise price of $0.0025 and $0.0001 per share, respectively) and common warrants to purchase shares of our common stock (which are immediately exercisable and have an exercise price of $18.92 and $26.02 per share, respectively).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79"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4" w:name="page75"/>
    <w:bookmarkEnd w:id="74"/>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March 31, 2025, we had 800,000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Exchange Act), and may not be subject to the short-swing profit provisions of Section 16(b) of the Exchange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approximately 1.6 million shares of common stock that are either subject to outstanding options or RSUs or reserved for future issuance under our equity incentive plans, and excluding all outstanding pre-funded warrants,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the holders of approximately 6.1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2023 and determined there was an ownership change that resulted in Section 382 limitations. The ownership change limited our ability to utilize NOLs against future taxable income but will not result in the expiration of any NOLs. We also performed a Code Section 382 analysis in 2025 but determined there was no ownership change that resulted in any limitations.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w:t>
      </w:r>
    </w:p>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5" w:name="page76"/>
    <w:bookmarkEnd w:id="75"/>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for our fiscal year ended December 31, 2024. When we lose our status as an “emerging growth company,” our independent registered public accounting firm may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54" w:lineRule="exact"/>
        <w:rPr>
          <w:sz w:val="20"/>
          <w:szCs w:val="20"/>
          <w:color w:val="auto"/>
        </w:rPr>
      </w:pPr>
    </w:p>
    <w:p>
      <w:pPr>
        <w:ind w:left="1020" w:right="28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68"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6" w:name="page77"/>
    <w:bookmarkEnd w:id="76"/>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5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54" w:lineRule="exact"/>
        <w:rPr>
          <w:sz w:val="20"/>
          <w:szCs w:val="20"/>
          <w:color w:val="auto"/>
        </w:rPr>
      </w:pPr>
    </w:p>
    <w:p>
      <w:pPr>
        <w:ind w:left="1020" w:right="120" w:hanging="503"/>
        <w:spacing w:after="0" w:line="26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20" w:right="200" w:hanging="503"/>
        <w:spacing w:after="0" w:line="312" w:lineRule="auto"/>
        <w:tabs>
          <w:tab w:leader="none" w:pos="10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revenue from customer and collaboration agreements, and warrants. We will be required to seek additional funding in the future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18"/>
          <w:szCs w:val="18"/>
          <w:color w:val="auto"/>
        </w:rPr>
        <w:t>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5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(collectively, Trade Laws), prohibit, among other matters, companies and their employees, agents, clinical research organizations,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8" w:name="page79"/>
    <w:bookmarkEnd w:id="78"/>
    <w:p>
      <w:pPr>
        <w:ind w:right="80"/>
        <w:spacing w:after="0" w:line="254" w:lineRule="auto"/>
        <w:rPr>
          <w:sz w:val="20"/>
          <w:szCs w:val="20"/>
          <w:color w:val="auto"/>
        </w:rPr>
      </w:pPr>
      <w:r>
        <w:rPr>
          <w:rFonts w:ascii="Times New Roman" w:cs="Times New Roman" w:eastAsia="Times New Roman" w:hAnsi="Times New Roman"/>
          <w:sz w:val="18"/>
          <w:szCs w:val="18"/>
          <w:color w:val="auto"/>
        </w:rPr>
        <w:t>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188"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9" w:name="page80"/>
    <w:bookmarkEnd w:id="79"/>
    <w:p>
      <w:pPr>
        <w:ind w:right="240"/>
        <w:spacing w:after="0" w:line="258" w:lineRule="auto"/>
        <w:rPr>
          <w:sz w:val="20"/>
          <w:szCs w:val="20"/>
          <w:color w:val="auto"/>
        </w:rPr>
      </w:pPr>
      <w:r>
        <w:rPr>
          <w:rFonts w:ascii="Times New Roman" w:cs="Times New Roman" w:eastAsia="Times New Roman" w:hAnsi="Times New Roman"/>
          <w:sz w:val="18"/>
          <w:szCs w:val="18"/>
          <w:color w:val="auto"/>
        </w:rPr>
        <w:t>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8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5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16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0" w:name="page81"/>
    <w:bookmarkEnd w:id="80"/>
    <w:p>
      <w:pPr>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tax obligations and effective tax rate, which could materially and adversely affect our results of operations.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p>
    <w:p>
      <w:pPr>
        <w:spacing w:after="0" w:line="67"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and February 2025, we closed private placements which included the sale of pre-funded warrants and common warrants to purchase shares of our common stock. If we issue common stock or securities convertible into common stock, our common stockholders would experience additional dilution, such dilutive impact may be difficult to compute, and our stock price may decline.</w:t>
      </w:r>
    </w:p>
    <w:p>
      <w:pPr>
        <w:spacing w:after="0" w:line="18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right="100" w:firstLine="509"/>
        <w:spacing w:after="0" w:line="26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1" w:name="page82"/>
    <w:bookmarkEnd w:id="8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January 2024, two investors net exercised their 2023 Pre-Funded Warrants to purchase an aggregate of 146,484 shares of Common stock and were issued 146,468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purchasers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none of our directors or officers (as defined in Rule 16a-1(f) under the Securities Exchange Act of 1934, as amended) adopted, modified or terminated a “Rule 10b5-1 (c) trading arrangement” or a “non-Rule 10b5-1 trading arrangement”, as each term is defined in Item 408(a) of Regulation S-K.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5"/>
                <w:szCs w:val="15"/>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Provided</w:t>
            </w:r>
          </w:p>
        </w:tc>
      </w:tr>
      <w:tr>
        <w:trPr>
          <w:trHeight w:val="142"/>
        </w:trPr>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5940" w:type="dxa"/>
            <w:vAlign w:val="bottom"/>
            <w:tcBorders>
              <w:bottom w:val="single" w:sz="8" w:color="auto"/>
            </w:tcBorders>
          </w:tcPr>
          <w:p>
            <w:pPr>
              <w:ind w:left="2380"/>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58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2"/>
                <w:szCs w:val="12"/>
                <w:color w:val="auto"/>
              </w:rPr>
            </w:pPr>
          </w:p>
        </w:tc>
        <w:tc>
          <w:tcPr>
            <w:tcW w:w="82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08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Herewith</w:t>
            </w:r>
          </w:p>
        </w:tc>
      </w:tr>
    </w:tbl>
    <w:p>
      <w:pPr>
        <w:spacing w:after="0" w:line="90" w:lineRule="exact"/>
        <w:rPr>
          <w:sz w:val="20"/>
          <w:szCs w:val="20"/>
          <w:color w:val="auto"/>
        </w:rPr>
      </w:pPr>
    </w:p>
    <w:p>
      <w:pPr>
        <w:sectPr>
          <w:pgSz w:w="11900" w:h="16838" w:orient="portrait"/>
          <w:cols w:equalWidth="0" w:num="1">
            <w:col w:w="11240"/>
          </w:cols>
          <w:pgMar w:left="320" w:top="1008"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9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Certificate of Amendment to Amended and Restated Certificate of Incorporation.</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3.1(c)</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Certificate of Amendment to Amended and Restated Certificate of Incorporation.</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9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920" w:type="dxa"/>
            <w:vAlign w:val="bottom"/>
            <w:gridSpan w:val="2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204">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(a), </w:t>
            </w:r>
            <w:hyperlink r:id="rId205">
              <w:r>
                <w:rPr>
                  <w:rFonts w:ascii="Times New Roman" w:cs="Times New Roman" w:eastAsia="Times New Roman" w:hAnsi="Times New Roman"/>
                  <w:sz w:val="18"/>
                  <w:szCs w:val="18"/>
                  <w:color w:val="0000FF"/>
                </w:rPr>
                <w:t>3.1(b)</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207">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of Common Stock Certificate.</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2023 Common Warrant Agreement</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2023 Pre-Funded Warrant Agreement</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2025 Common Warrant Agreement</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2025 Pre-Funded Warrant Agreement</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92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Non-Employee Director Compensation Program</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Securities Purchase Agreement, dated February 11, 2025, by and among the</w:t>
              </w:r>
            </w:hyperlink>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5920" w:type="dxa"/>
            <w:vAlign w:val="bottom"/>
            <w:gridSpan w:val="21"/>
            <w:vMerge w:val="restart"/>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Company and the investors party thereto.</w:t>
              </w:r>
            </w:hyperlink>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592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Registration Rights Agreement, dated February 13, 2025, by and among the</w:t>
              </w:r>
            </w:hyperlink>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5920" w:type="dxa"/>
            <w:vAlign w:val="bottom"/>
            <w:gridSpan w:val="21"/>
            <w:vMerge w:val="restart"/>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Company and the investors party thereto.</w:t>
              </w:r>
            </w:hyperlink>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592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Lead Investor Registration Rights Agreement, by and among the Company and</w:t>
              </w:r>
            </w:hyperlink>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5920" w:type="dxa"/>
            <w:vAlign w:val="bottom"/>
            <w:gridSpan w:val="21"/>
            <w:vMerge w:val="restart"/>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the investors party thereto.</w:t>
              </w:r>
            </w:hyperlink>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592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920" w:type="dxa"/>
            <w:vAlign w:val="bottom"/>
            <w:gridSpan w:val="21"/>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Letter Agreement, by and among the Company and the investors party thereto.</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7"/>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7"/>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14(a) under the Securities Exchange Act of 1934, as Adopted Pursuant to Section</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80" w:type="dxa"/>
            <w:vAlign w:val="bottom"/>
            <w:tcBorders>
              <w:right w:val="single" w:sz="8" w:color="0000FF"/>
            </w:tcBorders>
            <w:gridSpan w:val="7"/>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7"/>
            <w:shd w:val="clear" w:color="auto" w:fill="0000FF"/>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720" w:type="dxa"/>
            <w:vAlign w:val="bottom"/>
            <w:gridSpan w:val="13"/>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14(a) under the Securities Exchange Act of 1934, as Adopted Pursuant to Section</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720" w:type="dxa"/>
            <w:vAlign w:val="bottom"/>
            <w:gridSpan w:val="13"/>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7"/>
            <w:shd w:val="clear" w:color="auto" w:fill="0000FF"/>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720" w:type="dxa"/>
            <w:vAlign w:val="bottom"/>
            <w:gridSpan w:val="13"/>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3720" w:type="dxa"/>
            <w:vAlign w:val="bottom"/>
            <w:gridSpan w:val="13"/>
            <w:shd w:val="clear" w:color="auto" w:fill="0000EE"/>
          </w:tcPr>
          <w:p>
            <w:pPr>
              <w:spacing w:after="0" w:line="20" w:lineRule="exact"/>
              <w:rPr>
                <w:sz w:val="1"/>
                <w:szCs w:val="1"/>
                <w:color w:val="auto"/>
              </w:rPr>
            </w:pPr>
          </w:p>
        </w:tc>
        <w:tc>
          <w:tcPr>
            <w:tcW w:w="1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720" w:type="dxa"/>
            <w:vAlign w:val="bottom"/>
            <w:gridSpan w:val="13"/>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3720" w:type="dxa"/>
            <w:vAlign w:val="bottom"/>
            <w:gridSpan w:val="13"/>
            <w:shd w:val="clear" w:color="auto" w:fill="0000EE"/>
          </w:tcPr>
          <w:p>
            <w:pPr>
              <w:spacing w:after="0" w:line="20" w:lineRule="exact"/>
              <w:rPr>
                <w:sz w:val="1"/>
                <w:szCs w:val="1"/>
                <w:color w:val="auto"/>
              </w:rPr>
            </w:pPr>
          </w:p>
        </w:tc>
        <w:tc>
          <w:tcPr>
            <w:tcW w:w="13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40" w:right="420" w:hanging="1032"/>
        <w:spacing w:after="0" w:line="184" w:lineRule="auto"/>
        <w:tabs>
          <w:tab w:leader="none" w:pos="1040" w:val="left"/>
        </w:tabs>
        <w:numPr>
          <w:ilvl w:val="0"/>
          <w:numId w:val="5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cover page from the Company’s Quarterly Report on Form 10-Q for the quarter ended March 31, 2025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10/20/2020</w:t>
            </w:r>
          </w:p>
        </w:tc>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3.1</w:t>
            </w:r>
          </w:p>
        </w:tc>
      </w:tr>
      <w:tr>
        <w:trPr>
          <w:trHeight w:val="338"/>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3.1</w:t>
            </w:r>
          </w:p>
        </w:tc>
      </w:tr>
      <w:tr>
        <w:trPr>
          <w:trHeight w:val="338"/>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8/19/2024</w:t>
            </w:r>
          </w:p>
        </w:tc>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3.1</w:t>
            </w:r>
          </w:p>
        </w:tc>
      </w:tr>
      <w:tr>
        <w:trPr>
          <w:trHeight w:val="432"/>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10/20/2020</w:t>
            </w:r>
          </w:p>
        </w:tc>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3.2</w:t>
            </w:r>
          </w:p>
        </w:tc>
      </w:tr>
      <w:tr>
        <w:trPr>
          <w:trHeight w:val="675"/>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4.2</w:t>
            </w:r>
          </w:p>
        </w:tc>
      </w:tr>
      <w:tr>
        <w:trPr>
          <w:trHeight w:val="338"/>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10/25/2023</w:t>
            </w:r>
          </w:p>
        </w:tc>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4.2</w:t>
            </w:r>
          </w:p>
        </w:tc>
      </w:tr>
      <w:tr>
        <w:trPr>
          <w:trHeight w:val="338"/>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10/25/2023</w:t>
            </w:r>
          </w:p>
        </w:tc>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4.1</w:t>
            </w:r>
          </w:p>
        </w:tc>
      </w:tr>
      <w:tr>
        <w:trPr>
          <w:trHeight w:val="338"/>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2/12/2025</w:t>
            </w:r>
          </w:p>
        </w:tc>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4.2</w:t>
            </w:r>
          </w:p>
        </w:tc>
      </w:tr>
      <w:tr>
        <w:trPr>
          <w:trHeight w:val="338"/>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2/12/2025</w:t>
            </w:r>
          </w:p>
        </w:tc>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4.1</w:t>
            </w:r>
          </w:p>
        </w:tc>
      </w:tr>
      <w:tr>
        <w:trPr>
          <w:trHeight w:val="338"/>
        </w:trPr>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76"/>
              </w:rPr>
              <w:t>X</w:t>
            </w:r>
          </w:p>
        </w:tc>
      </w:tr>
      <w:tr>
        <w:trPr>
          <w:trHeight w:val="446"/>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2/12/2025</w:t>
            </w:r>
          </w:p>
        </w:tc>
        <w:tc>
          <w:tcPr>
            <w:tcW w:w="1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10.1</w:t>
            </w:r>
          </w:p>
        </w:tc>
      </w:tr>
      <w:tr>
        <w:trPr>
          <w:trHeight w:val="553"/>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3/10/2025</w:t>
            </w:r>
          </w:p>
        </w:tc>
        <w:tc>
          <w:tcPr>
            <w:tcW w:w="1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553"/>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3/10/2025</w:t>
            </w:r>
          </w:p>
        </w:tc>
        <w:tc>
          <w:tcPr>
            <w:tcW w:w="1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10.19</w:t>
            </w:r>
          </w:p>
        </w:tc>
      </w:tr>
      <w:tr>
        <w:trPr>
          <w:trHeight w:val="445"/>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3/10/2025</w:t>
            </w:r>
          </w:p>
        </w:tc>
        <w:tc>
          <w:tcPr>
            <w:tcW w:w="1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10.20</w:t>
            </w:r>
          </w:p>
        </w:tc>
      </w:tr>
    </w:tbl>
    <w:p>
      <w:pPr>
        <w:spacing w:after="0" w:line="200" w:lineRule="exact"/>
        <w:rPr>
          <w:sz w:val="20"/>
          <w:szCs w:val="20"/>
          <w:color w:val="auto"/>
        </w:rPr>
      </w:pPr>
    </w:p>
    <w:p>
      <w:pPr>
        <w:spacing w:after="0" w:line="335"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X</w:t>
      </w:r>
    </w:p>
    <w:p>
      <w:pPr>
        <w:spacing w:after="0" w:line="320"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X</w:t>
      </w:r>
    </w:p>
    <w:p>
      <w:pPr>
        <w:spacing w:after="0" w:line="320"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X</w:t>
      </w:r>
    </w:p>
    <w:p>
      <w:pPr>
        <w:spacing w:after="0" w:line="104"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X</w:t>
      </w:r>
    </w:p>
    <w:p>
      <w:pPr>
        <w:spacing w:after="0" w:line="104"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X</w:t>
      </w:r>
    </w:p>
    <w:p>
      <w:pPr>
        <w:spacing w:after="0" w:line="334" w:lineRule="exact"/>
        <w:rPr>
          <w:sz w:val="20"/>
          <w:szCs w:val="20"/>
          <w:color w:val="auto"/>
        </w:rPr>
      </w:pPr>
    </w:p>
    <w:p>
      <w:pPr>
        <w:sectPr>
          <w:pgSz w:w="11900" w:h="16838" w:orient="portrait"/>
          <w:cols w:equalWidth="0" w:num="2">
            <w:col w:w="6980" w:space="280"/>
            <w:col w:w="3980"/>
          </w:cols>
          <w:pgMar w:left="320" w:top="100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83" w:name="page84"/>
    <w:bookmarkEnd w:id="83"/>
    <w:p>
      <w:pPr>
        <w:jc w:val="both"/>
        <w:ind w:left="-20" w:firstLine="517"/>
        <w:spacing w:after="0" w:line="261" w:lineRule="auto"/>
        <w:tabs>
          <w:tab w:leader="none" w:pos="6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20" w:right="3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ALIGOS THERAPEUTICS, INC.</w:t>
      </w:r>
    </w:p>
    <w:p>
      <w:pPr>
        <w:spacing w:after="0" w:line="225" w:lineRule="exact"/>
        <w:rPr>
          <w:sz w:val="20"/>
          <w:szCs w:val="20"/>
          <w:color w:val="auto"/>
        </w:rPr>
      </w:pPr>
    </w:p>
    <w:p>
      <w:pPr>
        <w:spacing w:after="0"/>
        <w:tabs>
          <w:tab w:leader="none" w:pos="5600" w:val="left"/>
          <w:tab w:leader="none" w:pos="794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Lawrence Blatt, Ph.D.</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07" w:lineRule="exact"/>
        <w:rPr>
          <w:sz w:val="20"/>
          <w:szCs w:val="20"/>
          <w:color w:val="auto"/>
        </w:rPr>
      </w:pPr>
    </w:p>
    <w:p>
      <w:pPr>
        <w:spacing w:after="0"/>
        <w:tabs>
          <w:tab w:leader="none" w:pos="5600" w:val="left"/>
          <w:tab w:leader="none" w:pos="774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Operating Officer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5" w:name="page86"/>
    <w:bookmarkEnd w:id="85"/>
    <w:p>
      <w:pPr>
        <w:ind w:left="10180"/>
        <w:spacing w:after="0"/>
        <w:rPr>
          <w:sz w:val="20"/>
          <w:szCs w:val="20"/>
          <w:color w:val="auto"/>
        </w:rPr>
      </w:pPr>
      <w:r>
        <w:rPr>
          <w:rFonts w:ascii="Times New Roman" w:cs="Times New Roman" w:eastAsia="Times New Roman" w:hAnsi="Times New Roman"/>
          <w:sz w:val="21"/>
          <w:szCs w:val="21"/>
          <w:color w:val="auto"/>
        </w:rPr>
        <w:t>Exhibit 10.1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ALIGOS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Effective: April 16, 2025)</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Aligos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has been adopted under the Company’s 2020 Incentive Award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has been amended as of April 16, 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not otherwise defined herein shall have the meaning ascribed in the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Cash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as of the Effective Date, annual retainers will be paid in the following amounts to Non-Employee Directors: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312"/>
        </w:trPr>
        <w:tc>
          <w:tcPr>
            <w:tcW w:w="90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Non-Employee Director:</w:t>
            </w:r>
          </w:p>
        </w:tc>
        <w:tc>
          <w:tcPr>
            <w:tcW w:w="22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$40,000</w:t>
            </w:r>
          </w:p>
        </w:tc>
      </w:tr>
      <w:tr>
        <w:trPr>
          <w:trHeight w:val="25"/>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92"/>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Non-Executive 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$30,000</w:t>
            </w:r>
          </w:p>
        </w:tc>
      </w:tr>
      <w:tr>
        <w:trPr>
          <w:trHeight w:val="28"/>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Audit Committee 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$20,000</w:t>
            </w:r>
          </w:p>
        </w:tc>
      </w:tr>
      <w:tr>
        <w:trPr>
          <w:trHeight w:val="28"/>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$12,000</w:t>
            </w:r>
          </w:p>
        </w:tc>
      </w:tr>
      <w:tr>
        <w:trPr>
          <w:trHeight w:val="28"/>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$10,000</w:t>
            </w:r>
          </w:p>
        </w:tc>
      </w:tr>
      <w:tr>
        <w:trPr>
          <w:trHeight w:val="28"/>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Audit Committee Member (non-Chair):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$7,500</w:t>
            </w:r>
          </w:p>
        </w:tc>
      </w:tr>
      <w:tr>
        <w:trPr>
          <w:trHeight w:val="28"/>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Compensation Committee Member (non-Chair):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$6,000</w:t>
            </w:r>
          </w:p>
        </w:tc>
      </w:tr>
      <w:tr>
        <w:trPr>
          <w:trHeight w:val="29"/>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Nominating and Corporate Governance Committee Member (non-Chair):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$5,000</w:t>
            </w:r>
          </w:p>
        </w:tc>
      </w:tr>
      <w:tr>
        <w:trPr>
          <w:trHeight w:val="29"/>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All annual retainers will be paid in cash quarterly in arrears promptly following the end of the applicable calendar quarter, but in no event more than 30 days after the end of such quarter.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ectPr>
          <w:pgSz w:w="11900" w:h="16838" w:orient="portrait"/>
          <w:cols w:equalWidth="0" w:num="1">
            <w:col w:w="11240"/>
          </w:cols>
          <w:pgMar w:left="320" w:top="760"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Equity Compensation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Initial Stock Option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Each Non-Employee Director who is initially elected or appointed to serve on the Board after the Effective Date shall be granted an Option under the Plan or any other applicable Company equity incentive plan then-maintained by the Company to purchase 11,720 shares of Common Stock (the “</w:t>
      </w:r>
      <w:r>
        <w:rPr>
          <w:rFonts w:ascii="Times New Roman" w:cs="Times New Roman" w:eastAsia="Times New Roman" w:hAnsi="Times New Roman"/>
          <w:sz w:val="22"/>
          <w:szCs w:val="22"/>
          <w:b w:val="1"/>
          <w:bCs w:val="1"/>
          <w:i w:val="1"/>
          <w:iCs w:val="1"/>
          <w:color w:val="auto"/>
        </w:rPr>
        <w:t>Initial Option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22"/>
          <w:szCs w:val="22"/>
          <w:color w:val="auto"/>
        </w:rPr>
        <w:t>The Initial Option will be automatically granted on the date on which such Non-Employee Director commences service on the Board, and will vest as to 1/36th of the shares subject thereto on each monthly anniversary of the applicable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890905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060" w:space="720"/>
            <w:col w:w="7460"/>
          </w:cols>
          <w:pgMar w:left="320" w:top="760" w:right="339" w:bottom="1440" w:gutter="0" w:footer="0" w:header="0"/>
          <w:type w:val="continuous"/>
        </w:sectPr>
      </w:pPr>
    </w:p>
    <w:bookmarkStart w:id="86" w:name="page87"/>
    <w:bookmarkEnd w:id="86"/>
    <w:p>
      <w:pPr>
        <w:ind w:left="3780" w:right="300"/>
        <w:spacing w:after="0" w:line="259" w:lineRule="auto"/>
        <w:rPr>
          <w:sz w:val="20"/>
          <w:szCs w:val="20"/>
          <w:color w:val="auto"/>
        </w:rPr>
      </w:pPr>
      <w:r>
        <w:rPr>
          <w:rFonts w:ascii="Times New Roman" w:cs="Times New Roman" w:eastAsia="Times New Roman" w:hAnsi="Times New Roman"/>
          <w:sz w:val="21"/>
          <w:szCs w:val="21"/>
          <w:color w:val="auto"/>
        </w:rPr>
        <w:t>such that the shares subject to the Initial Option are fully vested on the third anniversary of the grant, in each case, subject to the Non-Employee Director continuing to provide services to the Company through the applicable vesting date.</w:t>
      </w:r>
    </w:p>
    <w:p>
      <w:pPr>
        <w:sectPr>
          <w:pgSz w:w="11900" w:h="16838" w:orient="portrait"/>
          <w:cols w:equalWidth="0" w:num="1">
            <w:col w:w="11240"/>
          </w:cols>
          <w:pgMar w:left="320" w:top="1435" w:right="339" w:bottom="1440" w:gutter="0" w:footer="0" w:header="0"/>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Annual Stock Option Grant:</w:t>
      </w:r>
    </w:p>
    <w:p>
      <w:pPr>
        <w:spacing w:after="0" w:line="20" w:lineRule="exact"/>
        <w:rPr>
          <w:sz w:val="20"/>
          <w:szCs w:val="20"/>
          <w:color w:val="auto"/>
        </w:rPr>
      </w:pPr>
      <w:r>
        <w:rPr>
          <w:sz w:val="20"/>
          <w:szCs w:val="20"/>
          <w:color w:val="auto"/>
        </w:rPr>
        <w:br w:type="column"/>
      </w:r>
    </w:p>
    <w:p>
      <w:pPr>
        <w:jc w:val="both"/>
        <w:ind w:right="100"/>
        <w:spacing w:after="0" w:line="236" w:lineRule="auto"/>
        <w:rPr>
          <w:sz w:val="20"/>
          <w:szCs w:val="20"/>
          <w:color w:val="auto"/>
        </w:rPr>
      </w:pPr>
      <w:r>
        <w:rPr>
          <w:rFonts w:ascii="Times New Roman" w:cs="Times New Roman" w:eastAsia="Times New Roman" w:hAnsi="Times New Roman"/>
          <w:sz w:val="22"/>
          <w:szCs w:val="22"/>
          <w:color w:val="auto"/>
        </w:rPr>
        <w:t>Each Non-Employee Director who (i) has been serving on the Board for at least four months as of each meeting of the Company’s stockholders (each, an “</w:t>
      </w:r>
      <w:r>
        <w:rPr>
          <w:rFonts w:ascii="Times New Roman" w:cs="Times New Roman" w:eastAsia="Times New Roman" w:hAnsi="Times New Roman"/>
          <w:sz w:val="22"/>
          <w:szCs w:val="22"/>
          <w:b w:val="1"/>
          <w:bCs w:val="1"/>
          <w:i w:val="1"/>
          <w:i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Meeting</w:t>
      </w:r>
      <w:r>
        <w:rPr>
          <w:rFonts w:ascii="Times New Roman" w:cs="Times New Roman" w:eastAsia="Times New Roman" w:hAnsi="Times New Roman"/>
          <w:sz w:val="22"/>
          <w:szCs w:val="22"/>
          <w:color w:val="auto"/>
        </w:rPr>
        <w:t>”) and (ii) will continue to serve as a Non-Employee Director immediately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following such meeting, shall be granted an Option under the Plan or any other applicable Company equity incentive plan then-maintained by the Company to purchase 5,860 shares of Common Stock (the “</w:t>
      </w:r>
      <w:r>
        <w:rPr>
          <w:rFonts w:ascii="Times New Roman" w:cs="Times New Roman" w:eastAsia="Times New Roman" w:hAnsi="Times New Roman"/>
          <w:sz w:val="22"/>
          <w:szCs w:val="22"/>
          <w:b w:val="1"/>
          <w:bCs w:val="1"/>
          <w:i w:val="1"/>
          <w:iCs w:val="1"/>
          <w:color w:val="auto"/>
        </w:rPr>
        <w:t>Annual Option</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sectPr>
          <w:pgSz w:w="11900" w:h="16838" w:orient="portrait"/>
          <w:cols w:equalWidth="0" w:num="2">
            <w:col w:w="3060" w:space="720"/>
            <w:col w:w="7460"/>
          </w:cols>
          <w:pgMar w:left="320" w:top="1435" w:right="339" w:bottom="1440" w:gutter="0" w:footer="0" w:header="0"/>
          <w:type w:val="continuous"/>
        </w:sectPr>
      </w:pPr>
    </w:p>
    <w:p>
      <w:pPr>
        <w:ind w:left="3780" w:right="220"/>
        <w:spacing w:after="0" w:line="238" w:lineRule="auto"/>
        <w:rPr>
          <w:sz w:val="20"/>
          <w:szCs w:val="20"/>
          <w:color w:val="auto"/>
        </w:rPr>
      </w:pPr>
      <w:r>
        <w:rPr>
          <w:rFonts w:ascii="Times New Roman" w:cs="Times New Roman" w:eastAsia="Times New Roman" w:hAnsi="Times New Roman"/>
          <w:sz w:val="22"/>
          <w:szCs w:val="22"/>
          <w:color w:val="auto"/>
        </w:rPr>
        <w:t>The Annual Option will be automatically granted on the date of the applicable Annual Meeting, and will vest in full on the earlier of (i) the first anniversary of the date of grant and (ii) immediately prior to the Annual Meeting following the date of grant, subject to the Non-Employee Director continuing to provide services to the Company through such vesting date.</w:t>
      </w:r>
    </w:p>
    <w:p>
      <w:pPr>
        <w:sectPr>
          <w:pgSz w:w="11900" w:h="16838" w:orient="portrait"/>
          <w:cols w:equalWidth="0" w:num="1">
            <w:col w:w="11240"/>
          </w:cols>
          <w:pgMar w:left="320" w:top="1435" w:right="339" w:bottom="1440" w:gutter="0" w:footer="0" w:header="0"/>
          <w:type w:val="continuous"/>
        </w:sect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The per share exercise price of each Option granted to a Non-Employee Director shall equal the Fair Market Value of a share of Common Stock on the date the Option is granted.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 of each Option granted to a Non-Employee Director shall be ten years from the date the Option is granted.</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otherwise determined by the Board, no portion of an Initial Option or Annual Option which is unvested or unexercisable at the time of a Non-Employee Director’s termination of service on the Board shall become vested and exercisable thereafter.</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Members of the Board who are employees of the Company or any parent or subsidiary of the Company who subsequently terminate their service with the Company and any parent or subsidiary of the Company and remain on the Board will not receive an Initial Option, but to the extent that they are otherwise eligible, will be eligible to receive, after termination from service with the Company and any parent or subsidiary of the Company, Annual Options as described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 in Control</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Reimbursements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shall reimburse each Non-Employee Director for all reasonable, documented, out-of-pocket travel and other business expenses incurred by such Non-Employee Director in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87" w:name="page88"/>
    <w:bookmarkEnd w:id="8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performance of his or her duties to the Company in accordance with the Company’s applicable expense reimbursement policies and procedures as in effect from time to time.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Miscellaneous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other provisions of the Plan shall apply to the Options granted automatically pursuant to this Program, except to the extent such other provisions are inconsistent with this Program. All applicable terms of the Plan apply to this Program as if fully set forth herein, and all grants of Options hereby are subject in all respects to the terms of the Plan (including Section 5.5 of the Plan limiting the sum of the grant date fair value of all equity-based Awards and the maximum amount that may become payable pursuant to all cash-based Awards that may be granted to a Service Provider (as defined in the Plan) as compensation for services as a Non-Employee Director during any calendar year to $1,500,000). The grant of any Option under this Program shall be made solely by and subject to the terms set forth in a written agreement in a form to be approved by the Board and duly executed by an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Blatt, certify that:</w:t>
      </w:r>
    </w:p>
    <w:p>
      <w:pPr>
        <w:spacing w:after="0" w:line="117"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160" w:hanging="504"/>
        <w:spacing w:after="0" w:line="266"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20" w:hanging="504"/>
        <w:spacing w:after="0" w:line="282"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580" w:hanging="504"/>
        <w:spacing w:after="0" w:line="282"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2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President,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Lesley Ann Calhoun, certify that:</w:t>
      </w:r>
    </w:p>
    <w:p>
      <w:pPr>
        <w:spacing w:after="0" w:line="117"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160" w:hanging="504"/>
        <w:spacing w:after="0" w:line="266"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20" w:hanging="504"/>
        <w:spacing w:after="0" w:line="282"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580" w:hanging="504"/>
        <w:spacing w:after="0" w:line="282"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72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Executive Vice President, Chief Operational Officer &amp; Chief</w:t>
      </w:r>
    </w:p>
    <w:p>
      <w:pPr>
        <w:spacing w:after="0" w:line="9"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ended March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46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920" w:val="left"/>
          <w:tab w:leader="none" w:pos="808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President,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ended March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460" w:hanging="504"/>
        <w:spacing w:after="0" w:line="282"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920" w:val="left"/>
          <w:tab w:leader="none" w:pos="79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Executive Vice President, Chief Operating Officer &amp; Chief</w:t>
      </w:r>
    </w:p>
    <w:p>
      <w:pPr>
        <w:spacing w:after="0" w:line="9"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2"/>
    </w:lvl>
  </w:abstractNum>
  <w:abstractNum w:abstractNumId="4">
    <w:nsid w:val="4516DDE9"/>
    <w:multiLevelType w:val="hybridMultilevel"/>
    <w:lvl w:ilvl="0">
      <w:lvlJc w:val="left"/>
      <w:lvlText w:val="%1."/>
      <w:numFmt w:val="decimal"/>
      <w:start w:val="3"/>
    </w:lvl>
  </w:abstractNum>
  <w:abstractNum w:abstractNumId="5">
    <w:nsid w:val="3006C83E"/>
    <w:multiLevelType w:val="hybridMultilevel"/>
    <w:lvl w:ilvl="0">
      <w:lvlJc w:val="left"/>
      <w:lvlText w:val="%1."/>
      <w:numFmt w:val="decimal"/>
      <w:start w:val="4"/>
    </w:lvl>
  </w:abstractNum>
  <w:abstractNum w:abstractNumId="6">
    <w:nsid w:val="614FD4A1"/>
    <w:multiLevelType w:val="hybridMultilevel"/>
    <w:lvl w:ilvl="0">
      <w:lvlJc w:val="left"/>
      <w:lvlText w:val="%1."/>
      <w:numFmt w:val="decimal"/>
      <w:start w:val="5"/>
    </w:lvl>
  </w:abstractNum>
  <w:abstractNum w:abstractNumId="7">
    <w:nsid w:val="419AC241"/>
    <w:multiLevelType w:val="hybridMultilevel"/>
    <w:lvl w:ilvl="0">
      <w:lvlJc w:val="left"/>
      <w:lvlText w:val="%1."/>
      <w:numFmt w:val="decimal"/>
      <w:start w:val="6"/>
    </w:lvl>
  </w:abstractNum>
  <w:abstractNum w:abstractNumId="8">
    <w:nsid w:val="5577F8E1"/>
    <w:multiLevelType w:val="hybridMultilevel"/>
    <w:lvl w:ilvl="0">
      <w:lvlJc w:val="left"/>
      <w:lvlText w:val="%1."/>
      <w:numFmt w:val="decimal"/>
      <w:start w:val="7"/>
    </w:lvl>
  </w:abstractNum>
  <w:abstractNum w:abstractNumId="9">
    <w:nsid w:val="440BADFC"/>
    <w:multiLevelType w:val="hybridMultilevel"/>
    <w:lvl w:ilvl="0">
      <w:lvlJc w:val="left"/>
      <w:lvlText w:val="%1."/>
      <w:numFmt w:val="decimal"/>
      <w:start w:val="8"/>
    </w:lvl>
  </w:abstractNum>
  <w:abstractNum w:abstractNumId="10">
    <w:nsid w:val="5072367"/>
    <w:multiLevelType w:val="hybridMultilevel"/>
    <w:lvl w:ilvl="0">
      <w:lvlJc w:val="left"/>
      <w:lvlText w:val="%1."/>
      <w:numFmt w:val="decimal"/>
      <w:start w:val="9"/>
    </w:lvl>
  </w:abstractNum>
  <w:abstractNum w:abstractNumId="11">
    <w:nsid w:val="3804823E"/>
    <w:multiLevelType w:val="hybridMultilevel"/>
    <w:lvl w:ilvl="0">
      <w:lvlJc w:val="left"/>
      <w:lvlText w:val="%1."/>
      <w:numFmt w:val="decimal"/>
      <w:start w:val="10"/>
    </w:lvl>
  </w:abstractNum>
  <w:abstractNum w:abstractNumId="12">
    <w:nsid w:val="77465F01"/>
    <w:multiLevelType w:val="hybridMultilevel"/>
    <w:lvl w:ilvl="0">
      <w:lvlJc w:val="left"/>
      <w:lvlText w:val="%1."/>
      <w:numFmt w:val="decimal"/>
      <w:start w:val="11"/>
    </w:lvl>
  </w:abstractNum>
  <w:abstractNum w:abstractNumId="13">
    <w:nsid w:val="7724C67E"/>
    <w:multiLevelType w:val="hybridMultilevel"/>
    <w:lvl w:ilvl="0">
      <w:lvlJc w:val="left"/>
      <w:lvlText w:val="%1."/>
      <w:numFmt w:val="decimal"/>
      <w:start w:val="12"/>
    </w:lvl>
  </w:abstractNum>
  <w:abstractNum w:abstractNumId="14">
    <w:nsid w:val="5C482A97"/>
    <w:multiLevelType w:val="hybridMultilevel"/>
    <w:lvl w:ilvl="0">
      <w:lvlJc w:val="left"/>
      <w:lvlText w:val="%1."/>
      <w:numFmt w:val="decimal"/>
      <w:start w:val="13"/>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04"/>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04" Type="http://schemas.openxmlformats.org/officeDocument/2006/relationships/hyperlink" Target="https://www.sec.gov/Archives/edgar/data/1799448/000119312520272852/d46540dex31.htm" TargetMode="External"/><Relationship Id="rId205" Type="http://schemas.openxmlformats.org/officeDocument/2006/relationships/hyperlink" Target="https://www.sec.gov/Archives/edgar/data/1799448/000119312524172218/d129014dex31.htm" TargetMode="External"/><Relationship Id="rId206" Type="http://schemas.openxmlformats.org/officeDocument/2006/relationships/hyperlink" Target="https://www.sec.gov/Archives/edgar/data/1799448/000119312524202813/d882619dex31.htm" TargetMode="External"/><Relationship Id="rId207" Type="http://schemas.openxmlformats.org/officeDocument/2006/relationships/hyperlink" Target="https://www.sec.gov/Archives/edgar/data/1799448/000119312520272852/d46540dex32.htm" TargetMode="External"/><Relationship Id="rId208" Type="http://schemas.openxmlformats.org/officeDocument/2006/relationships/hyperlink" Target="https://www.sec.gov/Archives/edgar/data/1799448/000095017024122371/algs-ex4_2.htm" TargetMode="External"/><Relationship Id="rId209" Type="http://schemas.openxmlformats.org/officeDocument/2006/relationships/hyperlink" Target="https://www.sec.gov/Archives/edgar/data/1799448/000119312523263158/d533607dex42.htm" TargetMode="External"/><Relationship Id="rId210" Type="http://schemas.openxmlformats.org/officeDocument/2006/relationships/hyperlink" Target="https://www.sec.gov/Archives/edgar/data/1799448/000119312523263158/d533607dex41.htm" TargetMode="External"/><Relationship Id="rId211" Type="http://schemas.openxmlformats.org/officeDocument/2006/relationships/hyperlink" Target="https://www.sec.gov/Archives/edgar/data/1799448/000119312525024838/d901857dex42.htm" TargetMode="External"/><Relationship Id="rId212" Type="http://schemas.openxmlformats.org/officeDocument/2006/relationships/hyperlink" Target="https://www.sec.gov/Archives/edgar/data/1799448/000119312525024838/d901857dex41.htm" TargetMode="External"/><Relationship Id="rId213" Type="http://schemas.openxmlformats.org/officeDocument/2006/relationships/hyperlink" Target="https://www.sec.gov/Archives/edgar/data/1799448/000119312525024838/d901857dex101.htm" TargetMode="External"/><Relationship Id="rId214" Type="http://schemas.openxmlformats.org/officeDocument/2006/relationships/hyperlink" Target="https://www.sec.gov/Archives/edgar/data/1799448/000095017025035929/algs-ex10_18.htm" TargetMode="External"/><Relationship Id="rId215" Type="http://schemas.openxmlformats.org/officeDocument/2006/relationships/hyperlink" Target="https://www.sec.gov/Archives/edgar/data/1799448/000095017025035929/algs-ex10_19.htm" TargetMode="External"/><Relationship Id="rId216" Type="http://schemas.openxmlformats.org/officeDocument/2006/relationships/hyperlink" Target="https://www.sec.gov/Archives/edgar/data/1799448/000095017025035929/algs-ex10_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2025-05-06T07:26:41Z</dcterms:created>
  <dcterms:modified xsi:type="dcterms:W3CDTF">2025-05-06T07:26:41Z</dcterms:modified>
</cp:coreProperties>
</file>