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center"/>
        <w:rPr/>
      </w:pPr>
      <w:bookmarkStart w:id="0" w:name="algs-20230630.htm"/>
      <w:bookmarkStart w:id="1" w:name="ksalgs20230630"/>
      <w:bookmarkEnd w:id="0"/>
      <w:bookmarkEnd w:id="1"/>
      <w:r>
        <w:rPr/>
        <w:t> </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35"/>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5"/>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35"/>
        </w:rPr>
        <w:t>FORM 10-Q</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sz w:val="20"/>
        </w:rPr>
        <w:t>(Mark One)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quarterly period ended June 30, 2023</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center"/>
              <w:rPr/>
            </w:pPr>
            <w:r>
              <w:rPr/>
              <w:t>☐</w:t>
            </w:r>
          </w:p>
        </w:tc>
        <w:tc>
          <w:tcPr>
            <w:tcW w:w="9874" w:type="dxa"/>
            <w:tcBorders/>
            <w:vAlign w:val="center"/>
          </w:tcPr>
          <w:p>
            <w:pPr>
              <w:pStyle w:val="TableContents"/>
              <w:bidi w:val="0"/>
              <w:spacing w:before="40" w:after="0"/>
              <w:ind w:left="0" w:right="0" w:hanging="0"/>
              <w:jc w:val="center"/>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bidi w:val="0"/>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Commission File Number: 001-39617</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47"/>
        </w:rPr>
        <w:t>Aligos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097" w:type="dxa"/>
        <w:jc w:val="left"/>
        <w:tblInd w:w="0" w:type="dxa"/>
        <w:tblLayout w:type="fixed"/>
        <w:tblCellMar>
          <w:top w:w="28" w:type="dxa"/>
          <w:left w:w="28" w:type="dxa"/>
          <w:bottom w:w="28" w:type="dxa"/>
          <w:right w:w="28" w:type="dxa"/>
        </w:tblCellMar>
      </w:tblPr>
      <w:tblGrid>
        <w:gridCol w:w="2851"/>
        <w:gridCol w:w="1246"/>
      </w:tblGrid>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82-4724808</w:t>
            </w:r>
          </w:p>
        </w:tc>
      </w:tr>
      <w:tr>
        <w:trPr/>
        <w:tc>
          <w:tcPr>
            <w:tcW w:w="2851"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851" w:type="dxa"/>
            <w:tcBorders/>
            <w:vAlign w:val="center"/>
          </w:tcPr>
          <w:p>
            <w:pPr>
              <w:pStyle w:val="TableContents"/>
              <w:bidi w:val="0"/>
              <w:spacing w:before="0" w:after="283"/>
              <w:ind w:left="0" w:right="0" w:hanging="0"/>
              <w:jc w:val="left"/>
              <w:rPr>
                <w:sz w:val="4"/>
                <w:szCs w:val="4"/>
              </w:rPr>
            </w:pPr>
            <w:r>
              <w:rPr>
                <w:sz w:val="4"/>
                <w:szCs w:val="4"/>
              </w:rPr>
            </w:r>
          </w:p>
        </w:tc>
        <w:tc>
          <w:tcPr>
            <w:tcW w:w="1246" w:type="dxa"/>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One Corporate Drive, 2nd Floor</w:t>
            </w:r>
          </w:p>
          <w:p>
            <w:pPr>
              <w:pStyle w:val="TableContents"/>
              <w:bidi w:val="0"/>
              <w:spacing w:before="0" w:after="20"/>
              <w:ind w:left="0" w:right="0" w:hanging="0"/>
              <w:jc w:val="center"/>
              <w:rPr>
                <w:rFonts w:ascii="Times New Roman;serif" w:hAnsi="Times New Roman;serif"/>
                <w:b/>
                <w:sz w:val="20"/>
              </w:rPr>
            </w:pPr>
            <w:r>
              <w:rPr>
                <w:rFonts w:ascii="Times New Roman;serif" w:hAnsi="Times New Roman;serif"/>
                <w:b/>
                <w:sz w:val="20"/>
              </w:rPr>
              <w:t>South San Francisco, California</w:t>
            </w:r>
          </w:p>
        </w:tc>
        <w:tc>
          <w:tcPr>
            <w:tcW w:w="124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94080</w:t>
            </w:r>
          </w:p>
        </w:tc>
      </w:tr>
      <w:tr>
        <w:trPr/>
        <w:tc>
          <w:tcPr>
            <w:tcW w:w="2851"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Registrant’s telephone number, including area code: (800) 466-6059</w:t>
      </w:r>
      <w:r>
        <w:rPr>
          <w:rFonts w:ascii="Times New Roman" w:hAnsi="Times New Roman"/>
          <w:sz w:val="20"/>
        </w:rPr>
        <w:t xml:space="preserve"> </w:t>
      </w:r>
    </w:p>
    <w:p>
      <w:pPr>
        <w:pStyle w:val="TextBody"/>
        <w:bidi w:val="0"/>
        <w:spacing w:before="80" w:after="0"/>
        <w:jc w:val="center"/>
        <w:rPr>
          <w:rFonts w:ascii="Times New Roman" w:hAnsi="Times New Roman"/>
          <w:sz w:val="20"/>
        </w:rPr>
      </w:pPr>
      <w:r>
        <w:rPr>
          <w:rFonts w:ascii="Times New Roman;serif" w:hAnsi="Times New Roman;serif"/>
          <w:b/>
          <w:sz w:val="20"/>
        </w:rPr>
        <w:t>Securities registered pursuant to Section 12(b) of the Act:</w:t>
      </w:r>
      <w:r>
        <w:rPr>
          <w:rFonts w:ascii="Times New Roman" w:hAnsi="Times New Roman"/>
          <w:sz w:val="20"/>
        </w:rPr>
        <w:t xml:space="preserve"> </w:t>
      </w:r>
    </w:p>
    <w:tbl>
      <w:tblPr>
        <w:tblW w:w="8230" w:type="dxa"/>
        <w:jc w:val="left"/>
        <w:tblInd w:w="0" w:type="dxa"/>
        <w:tblLayout w:type="fixed"/>
        <w:tblCellMar>
          <w:top w:w="28" w:type="dxa"/>
          <w:left w:w="28" w:type="dxa"/>
          <w:bottom w:w="28" w:type="dxa"/>
          <w:right w:w="28" w:type="dxa"/>
        </w:tblCellMar>
      </w:tblPr>
      <w:tblGrid>
        <w:gridCol w:w="3916"/>
        <w:gridCol w:w="146"/>
        <w:gridCol w:w="1231"/>
        <w:gridCol w:w="146"/>
        <w:gridCol w:w="27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Trading</w:t>
            </w:r>
            <w:r>
              <w:rPr>
                <w:rFonts w:ascii="Times New Roman" w:hAnsi="Times New Roman"/>
                <w:sz w:val="14"/>
              </w:rPr>
              <w:t xml:space="preserve"> </w:t>
            </w:r>
            <w:r>
              <w:rPr>
                <w:rFonts w:ascii="Times New Roman;serif" w:hAnsi="Times New Roman;serif"/>
                <w:b/>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Name of each exchange on which registered</w:t>
            </w:r>
            <w:r>
              <w:rPr>
                <w:rFonts w:ascii="Times New Roman" w:hAnsi="Times New Roman"/>
                <w:sz w:val="14"/>
              </w:rPr>
              <w:t xml:space="preserve"> </w:t>
            </w:r>
          </w:p>
        </w:tc>
      </w:tr>
      <w:tr>
        <w:trPr/>
        <w:tc>
          <w:tcPr>
            <w:tcW w:w="391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par value, $0.0001 per share</w:t>
            </w:r>
          </w:p>
        </w:tc>
        <w:tc>
          <w:tcPr>
            <w:tcW w:w="146" w:type="dxa"/>
            <w:tcBorders/>
            <w:vAlign w:val="center"/>
          </w:tcPr>
          <w:p>
            <w:pPr>
              <w:pStyle w:val="TableContents"/>
              <w:bidi w:val="0"/>
              <w:spacing w:before="0" w:after="0"/>
              <w:ind w:left="0" w:right="0" w:hanging="0"/>
              <w:jc w:val="center"/>
              <w:rPr/>
            </w:pPr>
            <w:r>
              <w:rPr/>
              <w:t> </w:t>
            </w:r>
          </w:p>
        </w:tc>
        <w:tc>
          <w:tcPr>
            <w:tcW w:w="123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ALGS</w:t>
            </w:r>
          </w:p>
        </w:tc>
        <w:tc>
          <w:tcPr>
            <w:tcW w:w="146" w:type="dxa"/>
            <w:tcBorders/>
            <w:vAlign w:val="center"/>
          </w:tcPr>
          <w:p>
            <w:pPr>
              <w:pStyle w:val="TableContents"/>
              <w:bidi w:val="0"/>
              <w:spacing w:before="0" w:after="0"/>
              <w:ind w:left="0" w:right="0" w:hanging="0"/>
              <w:jc w:val="center"/>
              <w:rPr/>
            </w:pPr>
            <w:r>
              <w:rPr/>
              <w:t> </w:t>
            </w:r>
          </w:p>
        </w:tc>
        <w:tc>
          <w:tcPr>
            <w:tcW w:w="279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Stock Market LLC</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(Nasdaq Global Select Market)</w:t>
            </w:r>
          </w:p>
        </w:tc>
      </w:tr>
    </w:tbl>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20"/>
        </w:rPr>
        <w:t>No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5456" w:type="dxa"/>
        <w:jc w:val="left"/>
        <w:tblInd w:w="0" w:type="dxa"/>
        <w:tblLayout w:type="fixed"/>
        <w:tblCellMar>
          <w:top w:w="28" w:type="dxa"/>
          <w:left w:w="28" w:type="dxa"/>
          <w:bottom w:w="28" w:type="dxa"/>
          <w:right w:w="28" w:type="dxa"/>
        </w:tblCellMar>
      </w:tblPr>
      <w:tblGrid>
        <w:gridCol w:w="1921"/>
        <w:gridCol w:w="146"/>
        <w:gridCol w:w="316"/>
        <w:gridCol w:w="146"/>
        <w:gridCol w:w="109"/>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Large 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20"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Accelerated filer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420"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Non-accelerated filer</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20" w:type="dxa"/>
            <w:gridSpan w:val="2"/>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r>
        <w:trPr/>
        <w:tc>
          <w:tcPr>
            <w:tcW w:w="192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420" w:type="dxa"/>
            <w:gridSpan w:val="2"/>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Emerging growth company</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righ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80" w:after="0"/>
        <w:jc w:val="left"/>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 w:hAnsi="Times New Roman"/>
          <w:sz w:val="20"/>
        </w:rPr>
      </w:pPr>
      <w:r>
        <w:rPr>
          <w:rFonts w:ascii="Times New Roman;serif" w:hAnsi="Times New Roman;serif"/>
          <w:b w:val="false"/>
          <w:sz w:val="20"/>
        </w:rPr>
        <w:t>As of July 31, 2023, the registrant had 43,502,582 shares of common stock, $0.0001 par value per share, outstanding, comprised of 40,410,244</w:t>
      </w:r>
      <w:r>
        <w:rPr>
          <w:rFonts w:ascii="Times New Roman" w:hAnsi="Times New Roman"/>
          <w:sz w:val="20"/>
        </w:rPr>
        <w:t xml:space="preserve"> </w:t>
      </w:r>
      <w:r>
        <w:rPr>
          <w:rFonts w:ascii="Times New Roman;serif" w:hAnsi="Times New Roman;serif"/>
          <w:b w:val="false"/>
          <w:sz w:val="20"/>
        </w:rPr>
        <w:t>shares of voting common stock, $0.0001 par value per share and 3,092,338</w:t>
      </w:r>
      <w:r>
        <w:rPr>
          <w:rFonts w:ascii="Times New Roman" w:hAnsi="Times New Roman"/>
          <w:sz w:val="20"/>
        </w:rPr>
        <w:t xml:space="preserve"> </w:t>
      </w:r>
      <w:r>
        <w:rPr>
          <w:rFonts w:ascii="Times New Roman;serif" w:hAnsi="Times New Roman;serif"/>
          <w:b w:val="false"/>
          <w:sz w:val="20"/>
        </w:rPr>
        <w:t>shares of non-voting common stock, $0.0001 par value per share.</w:t>
      </w:r>
      <w:r>
        <w:rPr>
          <w:rFonts w:ascii="Times New Roman" w:hAnsi="Times New Roman"/>
          <w:sz w:val="20"/>
        </w:rPr>
        <w:t xml:space="preserve"> </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serif" w:hAnsi="Times New Roman;serif"/>
          <w:b/>
          <w:sz w:val="20"/>
        </w:rPr>
        <w:t>Special note regarding forward-looking statements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240" w:after="0"/>
        <w:jc w:val="left"/>
        <w:rPr>
          <w:rFonts w:ascii="Times New Roman" w:hAnsi="Times New Roman"/>
          <w:sz w:val="20"/>
        </w:rPr>
      </w:pPr>
      <w:r>
        <w:rPr>
          <w:rFonts w:ascii="Times New Roman;serif" w:hAnsi="Times New Roman;serif"/>
          <w:b w:val="false"/>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of developing our drug candidates or any other future drug candidates, and conducting nonclinical studies and clinical trials, including our ALG-055009, ALG</w:t>
        <w:noBreakHyphen/>
        <w:t>000184 and ALG-125755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progress, results and costs related to the research and development of our pipeline;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of, and costs involved in, obtaining and maintaining regulatory approval for any of our current or future drug candidates, and any related restrictions or limitations;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potential market size and size of the potential patient populations for ALG</w:t>
        <w:noBreakHyphen/>
        <w:t>055009, ALG</w:t>
        <w:noBreakHyphen/>
        <w:t>000184 and ALG-125755, our other drug candidates and any future drug candidates, if approved for commercial use;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existing, and establish new, collaborations, licensing or other arrangements and the financial terms of any such agreements;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commercialization, marketing and manufacturing capabilities and expectations;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rate and degree of market acceptance of our drug candidates, as well as the pricing and reimbursement of our drug candidates,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implementation of our business model and strategic plans for our business, drug candidates and technology, including additional indications for which we may pursue;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of protection we are able to establish and maintain for intellectual property rights covering our drug candidates, including the projected term of patent protection;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lawsuits related to our drug candidates or commenced against us, including the costs associated with our current litigation with Janssen Biopharma, LLC (Janssen);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estimates of our expenses, future revenue, capital requirements, our needs for additional financing and our ability to obtain additional capital;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and projections relating to our competitors and our industry, including competing therapies and procedures;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regulatory and legal developments in the United States and foreign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performance of our third-party suppliers and manufacturers;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attract and retain key management, scientific and medical personnel;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the period during which we will qualify as an emerging growth company under the Jumpstart Our Business Startups Act of 2012;</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expectations regarding our ability to obtain, maintain, enforce and defend our intellectual property protection for our drug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other risks and uncertainties, including those listed under the caption “Risk Factors.”</w:t>
      </w:r>
    </w:p>
    <w:p>
      <w:pPr>
        <w:pStyle w:val="TextBody"/>
        <w:bidi w:val="0"/>
        <w:spacing w:before="240" w:after="0"/>
        <w:jc w:val="left"/>
        <w:rPr>
          <w:rFonts w:ascii="Times New Roman" w:hAnsi="Times New Roman"/>
          <w:sz w:val="20"/>
        </w:rPr>
      </w:pPr>
      <w:r>
        <w:rPr>
          <w:rFonts w:ascii="Times New Roman;serif" w:hAnsi="Times New Roman;serif"/>
          <w:b w:val="false"/>
          <w:sz w:val="20"/>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Quarterly Report on Form 10-Q may turn out to be inaccurate. Factors that may cause actual results to differ materially from current expectations include, among other things, those listed under the</w:t>
      </w:r>
      <w:r>
        <w:rPr>
          <w:rFonts w:ascii="Times New Roman" w:hAnsi="Times New Roman"/>
          <w:sz w:val="20"/>
        </w:rPr>
        <w:t xml:space="preserve">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w:t>
      </w:r>
    </w:p>
    <w:p>
      <w:pPr>
        <w:pStyle w:val="HorizontalLine"/>
        <w:pBdr>
          <w:bottom w:val="double" w:sz="2" w:space="0" w:color="808080"/>
        </w:pBdr>
        <w:bidi w:val="0"/>
        <w:spacing w:before="0" w:after="283"/>
        <w:jc w:val="left"/>
        <w:rPr/>
      </w:pPr>
      <w:r>
        <w:rPr/>
      </w:r>
    </w:p>
    <w:p>
      <w:pPr>
        <w:pStyle w:val="TextBody"/>
        <w:bidi w:val="0"/>
        <w:spacing w:before="240" w:after="0"/>
        <w:jc w:val="left"/>
        <w:rPr>
          <w:rFonts w:ascii="Times New Roman" w:hAnsi="Times New Roman"/>
          <w:sz w:val="20"/>
        </w:rPr>
      </w:pPr>
      <w:r>
        <w:rPr>
          <w:rFonts w:ascii="Times New Roman;serif" w:hAnsi="Times New Roman;serif"/>
          <w:b w:val="false"/>
          <w:sz w:val="20"/>
        </w:rPr>
        <w:t>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undertake no obligation to publicly update or revise any forward-looking statements contained herein for any reason after the date of this report to conform these statements to new information, actual results or changes in our expectations, except as required by applicable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sz w:val="20"/>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the public about our company, our business and other issues. It is possible that the information that we make available may be deemed to be material information. We therefore encourage investors and others interested in our company to review the information that we make available on our website.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Summary of material risks associated with our business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principal risks and uncertainties affecting our business include the following: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never generated revenue from product sales and may never be profitable.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intend to develop our current drug candidates, and expect to develop other future drug candidates, in combination with other therapies, which exposes us to additional risks.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w:t>
      </w:r>
    </w:p>
    <w:p>
      <w:pPr>
        <w:pStyle w:val="HorizontalLine"/>
        <w:pBdr>
          <w:bottom w:val="double" w:sz="2" w:space="0" w:color="808080"/>
        </w:pBdr>
        <w:bidi w:val="0"/>
        <w:spacing w:before="0" w:after="283"/>
        <w:jc w:val="left"/>
        <w:rPr/>
      </w:pPr>
      <w:r>
        <w:rPr/>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iii</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serif" w:hAnsi="Times New Roman;serif"/>
          <w:b/>
          <w:sz w:val="20"/>
        </w:rPr>
        <w:t>Table of Contents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963"/>
        <w:gridCol w:w="8696"/>
        <w:gridCol w:w="546"/>
      </w:tblGrid>
      <w:tr>
        <w:trPr/>
        <w:tc>
          <w:tcPr>
            <w:tcW w:w="963" w:type="dxa"/>
            <w:tcBorders/>
            <w:vAlign w:val="center"/>
          </w:tcPr>
          <w:p>
            <w:pPr>
              <w:pStyle w:val="TableContents"/>
              <w:bidi w:val="0"/>
              <w:spacing w:before="0" w:after="283"/>
              <w:jc w:val="left"/>
              <w:rPr>
                <w:sz w:val="4"/>
                <w:szCs w:val="4"/>
              </w:rPr>
            </w:pPr>
            <w:r>
              <w:rPr>
                <w:sz w:val="4"/>
                <w:szCs w:val="4"/>
              </w:rPr>
            </w:r>
          </w:p>
        </w:tc>
        <w:tc>
          <w:tcPr>
            <w:tcW w:w="86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96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6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Page</w:t>
            </w:r>
            <w:r>
              <w:rPr>
                <w:rFonts w:ascii="Times New Roman" w:hAnsi="Times New Roman"/>
                <w:sz w:val="16"/>
              </w:rPr>
              <w:t xml:space="preserve"> </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63" w:type="dxa"/>
            <w:tcBorders/>
            <w:vAlign w:val="center"/>
          </w:tcPr>
          <w:p>
            <w:pPr>
              <w:pStyle w:val="TableContents"/>
              <w:pBdr/>
              <w:bidi w:val="0"/>
              <w:spacing w:before="0" w:after="0"/>
              <w:ind w:left="0" w:right="0" w:hanging="240"/>
              <w:jc w:val="left"/>
              <w:rPr>
                <w:rFonts w:ascii="Times New Roman" w:hAnsi="Times New Roman"/>
                <w:sz w:val="20"/>
              </w:rPr>
            </w:pPr>
            <w:r>
              <w:rPr>
                <w:rFonts w:ascii="Times New Roman;serif" w:hAnsi="Times New Roman;serif"/>
                <w:b/>
                <w:sz w:val="20"/>
              </w:rPr>
              <w:t>PART I</w:t>
            </w:r>
            <w:r>
              <w:rPr>
                <w:rFonts w:ascii="Times New Roman;serif" w:hAnsi="Times New Roman;serif"/>
                <w:b w:val="false"/>
                <w:sz w:val="20"/>
              </w:rPr>
              <w:t>.</w:t>
            </w:r>
          </w:p>
        </w:tc>
        <w:tc>
          <w:tcPr>
            <w:tcW w:w="8696" w:type="dxa"/>
            <w:tcBorders/>
            <w:vAlign w:val="center"/>
          </w:tcPr>
          <w:p>
            <w:pPr>
              <w:pStyle w:val="TableContents"/>
              <w:bidi w:val="0"/>
              <w:spacing w:before="0" w:after="0"/>
              <w:ind w:left="0" w:right="0" w:hanging="0"/>
              <w:jc w:val="left"/>
              <w:rPr/>
            </w:pPr>
            <w:hyperlink w:anchor="part_ifinancial_information">
              <w:r>
                <w:rPr>
                  <w:rStyle w:val="InternetLink"/>
                  <w:rFonts w:ascii="Times New Roman;serif" w:hAnsi="Times New Roman;serif"/>
                  <w:b w:val="false"/>
                  <w:sz w:val="20"/>
                  <w:u w:val="single"/>
                </w:rPr>
                <w:t>FINANCIAL INFORMATION</w:t>
              </w:r>
            </w:hyperlink>
          </w:p>
        </w:tc>
        <w:tc>
          <w:tcPr>
            <w:tcW w:w="54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8696" w:type="dxa"/>
            <w:tcBorders/>
            <w:vAlign w:val="center"/>
          </w:tcPr>
          <w:p>
            <w:pPr>
              <w:pStyle w:val="TableContents"/>
              <w:pBdr/>
              <w:bidi w:val="0"/>
              <w:spacing w:before="0" w:after="0"/>
              <w:ind w:left="0" w:right="0" w:hanging="24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96" w:type="dxa"/>
            <w:tcBorders/>
            <w:vAlign w:val="center"/>
          </w:tcPr>
          <w:p>
            <w:pPr>
              <w:pStyle w:val="TableContents"/>
              <w:pBdr/>
              <w:bidi w:val="0"/>
              <w:spacing w:before="0" w:after="0"/>
              <w:ind w:left="0" w:right="0" w:hanging="240"/>
              <w:jc w:val="left"/>
              <w:rPr/>
            </w:pPr>
            <w:hyperlink w:anchor="condensed_consolidated_balance_sheets">
              <w:r>
                <w:rPr>
                  <w:rStyle w:val="InternetLink"/>
                  <w:rFonts w:ascii="Times New Roman;serif" w:hAnsi="Times New Roman;serif"/>
                  <w:b w:val="false"/>
                  <w:sz w:val="20"/>
                  <w:u w:val="single"/>
                </w:rPr>
                <w:t>Condensed Consolidated Balance Sheets as of June 30, 2023 and December 31, 2022</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96" w:type="dxa"/>
            <w:tcBorders/>
            <w:vAlign w:val="center"/>
          </w:tcPr>
          <w:p>
            <w:pPr>
              <w:pStyle w:val="TableContents"/>
              <w:pBdr/>
              <w:bidi w:val="0"/>
              <w:spacing w:before="0" w:after="0"/>
              <w:ind w:left="0" w:right="0" w:hanging="24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 for the Three and Six Months Ended June 30, 2023 and 2022</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96" w:type="dxa"/>
            <w:tcBorders/>
            <w:vAlign w:val="center"/>
          </w:tcPr>
          <w:p>
            <w:pPr>
              <w:pStyle w:val="TableContents"/>
              <w:pBdr/>
              <w:bidi w:val="0"/>
              <w:spacing w:before="0" w:after="0"/>
              <w:ind w:left="0" w:right="0" w:hanging="240"/>
              <w:jc w:val="left"/>
              <w:rPr/>
            </w:pPr>
            <w:hyperlink w:anchor="condensed_consolidated_statements_change">
              <w:r>
                <w:rPr>
                  <w:rStyle w:val="InternetLink"/>
                  <w:rFonts w:ascii="Times New Roman;serif" w:hAnsi="Times New Roman;serif"/>
                  <w:b w:val="false"/>
                  <w:sz w:val="20"/>
                  <w:u w:val="single"/>
                </w:rPr>
                <w:t>Condensed Consolidated Statements of Changes in Stockholders’ Equity for the Three and Six Months Ended June 30, 2023 and 2022</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96" w:type="dxa"/>
            <w:tcBorders/>
            <w:vAlign w:val="center"/>
          </w:tcPr>
          <w:p>
            <w:pPr>
              <w:pStyle w:val="TableContents"/>
              <w:pBdr/>
              <w:bidi w:val="0"/>
              <w:spacing w:before="0" w:after="0"/>
              <w:ind w:left="0" w:right="0" w:hanging="240"/>
              <w:jc w:val="left"/>
              <w:rPr/>
            </w:pPr>
            <w:hyperlink w:anchor="condensed_consolidated_statements">
              <w:r>
                <w:rPr>
                  <w:rStyle w:val="InternetLink"/>
                  <w:rFonts w:ascii="Times New Roman;serif" w:hAnsi="Times New Roman;serif"/>
                  <w:b w:val="false"/>
                  <w:sz w:val="20"/>
                  <w:u w:val="single"/>
                </w:rPr>
                <w:t>Condensed Consolidated Statements of Cash Flows for the Six Months Ended June 30, 2023 and 2022</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696" w:type="dxa"/>
            <w:tcBorders/>
            <w:vAlign w:val="center"/>
          </w:tcPr>
          <w:p>
            <w:pPr>
              <w:pStyle w:val="TableContents"/>
              <w:pBdr/>
              <w:bidi w:val="0"/>
              <w:spacing w:before="0" w:after="0"/>
              <w:ind w:left="0" w:right="0" w:hanging="240"/>
              <w:jc w:val="left"/>
              <w:rPr/>
            </w:pPr>
            <w:hyperlink w:anchor="notes_to_unaudited_condensed_consolidate">
              <w:r>
                <w:rPr>
                  <w:rStyle w:val="InternetLink"/>
                  <w:rFonts w:ascii="Times New Roman;serif" w:hAnsi="Times New Roman;serif"/>
                  <w:b w:val="false"/>
                  <w:sz w:val="20"/>
                  <w:u w:val="single"/>
                </w:rPr>
                <w:t>Notes to Unaudited Condensed Consolidated Financial Statements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8696" w:type="dxa"/>
            <w:tcBorders/>
            <w:vAlign w:val="center"/>
          </w:tcPr>
          <w:p>
            <w:pPr>
              <w:pStyle w:val="TableContents"/>
              <w:pBdr/>
              <w:bidi w:val="0"/>
              <w:spacing w:before="0" w:after="0"/>
              <w:ind w:left="0" w:right="0" w:hanging="240"/>
              <w:jc w:val="left"/>
              <w:rPr/>
            </w:pPr>
            <w:hyperlink w:anchor="itm2">
              <w:r>
                <w:rPr>
                  <w:rStyle w:val="InternetLink"/>
                  <w:rFonts w:ascii="Times New Roman;serif" w:hAnsi="Times New Roman;serif"/>
                  <w:b w:val="false"/>
                  <w:sz w:val="20"/>
                  <w:u w:val="single"/>
                </w:rPr>
                <w:t>Management’s Discussion and Analysis of Financial Condition and Results of Operations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8696" w:type="dxa"/>
            <w:tcBorders/>
            <w:vAlign w:val="center"/>
          </w:tcPr>
          <w:p>
            <w:pPr>
              <w:pStyle w:val="TableContents"/>
              <w:pBdr/>
              <w:bidi w:val="0"/>
              <w:spacing w:before="0" w:after="0"/>
              <w:ind w:left="0" w:right="0" w:hanging="24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8696" w:type="dxa"/>
            <w:tcBorders/>
            <w:vAlign w:val="center"/>
          </w:tcPr>
          <w:p>
            <w:pPr>
              <w:pStyle w:val="TableContents"/>
              <w:pBdr/>
              <w:bidi w:val="0"/>
              <w:spacing w:before="0" w:after="0"/>
              <w:ind w:left="0" w:right="0" w:hanging="240"/>
              <w:jc w:val="left"/>
              <w:rPr/>
            </w:pPr>
            <w:hyperlink w:anchor="item_4_controls_procedures">
              <w:r>
                <w:rPr>
                  <w:rStyle w:val="InternetLink"/>
                  <w:rFonts w:ascii="Times New Roman;serif" w:hAnsi="Times New Roman;serif"/>
                  <w:b w:val="false"/>
                  <w:sz w:val="20"/>
                  <w:u w:val="single"/>
                </w:rPr>
                <w:t>Controls and Procedures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firstLine="240"/>
              <w:jc w:val="right"/>
              <w:rPr/>
            </w:pPr>
            <w:r>
              <w:rPr/>
              <w:t> </w:t>
            </w:r>
          </w:p>
        </w:tc>
      </w:tr>
      <w:tr>
        <w:trPr/>
        <w:tc>
          <w:tcPr>
            <w:tcW w:w="963" w:type="dxa"/>
            <w:tcBorders/>
            <w:vAlign w:val="center"/>
          </w:tcPr>
          <w:p>
            <w:pPr>
              <w:pStyle w:val="TableContents"/>
              <w:pBdr/>
              <w:bidi w:val="0"/>
              <w:spacing w:before="0" w:after="0"/>
              <w:ind w:left="0" w:right="0" w:hanging="240"/>
              <w:jc w:val="left"/>
              <w:rPr>
                <w:rFonts w:ascii="Times New Roman;serif" w:hAnsi="Times New Roman;serif"/>
                <w:b/>
                <w:sz w:val="20"/>
              </w:rPr>
            </w:pPr>
            <w:r>
              <w:rPr>
                <w:rFonts w:ascii="Times New Roman;serif" w:hAnsi="Times New Roman;serif"/>
                <w:b/>
                <w:sz w:val="20"/>
              </w:rPr>
              <w:t>PART II.</w:t>
            </w:r>
          </w:p>
        </w:tc>
        <w:tc>
          <w:tcPr>
            <w:tcW w:w="8696" w:type="dxa"/>
            <w:tcBorders/>
            <w:vAlign w:val="center"/>
          </w:tcPr>
          <w:p>
            <w:pPr>
              <w:pStyle w:val="TableContents"/>
              <w:bidi w:val="0"/>
              <w:spacing w:before="0" w:after="0"/>
              <w:ind w:left="0" w:right="0" w:hanging="0"/>
              <w:jc w:val="left"/>
              <w:rPr/>
            </w:pPr>
            <w:hyperlink w:anchor="part_iior_information">
              <w:r>
                <w:rPr>
                  <w:rStyle w:val="InternetLink"/>
                  <w:rFonts w:ascii="Times New Roman;serif" w:hAnsi="Times New Roman;serif"/>
                  <w:b w:val="false"/>
                  <w:sz w:val="20"/>
                  <w:u w:val="single"/>
                </w:rPr>
                <w:t>OTHER INFORMATION</w:t>
              </w:r>
            </w:hyperlink>
          </w:p>
        </w:tc>
        <w:tc>
          <w:tcPr>
            <w:tcW w:w="54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w:t>
            </w:r>
          </w:p>
        </w:tc>
        <w:tc>
          <w:tcPr>
            <w:tcW w:w="8696" w:type="dxa"/>
            <w:tcBorders/>
            <w:vAlign w:val="center"/>
          </w:tcPr>
          <w:p>
            <w:pPr>
              <w:pStyle w:val="TableContents"/>
              <w:pBdr/>
              <w:bidi w:val="0"/>
              <w:spacing w:before="0" w:after="0"/>
              <w:ind w:left="0" w:right="0" w:hanging="240"/>
              <w:jc w:val="left"/>
              <w:rPr/>
            </w:pPr>
            <w:hyperlink w:anchor="item_1_legal_proceedings">
              <w:r>
                <w:rPr>
                  <w:rStyle w:val="InternetLink"/>
                  <w:rFonts w:ascii="Times New Roman;serif" w:hAnsi="Times New Roman;serif"/>
                  <w:b w:val="false"/>
                  <w:sz w:val="20"/>
                  <w:u w:val="single"/>
                </w:rPr>
                <w:t>Legal Proceedings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1A.</w:t>
            </w:r>
          </w:p>
        </w:tc>
        <w:tc>
          <w:tcPr>
            <w:tcW w:w="8696" w:type="dxa"/>
            <w:tcBorders/>
            <w:vAlign w:val="center"/>
          </w:tcPr>
          <w:p>
            <w:pPr>
              <w:pStyle w:val="TableContents"/>
              <w:pBdr/>
              <w:bidi w:val="0"/>
              <w:spacing w:before="0" w:after="0"/>
              <w:ind w:left="0" w:right="0" w:hanging="240"/>
              <w:jc w:val="left"/>
              <w:rPr/>
            </w:pPr>
            <w:hyperlink w:anchor="item_1a_risk_factors">
              <w:r>
                <w:rPr>
                  <w:rStyle w:val="InternetLink"/>
                  <w:rFonts w:ascii="Times New Roman;serif" w:hAnsi="Times New Roman;serif"/>
                  <w:b w:val="false"/>
                  <w:sz w:val="20"/>
                  <w:u w:val="single"/>
                </w:rPr>
                <w:t>Risk Factors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2.</w:t>
            </w:r>
          </w:p>
        </w:tc>
        <w:tc>
          <w:tcPr>
            <w:tcW w:w="8696" w:type="dxa"/>
            <w:tcBorders/>
            <w:vAlign w:val="center"/>
          </w:tcPr>
          <w:p>
            <w:pPr>
              <w:pStyle w:val="TableContents"/>
              <w:pBdr/>
              <w:bidi w:val="0"/>
              <w:spacing w:before="0" w:after="0"/>
              <w:ind w:left="0" w:right="0" w:hanging="240"/>
              <w:jc w:val="left"/>
              <w:rPr/>
            </w:pPr>
            <w:hyperlink w:anchor="item_2_unregistered_sales_equity_securit">
              <w:r>
                <w:rPr>
                  <w:rStyle w:val="InternetLink"/>
                  <w:rFonts w:ascii="Times New Roman;serif" w:hAnsi="Times New Roman;serif"/>
                  <w:b w:val="false"/>
                  <w:sz w:val="20"/>
                  <w:u w:val="single"/>
                </w:rPr>
                <w:t>Unregistered Sales of Equity Securities and Use of Proceeds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3.</w:t>
            </w:r>
          </w:p>
        </w:tc>
        <w:tc>
          <w:tcPr>
            <w:tcW w:w="8696" w:type="dxa"/>
            <w:tcBorders/>
            <w:vAlign w:val="center"/>
          </w:tcPr>
          <w:p>
            <w:pPr>
              <w:pStyle w:val="TableContents"/>
              <w:pBdr/>
              <w:bidi w:val="0"/>
              <w:spacing w:before="0" w:after="0"/>
              <w:ind w:left="0" w:right="0" w:hanging="24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4.</w:t>
            </w:r>
          </w:p>
        </w:tc>
        <w:tc>
          <w:tcPr>
            <w:tcW w:w="8696" w:type="dxa"/>
            <w:tcBorders/>
            <w:vAlign w:val="center"/>
          </w:tcPr>
          <w:p>
            <w:pPr>
              <w:pStyle w:val="TableContents"/>
              <w:pBdr/>
              <w:bidi w:val="0"/>
              <w:spacing w:before="0" w:after="0"/>
              <w:ind w:left="0" w:right="0" w:hanging="240"/>
              <w:jc w:val="left"/>
              <w:rPr/>
            </w:pPr>
            <w:hyperlink w:anchor="item_4_mine_safety_disclosures">
              <w:r>
                <w:rPr>
                  <w:rStyle w:val="InternetLink"/>
                  <w:rFonts w:ascii="Times New Roman;serif" w:hAnsi="Times New Roman;serif"/>
                  <w:b w:val="false"/>
                  <w:sz w:val="20"/>
                  <w:u w:val="single"/>
                </w:rPr>
                <w:t>Mine Safety Disclosures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5.</w:t>
            </w:r>
          </w:p>
        </w:tc>
        <w:tc>
          <w:tcPr>
            <w:tcW w:w="8696" w:type="dxa"/>
            <w:tcBorders/>
            <w:vAlign w:val="center"/>
          </w:tcPr>
          <w:p>
            <w:pPr>
              <w:pStyle w:val="TableContents"/>
              <w:pBdr/>
              <w:bidi w:val="0"/>
              <w:spacing w:before="0" w:after="0"/>
              <w:ind w:left="0" w:right="0" w:hanging="240"/>
              <w:jc w:val="left"/>
              <w:rPr/>
            </w:pPr>
            <w:hyperlink w:anchor="item_5_or_information">
              <w:r>
                <w:rPr>
                  <w:rStyle w:val="InternetLink"/>
                  <w:rFonts w:ascii="Times New Roman;serif" w:hAnsi="Times New Roman;serif"/>
                  <w:b w:val="false"/>
                  <w:sz w:val="20"/>
                  <w:u w:val="single"/>
                </w:rPr>
                <w:t>Other Information</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81</w:t>
            </w:r>
          </w:p>
        </w:tc>
      </w:tr>
      <w:tr>
        <w:trPr/>
        <w:tc>
          <w:tcPr>
            <w:tcW w:w="963" w:type="dxa"/>
            <w:tcBorders/>
            <w:vAlign w:val="center"/>
          </w:tcPr>
          <w:p>
            <w:pPr>
              <w:pStyle w:val="TableContents"/>
              <w:bidi w:val="0"/>
              <w:spacing w:before="0" w:after="283"/>
              <w:ind w:left="0" w:right="0" w:hanging="0"/>
              <w:jc w:val="left"/>
              <w:rPr>
                <w:sz w:val="4"/>
                <w:szCs w:val="4"/>
              </w:rPr>
            </w:pPr>
            <w:r>
              <w:rPr>
                <w:sz w:val="4"/>
                <w:szCs w:val="4"/>
              </w:rPr>
            </w:r>
          </w:p>
        </w:tc>
        <w:tc>
          <w:tcPr>
            <w:tcW w:w="8696" w:type="dxa"/>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3" w:type="dxa"/>
            <w:tcBorders/>
            <w:vAlign w:val="center"/>
          </w:tcPr>
          <w:p>
            <w:pPr>
              <w:pStyle w:val="TableContents"/>
              <w:bidi w:val="0"/>
              <w:spacing w:before="0" w:after="0"/>
              <w:ind w:left="0" w:right="0" w:firstLine="240"/>
              <w:jc w:val="left"/>
              <w:rPr>
                <w:rFonts w:ascii="Times New Roman;serif" w:hAnsi="Times New Roman;serif"/>
                <w:b w:val="false"/>
                <w:sz w:val="20"/>
              </w:rPr>
            </w:pPr>
            <w:r>
              <w:rPr>
                <w:rFonts w:ascii="Times New Roman;serif" w:hAnsi="Times New Roman;serif"/>
                <w:b w:val="false"/>
                <w:sz w:val="20"/>
              </w:rPr>
              <w:t>Item 6.</w:t>
            </w:r>
          </w:p>
        </w:tc>
        <w:tc>
          <w:tcPr>
            <w:tcW w:w="8696" w:type="dxa"/>
            <w:tcBorders/>
            <w:vAlign w:val="center"/>
          </w:tcPr>
          <w:p>
            <w:pPr>
              <w:pStyle w:val="TableContents"/>
              <w:pBdr/>
              <w:bidi w:val="0"/>
              <w:spacing w:before="0" w:after="0"/>
              <w:ind w:left="0" w:right="0" w:hanging="240"/>
              <w:jc w:val="left"/>
              <w:rPr/>
            </w:pPr>
            <w:hyperlink w:anchor="exhibits">
              <w:r>
                <w:rPr>
                  <w:rStyle w:val="InternetLink"/>
                  <w:rFonts w:ascii="Times New Roman;serif" w:hAnsi="Times New Roman;serif"/>
                  <w:b w:val="false"/>
                  <w:sz w:val="20"/>
                  <w:u w:val="single"/>
                </w:rPr>
                <w:t>Exhibits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82</w:t>
            </w:r>
          </w:p>
        </w:tc>
      </w:tr>
      <w:tr>
        <w:trPr/>
        <w:tc>
          <w:tcPr>
            <w:tcW w:w="9659" w:type="dxa"/>
            <w:gridSpan w:val="2"/>
            <w:tcBorders/>
            <w:vAlign w:val="center"/>
          </w:tcPr>
          <w:p>
            <w:pPr>
              <w:pStyle w:val="TableContents"/>
              <w:bidi w:val="0"/>
              <w:spacing w:before="0" w:after="283"/>
              <w:ind w:left="0" w:right="0" w:hanging="0"/>
              <w:jc w:val="left"/>
              <w:rPr>
                <w:sz w:val="4"/>
                <w:szCs w:val="4"/>
              </w:rPr>
            </w:pPr>
            <w:r>
              <w:rPr>
                <w:sz w:val="4"/>
                <w:szCs w:val="4"/>
              </w:rPr>
            </w:r>
          </w:p>
        </w:tc>
        <w:tc>
          <w:tcPr>
            <w:tcW w:w="546" w:type="dxa"/>
            <w:tcBorders/>
            <w:vAlign w:val="center"/>
          </w:tcPr>
          <w:p>
            <w:pPr>
              <w:pStyle w:val="TableContents"/>
              <w:bidi w:val="0"/>
              <w:spacing w:before="0" w:after="0"/>
              <w:ind w:left="0" w:right="0" w:hanging="0"/>
              <w:jc w:val="right"/>
              <w:rPr/>
            </w:pPr>
            <w:r>
              <w:rPr/>
              <w:t> </w:t>
            </w:r>
          </w:p>
        </w:tc>
      </w:tr>
      <w:tr>
        <w:trPr/>
        <w:tc>
          <w:tcPr>
            <w:tcW w:w="9659" w:type="dxa"/>
            <w:gridSpan w:val="2"/>
            <w:tcBorders/>
            <w:vAlign w:val="center"/>
          </w:tcPr>
          <w:p>
            <w:pPr>
              <w:pStyle w:val="TableContents"/>
              <w:bidi w:val="0"/>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46" w:type="dxa"/>
            <w:tcBorders/>
            <w:tcMar>
              <w:top w:w="0" w:type="dxa"/>
              <w:left w:w="0" w:type="dxa"/>
              <w:bottom w:w="0" w:type="dxa"/>
              <w:right w:w="0" w:type="dxa"/>
            </w:tcMar>
            <w:vAlign w:val="center"/>
          </w:tcPr>
          <w:p>
            <w:pPr>
              <w:pStyle w:val="TableContents"/>
              <w:bidi w:val="0"/>
              <w:spacing w:before="0" w:after="20"/>
              <w:ind w:left="0" w:right="0" w:hanging="0"/>
              <w:jc w:val="right"/>
              <w:rPr>
                <w:rFonts w:ascii="Times New Roman;serif" w:hAnsi="Times New Roman;serif"/>
                <w:b w:val="false"/>
                <w:sz w:val="20"/>
              </w:rPr>
            </w:pPr>
            <w:r>
              <w:rPr>
                <w:rFonts w:ascii="Times New Roman;serif" w:hAnsi="Times New Roman;serif"/>
                <w:b w:val="false"/>
                <w:sz w:val="20"/>
              </w:rPr>
              <w:t>83</w:t>
            </w:r>
          </w:p>
        </w:tc>
      </w:tr>
    </w:tbl>
    <w:p>
      <w:pPr>
        <w:pStyle w:val="TextBody"/>
        <w:bidi w:val="0"/>
        <w:spacing w:before="0" w:after="0"/>
        <w:jc w:val="left"/>
        <w:rPr/>
      </w:pPr>
      <w:r>
        <w:rPr/>
        <w:t> </w:t>
      </w:r>
    </w:p>
    <w:p>
      <w:pPr>
        <w:pStyle w:val="TextBody"/>
        <w:bidi w:val="0"/>
        <w:spacing w:before="120" w:after="0"/>
        <w:jc w:val="center"/>
        <w:rPr>
          <w:rFonts w:ascii="Times New Roman;serif" w:hAnsi="Times New Roman;serif"/>
          <w:b w:val="false"/>
          <w:sz w:val="20"/>
        </w:rPr>
      </w:pPr>
      <w:r>
        <w:rPr>
          <w:rFonts w:ascii="Times New Roman;serif" w:hAnsi="Times New Roman;serif"/>
          <w:b w:val="false"/>
          <w:sz w:val="20"/>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 w:name="part_ifinancial_information"/>
      <w:bookmarkEnd w:id="2"/>
      <w:r>
        <w:rPr>
          <w:rFonts w:ascii="Times New Roman;serif" w:hAnsi="Times New Roman;serif"/>
          <w:b/>
          <w:sz w:val="20"/>
        </w:rPr>
        <w:t>PART I—FINANCIAL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ALIGOS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7040"/>
        <w:gridCol w:w="146"/>
        <w:gridCol w:w="211"/>
        <w:gridCol w:w="841"/>
        <w:gridCol w:w="166"/>
        <w:gridCol w:w="146"/>
        <w:gridCol w:w="213"/>
        <w:gridCol w:w="850"/>
        <w:gridCol w:w="592"/>
      </w:tblGrid>
      <w:tr>
        <w:trPr/>
        <w:tc>
          <w:tcPr>
            <w:tcW w:w="7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70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63" w:type="dxa"/>
            <w:gridSpan w:val="2"/>
            <w:tcBorders/>
            <w:vAlign w:val="center"/>
          </w:tcPr>
          <w:p>
            <w:pPr>
              <w:pStyle w:val="TableContents"/>
              <w:bidi w:val="0"/>
              <w:spacing w:before="0" w:after="0"/>
              <w:ind w:left="0" w:right="0" w:hanging="0"/>
              <w:jc w:val="center"/>
              <w:rPr/>
            </w:pPr>
            <w:r>
              <w:rPr/>
              <w:t> </w:t>
            </w:r>
          </w:p>
        </w:tc>
        <w:tc>
          <w:tcPr>
            <w:tcW w:w="592" w:type="dxa"/>
            <w:tcBorders/>
            <w:vAlign w:val="center"/>
          </w:tcPr>
          <w:p>
            <w:pPr>
              <w:pStyle w:val="TableContents"/>
              <w:bidi w:val="0"/>
              <w:spacing w:before="0" w:after="0"/>
              <w:ind w:left="0" w:right="0" w:hanging="0"/>
              <w:jc w:val="center"/>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81,347</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44,480</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7,603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4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94,243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133,545</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7,698</w:t>
            </w:r>
          </w:p>
        </w:tc>
        <w:tc>
          <w:tcPr>
            <w:tcW w:w="592" w:type="dxa"/>
            <w:tcBorders/>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4,816</w:t>
            </w:r>
          </w:p>
        </w:tc>
        <w:tc>
          <w:tcPr>
            <w:tcW w:w="592" w:type="dxa"/>
            <w:tcBorders/>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634</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4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146,693</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4,737</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16,039</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3,035</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Finance 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from customers, current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2,849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467</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 from collaborations, 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4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27,225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33,129</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9,201</w:t>
            </w:r>
          </w:p>
        </w:tc>
        <w:tc>
          <w:tcPr>
            <w:tcW w:w="592" w:type="dxa"/>
            <w:tcBorders/>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Finance lease liabilities,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230</w:t>
            </w:r>
          </w:p>
        </w:tc>
        <w:tc>
          <w:tcPr>
            <w:tcW w:w="592" w:type="dxa"/>
            <w:tcBorders/>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customers, net of current portion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4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36,495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42,793</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7040"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Commitments</w:t>
            </w:r>
            <w:r>
              <w:rPr>
                <w:rFonts w:ascii="Times New Roman" w:hAnsi="Times New Roman"/>
                <w:sz w:val="20"/>
              </w:rPr>
              <w:t> </w:t>
            </w:r>
            <w:r>
              <w:rPr>
                <w:rFonts w:ascii="Times New Roman;serif" w:hAnsi="Times New Roman;serif"/>
                <w:b w:val="false"/>
                <w:sz w:val="20"/>
              </w:rPr>
              <w:t>and contingencies (Note 10)</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hanging="0"/>
              <w:jc w:val="right"/>
              <w:rPr/>
            </w:pPr>
            <w:r>
              <w:rPr/>
              <w:t> </w:t>
            </w:r>
          </w:p>
        </w:tc>
      </w:tr>
      <w:tr>
        <w:trPr/>
        <w:tc>
          <w:tcPr>
            <w:tcW w:w="704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63" w:type="dxa"/>
            <w:gridSpan w:val="2"/>
            <w:tcBorders/>
            <w:vAlign w:val="center"/>
          </w:tcPr>
          <w:p>
            <w:pPr>
              <w:pStyle w:val="TableContents"/>
              <w:bidi w:val="0"/>
              <w:spacing w:before="0" w:after="0"/>
              <w:ind w:left="0" w:right="0" w:hanging="0"/>
              <w:jc w:val="right"/>
              <w:rPr/>
            </w:pPr>
            <w:r>
              <w:rPr/>
              <w:t> </w:t>
            </w:r>
          </w:p>
        </w:tc>
        <w:tc>
          <w:tcPr>
            <w:tcW w:w="592" w:type="dxa"/>
            <w:tcBorders/>
            <w:vAlign w:val="center"/>
          </w:tcPr>
          <w:p>
            <w:pPr>
              <w:pStyle w:val="TableContents"/>
              <w:bidi w:val="0"/>
              <w:spacing w:before="0" w:after="0"/>
              <w:ind w:left="0" w:right="0" w:firstLine="200"/>
              <w:jc w:val="right"/>
              <w:rPr/>
            </w:pPr>
            <w:r>
              <w:rPr/>
              <w:t> </w:t>
            </w:r>
          </w:p>
        </w:tc>
      </w:tr>
      <w:tr>
        <w:trPr/>
        <w:tc>
          <w:tcPr>
            <w:tcW w:w="704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$0.0001</w:t>
            </w:r>
            <w:r>
              <w:rPr>
                <w:rFonts w:ascii="Times New Roman" w:hAnsi="Times New Roman"/>
                <w:sz w:val="20"/>
              </w:rPr>
              <w:t> </w:t>
            </w:r>
            <w:r>
              <w:rPr>
                <w:rFonts w:ascii="Times New Roman;serif" w:hAnsi="Times New Roman;serif"/>
                <w:b w:val="false"/>
                <w:sz w:val="20"/>
              </w:rPr>
              <w:t>par value; 10,000,000</w:t>
            </w:r>
            <w:r>
              <w:rPr>
                <w:rFonts w:ascii="Times New Roman" w:hAnsi="Times New Roman"/>
                <w:sz w:val="20"/>
              </w:rPr>
              <w:t> </w:t>
            </w:r>
            <w:r>
              <w:rPr>
                <w:rFonts w:ascii="Times New Roman;serif" w:hAnsi="Times New Roman;serif"/>
                <w:b w:val="false"/>
                <w:sz w:val="20"/>
              </w:rPr>
              <w:t>shares authorized as of June 30, 2023 (unaudited) and December 31, 2022, respectively; no</w:t>
            </w:r>
            <w:r>
              <w:rPr>
                <w:rFonts w:ascii="Times New Roman" w:hAnsi="Times New Roman"/>
                <w:sz w:val="20"/>
              </w:rPr>
              <w:t> </w:t>
            </w:r>
            <w:r>
              <w:rPr>
                <w:rFonts w:ascii="Times New Roman;serif" w:hAnsi="Times New Roman;serif"/>
                <w:b w:val="false"/>
                <w:sz w:val="20"/>
              </w:rPr>
              <w:t>shares issued and outstanding as of June 30, 2023 (unaudited)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$0.0001</w:t>
            </w:r>
            <w:r>
              <w:rPr>
                <w:rFonts w:ascii="Times New Roman" w:hAnsi="Times New Roman"/>
                <w:sz w:val="20"/>
              </w:rPr>
              <w:t> </w:t>
            </w:r>
            <w:r>
              <w:rPr>
                <w:rFonts w:ascii="Times New Roman;serif" w:hAnsi="Times New Roman;serif"/>
                <w:b w:val="false"/>
                <w:sz w:val="20"/>
              </w:rPr>
              <w:t>par value; 320,000,000</w:t>
            </w:r>
            <w:r>
              <w:rPr>
                <w:rFonts w:ascii="Times New Roman" w:hAnsi="Times New Roman"/>
                <w:sz w:val="20"/>
              </w:rPr>
              <w:t> </w:t>
            </w:r>
            <w:r>
              <w:rPr>
                <w:rFonts w:ascii="Times New Roman;serif" w:hAnsi="Times New Roman;serif"/>
                <w:b w:val="false"/>
                <w:sz w:val="20"/>
              </w:rPr>
              <w:t>shares authorized as of June 30, 2023 (unaudited) and December 31, 2022, respectively; 43,502,582</w:t>
            </w:r>
            <w:r>
              <w:rPr>
                <w:rFonts w:ascii="Times New Roman" w:hAnsi="Times New Roman"/>
                <w:sz w:val="20"/>
              </w:rPr>
              <w:t> </w:t>
            </w:r>
            <w:r>
              <w:rPr>
                <w:rFonts w:ascii="Times New Roman;serif" w:hAnsi="Times New Roman;serif"/>
                <w:b w:val="false"/>
                <w:sz w:val="20"/>
              </w:rPr>
              <w:t>and 42,922,980</w:t>
            </w:r>
            <w:r>
              <w:rPr>
                <w:rFonts w:ascii="Times New Roman" w:hAnsi="Times New Roman"/>
                <w:sz w:val="20"/>
              </w:rPr>
              <w:t> </w:t>
            </w:r>
            <w:r>
              <w:rPr>
                <w:rFonts w:ascii="Times New Roman;serif" w:hAnsi="Times New Roman;serif"/>
                <w:b w:val="false"/>
                <w:sz w:val="20"/>
              </w:rPr>
              <w:t>shares issued and outstanding as of June 30, 2023 (unaudited) and December 31, 2022, respectively.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509,998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502,613</w:t>
            </w:r>
          </w:p>
        </w:tc>
        <w:tc>
          <w:tcPr>
            <w:tcW w:w="592" w:type="dxa"/>
            <w:tcBorders/>
            <w:vAlign w:val="center"/>
          </w:tcPr>
          <w:p>
            <w:pPr>
              <w:pStyle w:val="TableContents"/>
              <w:bidi w:val="0"/>
              <w:spacing w:before="0" w:after="0"/>
              <w:ind w:left="0" w:right="0" w:firstLine="200"/>
              <w:jc w:val="left"/>
              <w:rPr/>
            </w:pPr>
            <w:r>
              <w:rPr/>
              <w:t> </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(440,864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(399,118</w:t>
            </w:r>
          </w:p>
        </w:tc>
        <w:tc>
          <w:tcPr>
            <w:tcW w:w="592"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040"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other comprehensive income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401</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4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69,635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103,900</w:t>
            </w:r>
          </w:p>
        </w:tc>
        <w:tc>
          <w:tcPr>
            <w:tcW w:w="592"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7040"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106,130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146,693</w:t>
            </w:r>
          </w:p>
        </w:tc>
        <w:tc>
          <w:tcPr>
            <w:tcW w:w="59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pBdr>
          <w:bottom w:val="single" w:sz="8" w:space="1" w:color="000000"/>
        </w:pBdr>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858"/>
        <w:gridCol w:w="146"/>
        <w:gridCol w:w="146"/>
        <w:gridCol w:w="211"/>
        <w:gridCol w:w="916"/>
        <w:gridCol w:w="166"/>
        <w:gridCol w:w="146"/>
        <w:gridCol w:w="211"/>
        <w:gridCol w:w="916"/>
        <w:gridCol w:w="166"/>
        <w:gridCol w:w="146"/>
        <w:gridCol w:w="211"/>
        <w:gridCol w:w="916"/>
        <w:gridCol w:w="166"/>
        <w:gridCol w:w="146"/>
        <w:gridCol w:w="211"/>
        <w:gridCol w:w="916"/>
        <w:gridCol w:w="611"/>
      </w:tblGrid>
      <w:tr>
        <w:trPr/>
        <w:tc>
          <w:tcPr>
            <w:tcW w:w="3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8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5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br/>
              <w:t>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collaborations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6,264</w:t>
            </w:r>
          </w:p>
        </w:tc>
        <w:tc>
          <w:tcPr>
            <w:tcW w:w="611" w:type="dxa"/>
            <w:tcBorders/>
            <w:vAlign w:val="center"/>
          </w:tcPr>
          <w:p>
            <w:pPr>
              <w:pStyle w:val="TableContents"/>
              <w:bidi w:val="0"/>
              <w:spacing w:before="0" w:after="0"/>
              <w:ind w:left="0" w:right="0" w:hanging="0"/>
              <w:jc w:val="left"/>
              <w:rPr/>
            </w:pPr>
            <w:r>
              <w:rPr/>
              <w:t> </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customers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hanging="0"/>
              <w:jc w:val="left"/>
              <w:rPr/>
            </w:pPr>
            <w:r>
              <w:rPr/>
              <w:t> </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85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48,186</w:t>
            </w:r>
          </w:p>
        </w:tc>
        <w:tc>
          <w:tcPr>
            <w:tcW w:w="611" w:type="dxa"/>
            <w:tcBorders/>
            <w:vAlign w:val="center"/>
          </w:tcPr>
          <w:p>
            <w:pPr>
              <w:pStyle w:val="TableContents"/>
              <w:bidi w:val="0"/>
              <w:spacing w:before="0" w:after="0"/>
              <w:ind w:left="0" w:right="0" w:firstLine="200"/>
              <w:jc w:val="left"/>
              <w:rPr/>
            </w:pPr>
            <w:r>
              <w:rPr/>
              <w:t> </w:t>
            </w:r>
          </w:p>
        </w:tc>
      </w:tr>
      <w:tr>
        <w:trPr/>
        <w:tc>
          <w:tcPr>
            <w:tcW w:w="385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14,028</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85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24,086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52,668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62,214</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85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(20,393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(43,059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(55,950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and other income, net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85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Loss before income tax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(18,034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(19,877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(40,950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(55,440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(55,539</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firstLine="200"/>
              <w:jc w:val="right"/>
              <w:rPr/>
            </w:pPr>
            <w:r>
              <w:rPr/>
              <w:t> </w:t>
            </w:r>
          </w:p>
        </w:tc>
      </w:tr>
      <w:tr>
        <w:trPr/>
        <w:tc>
          <w:tcPr>
            <w:tcW w:w="385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available-for-sale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(18,793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(20,078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(41,650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(55,941</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(0.97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of common stock, basic and diluted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43,215,478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42,665,598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43,063,615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42,590,479</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40" w:after="0"/>
        <w:jc w:val="center"/>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6" w:name="condensed_consolidated_statements_change"/>
      <w:bookmarkEnd w:id="6"/>
      <w:r>
        <w:rPr>
          <w:rFonts w:ascii="Times New Roman;serif" w:hAnsi="Times New Roman;serif"/>
          <w:b/>
          <w:sz w:val="20"/>
        </w:rPr>
        <w:t>CONDENSED CONSOLIDATED STATEMENTS OF CHANGES IN STOCKHOLDERS’ EQUITY</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val="false"/>
          <w:sz w:val="20"/>
        </w:rPr>
        <w:t>(In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387"/>
        <w:gridCol w:w="146"/>
        <w:gridCol w:w="146"/>
        <w:gridCol w:w="916"/>
        <w:gridCol w:w="146"/>
        <w:gridCol w:w="146"/>
        <w:gridCol w:w="345"/>
        <w:gridCol w:w="346"/>
        <w:gridCol w:w="146"/>
        <w:gridCol w:w="146"/>
        <w:gridCol w:w="196"/>
        <w:gridCol w:w="691"/>
        <w:gridCol w:w="146"/>
        <w:gridCol w:w="146"/>
        <w:gridCol w:w="217"/>
        <w:gridCol w:w="834"/>
        <w:gridCol w:w="166"/>
        <w:gridCol w:w="146"/>
        <w:gridCol w:w="416"/>
        <w:gridCol w:w="800"/>
        <w:gridCol w:w="166"/>
        <w:gridCol w:w="146"/>
        <w:gridCol w:w="231"/>
        <w:gridCol w:w="821"/>
        <w:gridCol w:w="213"/>
      </w:tblGrid>
      <w:tr>
        <w:trPr/>
        <w:tc>
          <w:tcPr>
            <w:tcW w:w="2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59"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3" w:type="dxa"/>
            <w:tcBorders/>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42,940,089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506,320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(422,073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84,750</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related </w:t>
              <w:br/>
              <w:t>   to ESPP 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562,493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461</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2,975</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purchases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222</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Vesting of early exercised </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w:t>
            </w:r>
          </w:p>
        </w:tc>
        <w:tc>
          <w:tcPr>
            <w:tcW w:w="21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(18,791</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43,502,582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509,998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(440,864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69,635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3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213" w:type="dxa"/>
            <w:tcBorders/>
            <w:vAlign w:val="center"/>
          </w:tcPr>
          <w:p>
            <w:pPr>
              <w:pStyle w:val="TableContents"/>
              <w:bidi w:val="0"/>
              <w:spacing w:before="0" w:after="0"/>
              <w:ind w:left="0" w:right="0" w:hanging="0"/>
              <w:jc w:val="right"/>
              <w:rPr/>
            </w:pPr>
            <w:r>
              <w:rPr/>
              <w:t> </w:t>
            </w:r>
          </w:p>
        </w:tc>
      </w:tr>
      <w:tr>
        <w:trPr/>
        <w:tc>
          <w:tcPr>
            <w:tcW w:w="23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459" w:type="dxa"/>
            <w:gridSpan w:val="2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3" w:type="dxa"/>
            <w:tcBorders/>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42,922,980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502,613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(399,118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103,900</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17,109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related </w:t>
              <w:br/>
              <w:t>   to ESPP 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562,493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461</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6,478</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purchases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382</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Vesting of early exercised </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income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6"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13" w:type="dxa"/>
            <w:tcBorders/>
            <w:vAlign w:val="center"/>
          </w:tcPr>
          <w:p>
            <w:pPr>
              <w:pStyle w:val="TableContents"/>
              <w:bidi w:val="0"/>
              <w:spacing w:before="0" w:after="0"/>
              <w:ind w:left="0" w:right="0" w:hanging="0"/>
              <w:jc w:val="left"/>
              <w:rPr/>
            </w:pPr>
            <w:r>
              <w:rPr/>
              <w:t> </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(41,746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(41,746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38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43,502,582</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509,998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(440,864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4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69,635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243"/>
        <w:gridCol w:w="146"/>
        <w:gridCol w:w="146"/>
        <w:gridCol w:w="146"/>
        <w:gridCol w:w="916"/>
        <w:gridCol w:w="146"/>
        <w:gridCol w:w="146"/>
        <w:gridCol w:w="345"/>
        <w:gridCol w:w="346"/>
        <w:gridCol w:w="146"/>
        <w:gridCol w:w="146"/>
        <w:gridCol w:w="196"/>
        <w:gridCol w:w="691"/>
        <w:gridCol w:w="146"/>
        <w:gridCol w:w="146"/>
        <w:gridCol w:w="217"/>
        <w:gridCol w:w="834"/>
        <w:gridCol w:w="166"/>
        <w:gridCol w:w="146"/>
        <w:gridCol w:w="377"/>
        <w:gridCol w:w="839"/>
        <w:gridCol w:w="166"/>
        <w:gridCol w:w="146"/>
        <w:gridCol w:w="231"/>
        <w:gridCol w:w="820"/>
        <w:gridCol w:w="212"/>
      </w:tblGrid>
      <w:tr>
        <w:trPr/>
        <w:tc>
          <w:tcPr>
            <w:tcW w:w="2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2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04" w:type="dxa"/>
            <w:gridSpan w:val="2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 2022</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2" w:type="dxa"/>
            <w:tcBorders/>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March 31,2022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42,695,195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491,365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(338,687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152,886</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related </w:t>
              <w:br/>
              <w:t>   to ESPP 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3,554</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purchases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447</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Vesting of early exercised </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60</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(154</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(19,924</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42,808,288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495,538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(358,611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136,981</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04" w:type="dxa"/>
            <w:gridSpan w:val="2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 2022</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5"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b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br/>
              <w:t>Other</w:t>
              <w:b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br/>
              <w:t>Stockholders’</w:t>
            </w:r>
          </w:p>
        </w:tc>
        <w:tc>
          <w:tcPr>
            <w:tcW w:w="212" w:type="dxa"/>
            <w:tcBorders/>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Income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1" w:type="dxa"/>
            <w:gridSpan w:val="2"/>
            <w:tcBorders/>
            <w:vAlign w:val="center"/>
          </w:tcPr>
          <w:p>
            <w:pPr>
              <w:pStyle w:val="TableContents"/>
              <w:bidi w:val="0"/>
              <w:spacing w:before="0" w:after="0"/>
              <w:ind w:left="0" w:right="0" w:hanging="0"/>
              <w:jc w:val="center"/>
              <w:rPr/>
            </w:pPr>
            <w:r>
              <w:rPr/>
              <w:t> </w:t>
            </w:r>
          </w:p>
        </w:tc>
        <w:tc>
          <w:tcPr>
            <w:tcW w:w="212" w:type="dxa"/>
            <w:tcBorders/>
            <w:vAlign w:val="center"/>
          </w:tcPr>
          <w:p>
            <w:pPr>
              <w:pStyle w:val="TableContents"/>
              <w:bidi w:val="0"/>
              <w:spacing w:before="0" w:after="0"/>
              <w:ind w:left="0" w:right="0" w:hanging="0"/>
              <w:jc w:val="center"/>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42,690,229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487,347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(303,072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452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184,731</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upon </w:t>
              <w:br/>
              <w:t>   exercise of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Issuance of common stock related </w:t>
              <w:br/>
              <w:t>   to ESPP purchase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112,468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awards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7,034</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Stock-based compensation expense related to employee stock purchases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891</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Vesting of early exercised </w:t>
              <w:br/>
              <w:t>   common stock options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144</w:t>
            </w:r>
          </w:p>
        </w:tc>
        <w:tc>
          <w:tcPr>
            <w:tcW w:w="212" w:type="dxa"/>
            <w:tcBorders/>
            <w:vAlign w:val="center"/>
          </w:tcPr>
          <w:p>
            <w:pPr>
              <w:pStyle w:val="TableContents"/>
              <w:bidi w:val="0"/>
              <w:spacing w:before="0" w:after="0"/>
              <w:ind w:left="0" w:right="0" w:hanging="0"/>
              <w:jc w:val="left"/>
              <w:rPr/>
            </w:pPr>
            <w:r>
              <w:rPr/>
              <w:t> </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Other comprehensive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vAlign w:val="center"/>
          </w:tcPr>
          <w:p>
            <w:pPr>
              <w:pStyle w:val="TableContents"/>
              <w:bidi w:val="0"/>
              <w:spacing w:before="0" w:after="0"/>
              <w:ind w:left="0" w:right="0" w:hanging="0"/>
              <w:jc w:val="left"/>
              <w:rPr/>
            </w:pPr>
            <w:r>
              <w:rPr/>
              <w:t> </w:t>
            </w:r>
          </w:p>
        </w:tc>
        <w:tc>
          <w:tcPr>
            <w:tcW w:w="834"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7"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(402</w:t>
            </w:r>
          </w:p>
        </w:tc>
        <w:tc>
          <w:tcPr>
            <w:tcW w:w="212"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(55,539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(55,539</w:t>
            </w:r>
          </w:p>
        </w:tc>
        <w:tc>
          <w:tcPr>
            <w:tcW w:w="2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2243"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Balance as of June 30,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42,808,288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495,538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(358,611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3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136,981</w:t>
            </w:r>
          </w:p>
        </w:tc>
        <w:tc>
          <w:tcPr>
            <w:tcW w:w="21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7" w:name="condensed_consolidated_statements"/>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(In thousands)</w:t>
      </w:r>
      <w:r>
        <w:rPr>
          <w:rFonts w:ascii="Times New Roman" w:hAnsi="Times New Roman"/>
          <w:sz w:val="20"/>
        </w:rPr>
        <w:t xml:space="preserve"> </w:t>
      </w:r>
    </w:p>
    <w:p>
      <w:pPr>
        <w:pStyle w:val="TextBody"/>
        <w:bidi w:val="0"/>
        <w:spacing w:before="0" w:after="0"/>
        <w:jc w:val="center"/>
        <w:rPr/>
      </w:pPr>
      <w:r>
        <w:rPr/>
        <w:t> </w:t>
      </w:r>
    </w:p>
    <w:tbl>
      <w:tblPr>
        <w:tblW w:w="9499" w:type="dxa"/>
        <w:jc w:val="left"/>
        <w:tblInd w:w="0" w:type="dxa"/>
        <w:tblLayout w:type="fixed"/>
        <w:tblCellMar>
          <w:top w:w="28" w:type="dxa"/>
          <w:left w:w="28" w:type="dxa"/>
          <w:bottom w:w="28" w:type="dxa"/>
          <w:right w:w="28" w:type="dxa"/>
        </w:tblCellMar>
      </w:tblPr>
      <w:tblGrid>
        <w:gridCol w:w="6031"/>
        <w:gridCol w:w="146"/>
        <w:gridCol w:w="211"/>
        <w:gridCol w:w="736"/>
        <w:gridCol w:w="166"/>
        <w:gridCol w:w="146"/>
        <w:gridCol w:w="211"/>
        <w:gridCol w:w="841"/>
        <w:gridCol w:w="10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3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(41,746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(55,539</w:t>
            </w:r>
          </w:p>
        </w:tc>
        <w:tc>
          <w:tcPr>
            <w:tcW w:w="10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Accretion of discount on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0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right of 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10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Impairment of right of 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1,246</w:t>
            </w:r>
          </w:p>
        </w:tc>
        <w:tc>
          <w:tcPr>
            <w:tcW w:w="10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Stock-based compensation including ESPP</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7,786</w:t>
            </w:r>
          </w:p>
        </w:tc>
        <w:tc>
          <w:tcPr>
            <w:tcW w:w="10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600"/>
              <w:jc w:val="righ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5,595</w:t>
            </w:r>
          </w:p>
        </w:tc>
        <w:tc>
          <w:tcPr>
            <w:tcW w:w="10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Right of 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(253</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(12,425</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w:t>
            </w:r>
          </w:p>
        </w:tc>
        <w:tc>
          <w:tcPr>
            <w:tcW w:w="1011" w:type="dxa"/>
            <w:tcBorders/>
            <w:vAlign w:val="center"/>
          </w:tcPr>
          <w:p>
            <w:pPr>
              <w:pStyle w:val="TableContents"/>
              <w:bidi w:val="0"/>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 from collaborations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(4,640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8,745</w:t>
            </w:r>
          </w:p>
        </w:tc>
        <w:tc>
          <w:tcPr>
            <w:tcW w:w="1011" w:type="dxa"/>
            <w:tcBorders/>
            <w:vAlign w:val="center"/>
          </w:tcPr>
          <w:p>
            <w:pPr>
              <w:pStyle w:val="TableContents"/>
              <w:bidi w:val="0"/>
              <w:spacing w:before="0" w:after="0"/>
              <w:ind w:left="0" w:right="0" w:firstLine="600"/>
              <w:jc w:val="left"/>
              <w:rPr/>
            </w:pPr>
            <w:r>
              <w:rPr/>
              <w:t> </w:t>
            </w:r>
          </w:p>
        </w:tc>
      </w:tr>
      <w:tr>
        <w:trPr/>
        <w:tc>
          <w:tcPr>
            <w:tcW w:w="6031" w:type="dxa"/>
            <w:tcBorders/>
            <w:vAlign w:val="center"/>
          </w:tcPr>
          <w:p>
            <w:pPr>
              <w:pStyle w:val="TableContents"/>
              <w:bidi w:val="0"/>
              <w:spacing w:before="0" w:after="0"/>
              <w:ind w:left="600" w:right="0" w:hanging="0"/>
              <w:jc w:val="left"/>
              <w:rPr>
                <w:rFonts w:ascii="Times New Roman;serif" w:hAnsi="Times New Roman;serif"/>
                <w:b w:val="false"/>
                <w:sz w:val="20"/>
              </w:rPr>
            </w:pPr>
            <w:r>
              <w:rPr>
                <w:rFonts w:ascii="Times New Roman;serif" w:hAnsi="Times New Roman;serif"/>
                <w:b w:val="false"/>
                <w:sz w:val="20"/>
              </w:rPr>
              <w:t>Deferred revenue from customers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031"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and cash equivalents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(45,469</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Activities in available-for-sale investments: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400"/>
              <w:jc w:val="righ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Maturities of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5,245</w:t>
            </w:r>
          </w:p>
        </w:tc>
        <w:tc>
          <w:tcPr>
            <w:tcW w:w="1011" w:type="dxa"/>
            <w:tcBorders/>
            <w:vAlign w:val="center"/>
          </w:tcPr>
          <w:p>
            <w:pPr>
              <w:pStyle w:val="TableContents"/>
              <w:bidi w:val="0"/>
              <w:spacing w:before="0" w:after="0"/>
              <w:ind w:left="0" w:right="0" w:firstLine="400"/>
              <w:jc w:val="left"/>
              <w:rPr/>
            </w:pPr>
            <w:r>
              <w:rPr/>
              <w:t> </w:t>
            </w:r>
          </w:p>
        </w:tc>
      </w:tr>
      <w:tr>
        <w:trPr/>
        <w:tc>
          <w:tcPr>
            <w:tcW w:w="603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 of short-term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(74,776</w:t>
            </w:r>
          </w:p>
        </w:tc>
        <w:tc>
          <w:tcPr>
            <w:tcW w:w="10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(849</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and cash equivalents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(70,380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011" w:type="dxa"/>
            <w:tcBorders/>
            <w:vAlign w:val="center"/>
          </w:tcPr>
          <w:p>
            <w:pPr>
              <w:pStyle w:val="TableContents"/>
              <w:bidi w:val="0"/>
              <w:spacing w:before="0" w:after="0"/>
              <w:ind w:left="0" w:right="0" w:firstLine="200"/>
              <w:jc w:val="righ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on finance lease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0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ESPP purchase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011" w:type="dxa"/>
            <w:tcBorders/>
            <w:vAlign w:val="center"/>
          </w:tcPr>
          <w:p>
            <w:pPr>
              <w:pStyle w:val="TableContents"/>
              <w:bidi w:val="0"/>
              <w:spacing w:before="0" w:after="0"/>
              <w:ind w:left="0" w:right="0" w:firstLine="200"/>
              <w:jc w:val="left"/>
              <w:rPr/>
            </w:pPr>
            <w:r>
              <w:rPr/>
              <w:t> </w:t>
            </w:r>
          </w:p>
        </w:tc>
      </w:tr>
      <w:tr>
        <w:trPr/>
        <w:tc>
          <w:tcPr>
            <w:tcW w:w="603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the exercise of common stock option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031"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cash and cash equivalents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031" w:type="dxa"/>
            <w:tcBorders/>
            <w:vAlign w:val="center"/>
          </w:tcPr>
          <w:p>
            <w:pPr>
              <w:pStyle w:val="TableContents"/>
              <w:bidi w:val="0"/>
              <w:spacing w:before="0" w:after="0"/>
              <w:ind w:left="80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(115,787</w:t>
            </w:r>
          </w:p>
        </w:tc>
        <w:tc>
          <w:tcPr>
            <w:tcW w:w="10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81,463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186,980</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0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end of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90,870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71,193</w:t>
            </w:r>
          </w:p>
        </w:tc>
        <w:tc>
          <w:tcPr>
            <w:tcW w:w="10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(Unaudited)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val="false"/>
          <w:sz w:val="20"/>
        </w:rPr>
        <w:t>(In thousands)</w:t>
      </w:r>
      <w:r>
        <w:rPr>
          <w:rFonts w:ascii="Times New Roman" w:hAnsi="Times New Roman"/>
          <w:sz w:val="20"/>
        </w:rPr>
        <w:t xml:space="preserve"> </w:t>
      </w:r>
    </w:p>
    <w:p>
      <w:pPr>
        <w:pStyle w:val="TextBody"/>
        <w:bidi w:val="0"/>
        <w:spacing w:before="0" w:after="0"/>
        <w:jc w:val="left"/>
        <w:rPr/>
      </w:pPr>
      <w:r>
        <w:rPr/>
        <w:t> </w:t>
      </w:r>
    </w:p>
    <w:tbl>
      <w:tblPr>
        <w:tblW w:w="8381" w:type="dxa"/>
        <w:jc w:val="left"/>
        <w:tblInd w:w="0" w:type="dxa"/>
        <w:tblLayout w:type="fixed"/>
        <w:tblCellMar>
          <w:top w:w="28" w:type="dxa"/>
          <w:left w:w="28" w:type="dxa"/>
          <w:bottom w:w="28" w:type="dxa"/>
          <w:right w:w="28" w:type="dxa"/>
        </w:tblCellMar>
      </w:tblPr>
      <w:tblGrid>
        <w:gridCol w:w="5956"/>
        <w:gridCol w:w="146"/>
        <w:gridCol w:w="211"/>
        <w:gridCol w:w="677"/>
        <w:gridCol w:w="146"/>
        <w:gridCol w:w="146"/>
        <w:gridCol w:w="211"/>
        <w:gridCol w:w="677"/>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Reconciliation to amounts on the consolidated balance sheet:</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71,172</w:t>
            </w:r>
          </w:p>
        </w:tc>
        <w:tc>
          <w:tcPr>
            <w:tcW w:w="211" w:type="dxa"/>
            <w:tcBorders/>
            <w:vAlign w:val="center"/>
          </w:tcPr>
          <w:p>
            <w:pPr>
              <w:pStyle w:val="TableContents"/>
              <w:bidi w:val="0"/>
              <w:spacing w:before="0" w:after="0"/>
              <w:ind w:left="0" w:right="0" w:hanging="0"/>
              <w:jc w:val="left"/>
              <w:rPr/>
            </w:pPr>
            <w:r>
              <w:rPr/>
              <w:t> </w:t>
            </w:r>
          </w:p>
        </w:tc>
      </w:tr>
      <w:tr>
        <w:trPr/>
        <w:tc>
          <w:tcPr>
            <w:tcW w:w="59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71,193</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disclosures of noncash financing and investing activities:</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8"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r>
        <w:trPr/>
        <w:tc>
          <w:tcPr>
            <w:tcW w:w="59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Mark to market adjustment for available-for-sale investments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Acquisition of right of use asset through operating lease obligation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vAlign w:val="center"/>
          </w:tcPr>
          <w:p>
            <w:pPr>
              <w:pStyle w:val="TableContents"/>
              <w:bidi w:val="0"/>
              <w:spacing w:before="0" w:after="0"/>
              <w:ind w:left="0" w:right="0" w:hanging="0"/>
              <w:jc w:val="left"/>
              <w:rPr/>
            </w:pPr>
            <w:r>
              <w:rPr/>
              <w:t> </w:t>
            </w:r>
          </w:p>
        </w:tc>
      </w:tr>
      <w:tr>
        <w:trPr/>
        <w:tc>
          <w:tcPr>
            <w:tcW w:w="595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Vesting of early exercised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ALIGOS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bookmarkStart w:id="8" w:name="notes_to_unaudited_condensed_consolidate"/>
      <w:bookmarkEnd w:id="8"/>
      <w:r>
        <w:rPr>
          <w:rFonts w:ascii="Times New Roman;serif" w:hAnsi="Times New Roman;serif"/>
          <w:b/>
          <w:sz w:val="20"/>
        </w:rPr>
        <w:t>NOTES TO UNAUDITED CONDENSED CONSOLIDATED FINANCIAL STATEMENTS</w:t>
      </w:r>
      <w:r>
        <w:rPr>
          <w:rFonts w:ascii="Times New Roman" w:hAnsi="Times New Roman"/>
          <w:sz w:val="20"/>
        </w:rPr>
        <w:t xml:space="preserve"> </w:t>
      </w:r>
    </w:p>
    <w:p>
      <w:pPr>
        <w:pStyle w:val="TextBody"/>
        <w:pBdr>
          <w:bottom w:val="single" w:sz="8" w:space="1" w:color="000000"/>
        </w:pBdr>
        <w:bidi w:val="0"/>
        <w:spacing w:before="120" w:after="0"/>
        <w:jc w:val="center"/>
        <w:rPr/>
      </w:pPr>
      <w:r>
        <w:rPr/>
        <w:t> </w:t>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1.</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Organization </w:t>
      </w:r>
    </w:p>
    <w:p>
      <w:pPr>
        <w:pStyle w:val="TextBody"/>
        <w:bidi w:val="0"/>
        <w:spacing w:before="120" w:after="0"/>
        <w:jc w:val="left"/>
        <w:rPr>
          <w:rFonts w:ascii="Times New Roman" w:hAnsi="Times New Roman"/>
          <w:sz w:val="20"/>
        </w:rPr>
      </w:pPr>
      <w:r>
        <w:rPr>
          <w:rFonts w:ascii="Times New Roman;serif" w:hAnsi="Times New Roman;serif"/>
          <w:b/>
          <w:i/>
          <w:sz w:val="20"/>
        </w:rPr>
        <w:t>Description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Aligos is a clinical-stage biopharmaceutical company developing novel therapeutics to address unmet medical needs in viral and liver diseases, including for non-alcoholic steatohepatitis (NASH), coronaviruses and chronic hepatitis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Liquidity</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incurred losses and negative cash flows from operations since its inception. As of June 30, 2023 and December 31, 2022, the Company had an accumulated deficit of $440.9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$399.1</w:t>
      </w:r>
      <w:r>
        <w:rPr>
          <w:rFonts w:ascii="Times New Roman" w:hAnsi="Times New Roman"/>
          <w:sz w:val="20"/>
        </w:rPr>
        <w:t xml:space="preserve"> </w:t>
      </w:r>
      <w:r>
        <w:rPr>
          <w:rFonts w:ascii="Times New Roman;serif" w:hAnsi="Times New Roman;serif"/>
          <w:b w:val="false"/>
          <w:sz w:val="20"/>
        </w:rPr>
        <w:t>million, respectively. Management expects to continue to incur additional substantial losses in the foreseeable future as a result of expanded research and development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 Company has unrestricted cash, cash equivalents and investments of approximately $90.8</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expects to finance its cash needs through a combination of public or private equity offerings, debt financings, collaborations, strategic alliances, licensing arrangements and other marketing or distribution arrangements. In addition, the Company may seek additional capital to take advantage of favorable market conditions or strategic opportunities even if the Company believes it has sufficient funds for its current or future operating plans. Based on the Company’s research and development plans, the Company expects its existing unrestricted cash, cash equivalents and investments, will enable it to fund its operations for at least 12 months following the date the condensed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and the macro-economic environment generally.</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The Company’s ability to raise additional funds will depend on financial, economic and other factors, many of which are beyond its control. For example, the COVID-19 pandemic, the current inflationary economic environment and rising interest rates have resulted in a disruption of global financial markets. If the disruption persists or deepens, the Company could be unable to access additional capital, which could negatively affect its ability to consummate certain corporate development transactions or other important, beneficial or opportunistic investments.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 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pStyle w:val="TextBody"/>
        <w:bidi w:val="0"/>
        <w:spacing w:before="240" w:after="0"/>
        <w:jc w:val="left"/>
        <w:rPr>
          <w:rFonts w:ascii="Times New Roman" w:hAnsi="Times New Roman"/>
          <w:sz w:val="20"/>
        </w:rPr>
      </w:pPr>
      <w:r>
        <w:rPr>
          <w:rFonts w:ascii="Times New Roman;serif" w:hAnsi="Times New Roman;serif"/>
          <w:b w:val="false"/>
          <w:sz w:val="20"/>
        </w:rPr>
        <w:t>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has always maintained a dual banking system to limit its credit and liquidity risk.</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2.</w:t>
      </w:r>
    </w:p>
    <w:p>
      <w:pPr>
        <w:pStyle w:val="TextBody"/>
        <w:bidi w:val="0"/>
        <w:spacing w:before="12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bidi w:val="0"/>
        <w:spacing w:before="360" w:after="0"/>
        <w:jc w:val="left"/>
        <w:rPr>
          <w:rFonts w:ascii="Times New Roman" w:hAnsi="Times New Roman"/>
          <w:sz w:val="20"/>
        </w:rPr>
      </w:pPr>
      <w:r>
        <w:rPr>
          <w:rFonts w:ascii="Times New Roman;serif" w:hAnsi="Times New Roman;serif"/>
          <w:b/>
          <w:i/>
          <w:sz w:val="20"/>
        </w:rPr>
        <w:t>Basis of presentation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accompanying unaudited condensed consolidated financial statements have been prepared in accordance with U.S. generally accepted accounting principles (GAAP) and applicable rules and regulations of the Securities and Exchange Commission (SEC) regarding interim financial reporting. Accordingly, they do not include all of the information and footnotes required by U.S. GAAP for complete financial statements. Any reference in these notes to applicable accounting guidance is meant to refer to the authoritative U.S. GAAP included in the Accounting Standards Codification (ASC), and Accounting Standards Update (ASU) issued by the Financial Accounting Standards Board (FASB).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condensed consolidated balance sheet as of December 31, 2022 included herein was derived from the audited consolidated financial statements as of that date but does not include all of the information and notes required by U.S. GAAP for complete financial statements. Certain information and note disclosures normally included in the financial statements prepared in accordance with U.S. GAAP have been condensed or omitted pursuant to requirements for interim financial statements. As such, the information included in this Quarterly Report on Form 10-Q should be read in conjunction with the audited consolidated financial statements and the related notes thereto as of and for the year ended December 31, 2022, included in the Company’s Annual Report on Form 10-K filed with the SEC on March 9,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Unaudited interim financial information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accompanying consolidated balance sheet as of June 30, 2023, the consolidated statements of operations and comprehensive loss for the three and six months ended June 30, 2023 and 2022, the consolidated statements of stockholders’ equity for the three and six months ended June 30, 2023 and 2022, and the consolidated statements of cash flows for the six months ended June 30, 2023 and 2022 are unaudited. The unaudited consolidated interim financial statements have been prepared on the same basis as the audited annual consolidated financial statements and, in the opinion of management, reflect all adjustments, which include only normal recurring adjustments, necessary for the fair presentation of the Company’s consolidated financial position as of June 30, 2023 and the consolidated results of its operations and cash flows for the three and six months ended June 30, 2023 and 2022. The consolidated financial data and other information disclosed in these notes related to the three and six months ended June 30, 2023 and 2022 are unaudited. The consolidated results for the three and six months ended June 30, 2023 are not necessarily indicative of results to be expected for the year ending December 31, 2023, any other interim periods, or any future year or period.</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Significant accounting policies and estimates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20"/>
        </w:rPr>
        <w:t>Accounting for Government Grants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2022, the Company was awarded a grant of $1.1</w:t>
      </w:r>
      <w:r>
        <w:rPr>
          <w:rFonts w:ascii="Times New Roman" w:hAnsi="Times New Roman"/>
          <w:sz w:val="20"/>
        </w:rPr>
        <w:t xml:space="preserve"> </w:t>
      </w:r>
      <w:r>
        <w:rPr>
          <w:rFonts w:ascii="Times New Roman;serif" w:hAnsi="Times New Roman;serif"/>
          <w:b w:val="false"/>
          <w:sz w:val="20"/>
        </w:rPr>
        <w:t>million by the National Institute of Health (NIH) for research to target coronaviruses. The grant is for multiple years with the amount updated after each year of progress through 2025, subject to the annual reapplication and approval by the NIH. In 2023, the approved grant awarded was an additional $1.4</w:t>
      </w:r>
      <w:r>
        <w:rPr>
          <w:rFonts w:ascii="Times New Roman" w:hAnsi="Times New Roman"/>
          <w:sz w:val="20"/>
        </w:rPr>
        <w:t xml:space="preserve"> </w:t>
      </w:r>
      <w:r>
        <w:rPr>
          <w:rFonts w:ascii="Times New Roman;serif" w:hAnsi="Times New Roman;serif"/>
          <w:b w:val="false"/>
          <w:sz w:val="20"/>
        </w:rPr>
        <w:t xml:space="preserve">million. U.S. GAAP does not contain authoritative accounting standards for grants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w:t>
      </w:r>
      <w:r>
        <w:rPr>
          <w:rFonts w:ascii="Times New Roman;serif" w:hAnsi="Times New Roman;serif"/>
          <w:b w:val="false"/>
          <w:i/>
          <w:sz w:val="20"/>
        </w:rPr>
        <w:t>Accounting for Government Grants and Disclosure of Government Assistance.</w:t>
      </w:r>
      <w:r>
        <w:rPr>
          <w:rFonts w:ascii="Times New Roman" w:hAnsi="Times New Roman"/>
          <w:sz w:val="20"/>
        </w:rPr>
        <w:t xml:space="preserve"> </w:t>
      </w:r>
      <w:r>
        <w:rPr>
          <w:rFonts w:ascii="Times New Roman;serif" w:hAnsi="Times New Roman;serif"/>
          <w:b w:val="false"/>
          <w:sz w:val="20"/>
        </w:rPr>
        <w:t>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based on certain interpretations, it is analogous to “probable” as defined in FASB ASC 450-20-20 under U.S. GAAP, which is the definition the Company has applied. The grant will be recognized in earnings as a reduction of the related expenses.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Impairment of Right of Use Assets</w:t>
      </w:r>
    </w:p>
    <w:p>
      <w:pPr>
        <w:pStyle w:val="TextBody"/>
        <w:bidi w:val="0"/>
        <w:spacing w:before="120" w:after="0"/>
        <w:jc w:val="left"/>
        <w:rPr>
          <w:rFonts w:ascii="Times New Roman" w:hAnsi="Times New Roman"/>
          <w:sz w:val="20"/>
        </w:rPr>
      </w:pPr>
      <w:r>
        <w:rPr>
          <w:rFonts w:ascii="Times New Roman;serif" w:hAnsi="Times New Roman;serif"/>
          <w:b w:val="false"/>
          <w:sz w:val="20"/>
        </w:rPr>
        <w:t>In accordance with ASC 360, Property, Plant and Equipment, management reviews the Company’s right of use assets for impairment annually or whenever events or changes in circumstances indicate that the carrying amount of an asset may not be fully recoverable. Events relating to recoverability may include significant unfavorable changes in business conditions, recurring losses, or a forecasted inability to achieve break-even operating results over an extended period. The Company determines the extent to which an asset may be impaired based upon its expectation of the asset’s future usability, as well as on a reasonable assurance that the future cash flows associated with the asset will be in excess of its carrying amount. If the total of the expected undiscounted future cash flows is less than the carrying amount of the asset, a loss is recognized for the difference between fair value and the carrying value of the asset. During the three months ended June 30, 2023, the Company vacated certain leased office space and as a result, the Company took an impairment charge against right of use assets of $0.7</w:t>
      </w:r>
      <w:r>
        <w:rPr>
          <w:rFonts w:ascii="Times New Roman" w:hAnsi="Times New Roman"/>
          <w:sz w:val="20"/>
        </w:rPr>
        <w:t xml:space="preserve"> </w:t>
      </w:r>
      <w:r>
        <w:rPr>
          <w:rFonts w:ascii="Times New Roman;serif" w:hAnsi="Times New Roman;serif"/>
          <w:b w:val="false"/>
          <w:sz w:val="20"/>
        </w:rPr>
        <w:t>million, recorded in the Consolidated Statements of Operations and Comprehensive Loss.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 other material changes have been made to the Company’s significant accounting policies disclosed in Note 2, Summary of significant accounting policies, in its Annual Report on Form 10-K, filed on March 9, 2023, for the year ended December 31, 2022.</w:t>
      </w:r>
    </w:p>
    <w:p>
      <w:pPr>
        <w:pStyle w:val="TextBody"/>
        <w:bidi w:val="0"/>
        <w:spacing w:before="360" w:after="0"/>
        <w:jc w:val="left"/>
        <w:rPr>
          <w:rFonts w:ascii="Times New Roman" w:hAnsi="Times New Roman"/>
          <w:sz w:val="20"/>
        </w:rPr>
      </w:pPr>
      <w:r>
        <w:rPr>
          <w:rFonts w:ascii="Times New Roman;serif" w:hAnsi="Times New Roman;serif"/>
          <w:b/>
          <w:i/>
          <w:sz w:val="20"/>
        </w:rPr>
        <w:t>Recently issued accounting standards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new accounting pronouncements are issued by FASB that the Company adopts as of the specified effective date. The Company qualifies as an “emerging growth company” as defined in the Jumpstart Our Business Startups Act of 2012 and has the option to not “opt out” of the extended transition related to complying with new or revised accounting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considered all recent accounting pronouncements issued, but not yet effective, and does not expect any to have a material effect on the Company’s condensed consolidated financial statements other than those discussed in its Annual Report on Form 10-K, filed on March 9, 2023, for the year ended December 31, 2022.</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3.</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Property and equipment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components of property and equipment as of June 30, 2023 and December 31, 2022 were as follows (in thousands):</w:t>
      </w:r>
      <w:r>
        <w:rPr>
          <w:rFonts w:ascii="Times New Roman" w:hAnsi="Times New Roman"/>
          <w:sz w:val="20"/>
        </w:rPr>
        <w:t xml:space="preserve"> </w:t>
      </w:r>
    </w:p>
    <w:p>
      <w:pPr>
        <w:pStyle w:val="TextBody"/>
        <w:bidi w:val="0"/>
        <w:spacing w:before="0" w:after="0"/>
        <w:jc w:val="left"/>
        <w:rPr/>
      </w:pPr>
      <w:r>
        <w:rPr/>
        <w:t> </w:t>
      </w:r>
    </w:p>
    <w:tbl>
      <w:tblPr>
        <w:tblW w:w="5552" w:type="dxa"/>
        <w:jc w:val="left"/>
        <w:tblInd w:w="0" w:type="dxa"/>
        <w:tblLayout w:type="fixed"/>
        <w:tblCellMar>
          <w:top w:w="28" w:type="dxa"/>
          <w:left w:w="28" w:type="dxa"/>
          <w:bottom w:w="28" w:type="dxa"/>
          <w:right w:w="28" w:type="dxa"/>
        </w:tblCellMar>
      </w:tblPr>
      <w:tblGrid>
        <w:gridCol w:w="2641"/>
        <w:gridCol w:w="146"/>
        <w:gridCol w:w="211"/>
        <w:gridCol w:w="736"/>
        <w:gridCol w:w="166"/>
        <w:gridCol w:w="146"/>
        <w:gridCol w:w="260"/>
        <w:gridCol w:w="835"/>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b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6,101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6,087</w:t>
            </w:r>
          </w:p>
        </w:tc>
        <w:tc>
          <w:tcPr>
            <w:tcW w:w="41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6,186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6,179</w:t>
            </w:r>
          </w:p>
        </w:tc>
        <w:tc>
          <w:tcPr>
            <w:tcW w:w="41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41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office equipment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739</w:t>
            </w:r>
          </w:p>
        </w:tc>
        <w:tc>
          <w:tcPr>
            <w:tcW w:w="41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Vehicles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305</w:t>
            </w:r>
          </w:p>
        </w:tc>
        <w:tc>
          <w:tcPr>
            <w:tcW w:w="41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 under construction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at cost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14,377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14,384</w:t>
            </w:r>
          </w:p>
        </w:tc>
        <w:tc>
          <w:tcPr>
            <w:tcW w:w="411" w:type="dxa"/>
            <w:tcBorders/>
            <w:vAlign w:val="center"/>
          </w:tcPr>
          <w:p>
            <w:pPr>
              <w:pStyle w:val="TableContents"/>
              <w:bidi w:val="0"/>
              <w:spacing w:before="0" w:after="0"/>
              <w:ind w:left="0" w:right="0" w:hanging="0"/>
              <w:jc w:val="left"/>
              <w:rPr/>
            </w:pPr>
            <w:r>
              <w:rPr/>
              <w:t> </w:t>
            </w:r>
          </w:p>
        </w:tc>
      </w:tr>
      <w:tr>
        <w:trPr/>
        <w:tc>
          <w:tcPr>
            <w:tcW w:w="26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depreciation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(10,426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(9,568</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3,951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4,816</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Depreciation expense was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and six months ended June 30, 2023, and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and six months ended June 30, 2022, respectively. Finance leases are also included in property and equipment as vehicles and lab equipment on the condensed consolidated balance sheets.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4.</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Investments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and December 31, 2022, amortized cost, gross unrealized gains and losses, and estimated fair values of total fixed-maturity securities were as follows (in thousands):</w:t>
      </w:r>
      <w:r>
        <w:rPr>
          <w:rFonts w:ascii="Times New Roman" w:hAnsi="Times New Roman"/>
          <w:sz w:val="20"/>
        </w:rPr>
        <w:t xml:space="preserve"> </w:t>
      </w:r>
    </w:p>
    <w:p>
      <w:pPr>
        <w:pStyle w:val="TextBody"/>
        <w:bidi w:val="0"/>
        <w:spacing w:before="0" w:after="0"/>
        <w:jc w:val="left"/>
        <w:rPr/>
      </w:pPr>
      <w:r>
        <w:rPr/>
        <w:t> </w:t>
      </w:r>
    </w:p>
    <w:tbl>
      <w:tblPr>
        <w:tblW w:w="7287" w:type="dxa"/>
        <w:jc w:val="left"/>
        <w:tblInd w:w="0" w:type="dxa"/>
        <w:tblLayout w:type="fixed"/>
        <w:tblCellMar>
          <w:top w:w="28" w:type="dxa"/>
          <w:left w:w="28" w:type="dxa"/>
          <w:bottom w:w="28" w:type="dxa"/>
          <w:right w:w="28" w:type="dxa"/>
        </w:tblCellMar>
      </w:tblPr>
      <w:tblGrid>
        <w:gridCol w:w="2446"/>
        <w:gridCol w:w="146"/>
        <w:gridCol w:w="348"/>
        <w:gridCol w:w="523"/>
        <w:gridCol w:w="146"/>
        <w:gridCol w:w="146"/>
        <w:gridCol w:w="495"/>
        <w:gridCol w:w="391"/>
        <w:gridCol w:w="146"/>
        <w:gridCol w:w="146"/>
        <w:gridCol w:w="495"/>
        <w:gridCol w:w="391"/>
        <w:gridCol w:w="146"/>
        <w:gridCol w:w="146"/>
        <w:gridCol w:w="353"/>
        <w:gridCol w:w="532"/>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404"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291"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r>
      <w:tr>
        <w:trPr/>
        <w:tc>
          <w:tcPr>
            <w:tcW w:w="2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vAlign w:val="center"/>
          </w:tcPr>
          <w:p>
            <w:pPr>
              <w:pStyle w:val="TableContents"/>
              <w:bidi w:val="0"/>
              <w:spacing w:before="0" w:after="0"/>
              <w:ind w:left="0" w:right="0" w:hanging="0"/>
              <w:jc w:val="left"/>
              <w:rPr/>
            </w:pPr>
            <w:r>
              <w:rPr/>
              <w:t> </w:t>
            </w:r>
          </w:p>
        </w:tc>
        <w:tc>
          <w:tcPr>
            <w:tcW w:w="3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2446" w:type="dxa"/>
            <w:tcBorders/>
            <w:vAlign w:val="center"/>
          </w:tcPr>
          <w:p>
            <w:pPr>
              <w:pStyle w:val="TableContents"/>
              <w:bidi w:val="0"/>
              <w:spacing w:before="0" w:after="283"/>
              <w:ind w:left="0" w:right="0" w:firstLine="10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87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tbl>
      <w:tblPr>
        <w:tblW w:w="7325" w:type="dxa"/>
        <w:jc w:val="left"/>
        <w:tblInd w:w="0" w:type="dxa"/>
        <w:tblLayout w:type="fixed"/>
        <w:tblCellMar>
          <w:top w:w="28" w:type="dxa"/>
          <w:left w:w="28" w:type="dxa"/>
          <w:bottom w:w="28" w:type="dxa"/>
          <w:right w:w="28" w:type="dxa"/>
        </w:tblCellMar>
      </w:tblPr>
      <w:tblGrid>
        <w:gridCol w:w="2446"/>
        <w:gridCol w:w="146"/>
        <w:gridCol w:w="211"/>
        <w:gridCol w:w="676"/>
        <w:gridCol w:w="146"/>
        <w:gridCol w:w="146"/>
        <w:gridCol w:w="495"/>
        <w:gridCol w:w="391"/>
        <w:gridCol w:w="146"/>
        <w:gridCol w:w="146"/>
        <w:gridCol w:w="318"/>
        <w:gridCol w:w="568"/>
        <w:gridCol w:w="16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42" w:type="dxa"/>
            <w:gridSpan w:val="14"/>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pPr>
            <w:r>
              <w:rPr/>
              <w:t> </w:t>
            </w:r>
          </w:p>
        </w:tc>
        <w:tc>
          <w:tcPr>
            <w:tcW w:w="291"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Unrealized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r>
          </w:p>
        </w:tc>
        <w:tc>
          <w:tcPr>
            <w:tcW w:w="291" w:type="dxa"/>
            <w:tcBorders/>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Available-for-sale securities: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right"/>
              <w:rPr/>
            </w:pPr>
            <w:r>
              <w:rPr/>
              <w:t> </w:t>
            </w:r>
          </w:p>
        </w:tc>
      </w:tr>
      <w:tr>
        <w:trPr/>
        <w:tc>
          <w:tcPr>
            <w:tcW w:w="244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44,576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6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44,480</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Changes in fair value are related to changes in market interest rates. The Company expects to collect all contractual principal and interest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following is a summary of maturities of securities available-for-sale as of June 30, 2023 (in thousands):</w:t>
      </w:r>
      <w:r>
        <w:rPr>
          <w:rFonts w:ascii="Times New Roman" w:hAnsi="Times New Roman"/>
          <w:sz w:val="20"/>
        </w:rPr>
        <w:t xml:space="preserve"> </w:t>
      </w:r>
    </w:p>
    <w:p>
      <w:pPr>
        <w:pStyle w:val="TextBody"/>
        <w:bidi w:val="0"/>
        <w:spacing w:before="0" w:after="0"/>
        <w:jc w:val="left"/>
        <w:rPr/>
      </w:pPr>
      <w:r>
        <w:rPr/>
        <w:t> </w:t>
      </w:r>
    </w:p>
    <w:tbl>
      <w:tblPr>
        <w:tblW w:w="5079" w:type="dxa"/>
        <w:jc w:val="left"/>
        <w:tblInd w:w="0" w:type="dxa"/>
        <w:tblLayout w:type="fixed"/>
        <w:tblCellMar>
          <w:top w:w="28" w:type="dxa"/>
          <w:left w:w="28" w:type="dxa"/>
          <w:bottom w:w="28" w:type="dxa"/>
          <w:right w:w="28" w:type="dxa"/>
        </w:tblCellMar>
      </w:tblPr>
      <w:tblGrid>
        <w:gridCol w:w="1906"/>
        <w:gridCol w:w="146"/>
        <w:gridCol w:w="497"/>
        <w:gridCol w:w="748"/>
        <w:gridCol w:w="153"/>
        <w:gridCol w:w="153"/>
        <w:gridCol w:w="353"/>
        <w:gridCol w:w="532"/>
        <w:gridCol w:w="5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Available-for-sale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1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0"/>
              <w:ind w:left="0" w:right="0" w:hanging="0"/>
              <w:jc w:val="left"/>
              <w:rPr/>
            </w:pPr>
            <w:r>
              <w:rPr/>
              <w:t> </w:t>
            </w:r>
          </w:p>
        </w:tc>
        <w:tc>
          <w:tcPr>
            <w:tcW w:w="88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Estimated</w:t>
              <w:br/>
              <w:t>Fair Value</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Amounts maturing in:</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245"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3" w:type="dxa"/>
            <w:tcBorders/>
            <w:vAlign w:val="center"/>
          </w:tcPr>
          <w:p>
            <w:pPr>
              <w:pStyle w:val="TableContents"/>
              <w:bidi w:val="0"/>
              <w:spacing w:before="0" w:after="0"/>
              <w:ind w:left="0" w:right="0" w:hanging="0"/>
              <w:jc w:val="center"/>
              <w:rPr/>
            </w:pPr>
            <w:r>
              <w:rPr/>
              <w:t> </w:t>
            </w:r>
          </w:p>
        </w:tc>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885" w:type="dxa"/>
            <w:gridSpan w:val="2"/>
            <w:tcBorders/>
            <w:vAlign w:val="center"/>
          </w:tcPr>
          <w:p>
            <w:pPr>
              <w:pStyle w:val="TableContents"/>
              <w:bidi w:val="0"/>
              <w:spacing w:before="0" w:after="283"/>
              <w:ind w:left="0" w:right="0" w:hanging="0"/>
              <w:jc w:val="left"/>
              <w:rPr>
                <w:sz w:val="4"/>
                <w:szCs w:val="4"/>
              </w:rPr>
            </w:pPr>
            <w:r>
              <w:rPr>
                <w:sz w:val="4"/>
                <w:szCs w:val="4"/>
              </w:rPr>
            </w:r>
          </w:p>
        </w:tc>
        <w:tc>
          <w:tcPr>
            <w:tcW w:w="591" w:type="dxa"/>
            <w:tcBorders/>
            <w:vAlign w:val="center"/>
          </w:tcPr>
          <w:p>
            <w:pPr>
              <w:pStyle w:val="TableContents"/>
              <w:bidi w:val="0"/>
              <w:spacing w:before="0" w:after="0"/>
              <w:ind w:left="0" w:right="0" w:firstLine="100"/>
              <w:jc w:val="center"/>
              <w:rPr/>
            </w:pPr>
            <w:r>
              <w:rPr/>
              <w:t> </w:t>
            </w:r>
          </w:p>
        </w:tc>
      </w:tr>
      <w:tr>
        <w:trPr/>
        <w:tc>
          <w:tcPr>
            <w:tcW w:w="1906"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One year or less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9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53" w:type="dxa"/>
            <w:tcBorders/>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3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591" w:type="dxa"/>
            <w:tcBorders/>
            <w:vAlign w:val="center"/>
          </w:tcPr>
          <w:p>
            <w:pPr>
              <w:pStyle w:val="TableContents"/>
              <w:bidi w:val="0"/>
              <w:spacing w:before="0" w:after="0"/>
              <w:ind w:left="0" w:right="0" w:firstLine="400"/>
              <w:jc w:val="left"/>
              <w:rPr/>
            </w:pPr>
            <w:r>
              <w:rPr/>
              <w:t> </w:t>
            </w:r>
          </w:p>
        </w:tc>
      </w:tr>
      <w:tr>
        <w:trPr/>
        <w:tc>
          <w:tcPr>
            <w:tcW w:w="190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investments</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97"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8"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5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53" w:type="dxa"/>
            <w:tcBorders/>
            <w:vAlign w:val="center"/>
          </w:tcPr>
          <w:p>
            <w:pPr>
              <w:pStyle w:val="TableContents"/>
              <w:bidi w:val="0"/>
              <w:spacing w:before="0" w:after="283"/>
              <w:ind w:left="0" w:right="0" w:hanging="0"/>
              <w:jc w:val="left"/>
              <w:rPr>
                <w:sz w:val="4"/>
                <w:szCs w:val="4"/>
              </w:rPr>
            </w:pPr>
            <w:r>
              <w:rPr>
                <w:sz w:val="4"/>
                <w:szCs w:val="4"/>
              </w:rPr>
            </w:r>
          </w:p>
        </w:tc>
        <w:tc>
          <w:tcPr>
            <w:tcW w:w="353"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5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Company recorded interest income of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$1.7</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and six months ended June 30, 2023, and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$0.3</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and six months ended June 30, 2022, respectively, as a component of interest and other income, net on the Company’s condensed consolidated statement of operations and comprehensive loss.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5.</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Accrued liabilities </w:t>
      </w:r>
    </w:p>
    <w:p>
      <w:pPr>
        <w:pStyle w:val="TextBody"/>
        <w:bidi w:val="0"/>
        <w:spacing w:before="120" w:after="0"/>
        <w:jc w:val="left"/>
        <w:rPr>
          <w:rFonts w:ascii="Times New Roman" w:hAnsi="Times New Roman"/>
          <w:sz w:val="20"/>
        </w:rPr>
      </w:pPr>
      <w:r>
        <w:rPr>
          <w:rFonts w:ascii="Times New Roman;serif" w:hAnsi="Times New Roman;serif"/>
          <w:b w:val="false"/>
          <w:sz w:val="20"/>
        </w:rPr>
        <w:t>Accrued liabilities consisted of the following (in thousands):</w:t>
      </w:r>
      <w:r>
        <w:rPr>
          <w:rFonts w:ascii="Times New Roman" w:hAnsi="Times New Roman"/>
          <w:sz w:val="20"/>
        </w:rPr>
        <w:t xml:space="preserve"> </w:t>
      </w:r>
    </w:p>
    <w:p>
      <w:pPr>
        <w:pStyle w:val="TextBody"/>
        <w:bidi w:val="0"/>
        <w:spacing w:before="0" w:after="0"/>
        <w:jc w:val="left"/>
        <w:rPr/>
      </w:pPr>
      <w:r>
        <w:rPr/>
        <w:t> </w:t>
      </w:r>
    </w:p>
    <w:tbl>
      <w:tblPr>
        <w:tblW w:w="6522" w:type="dxa"/>
        <w:jc w:val="left"/>
        <w:tblInd w:w="0" w:type="dxa"/>
        <w:tblLayout w:type="fixed"/>
        <w:tblCellMar>
          <w:top w:w="28" w:type="dxa"/>
          <w:left w:w="28" w:type="dxa"/>
          <w:bottom w:w="28" w:type="dxa"/>
          <w:right w:w="28" w:type="dxa"/>
        </w:tblCellMar>
      </w:tblPr>
      <w:tblGrid>
        <w:gridCol w:w="3511"/>
        <w:gridCol w:w="146"/>
        <w:gridCol w:w="211"/>
        <w:gridCol w:w="676"/>
        <w:gridCol w:w="146"/>
        <w:gridCol w:w="146"/>
        <w:gridCol w:w="260"/>
        <w:gridCol w:w="835"/>
        <w:gridCol w:w="5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compensation</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6,297</w:t>
            </w:r>
          </w:p>
        </w:tc>
        <w:tc>
          <w:tcPr>
            <w:tcW w:w="5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payables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8,203</w:t>
            </w:r>
          </w:p>
        </w:tc>
        <w:tc>
          <w:tcPr>
            <w:tcW w:w="5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Liability for early exercised stock options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591" w:type="dxa"/>
            <w:tcBorders/>
            <w:vAlign w:val="center"/>
          </w:tcPr>
          <w:p>
            <w:pPr>
              <w:pStyle w:val="TableContents"/>
              <w:bidi w:val="0"/>
              <w:spacing w:before="0" w:after="0"/>
              <w:ind w:left="0" w:right="0" w:hanging="0"/>
              <w:jc w:val="left"/>
              <w:rPr/>
            </w:pPr>
            <w:r>
              <w:rPr/>
              <w:t> </w:t>
            </w:r>
          </w:p>
        </w:tc>
      </w:tr>
      <w:tr>
        <w:trPr/>
        <w:tc>
          <w:tcPr>
            <w:tcW w:w="35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35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13,795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16,039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there remains a</w:t>
      </w:r>
      <w:r>
        <w:rPr>
          <w:rFonts w:ascii="Times New Roman" w:hAnsi="Times New Roman"/>
          <w:sz w:val="20"/>
        </w:rPr>
        <w:t xml:space="preserve"> </w:t>
      </w:r>
      <w:r>
        <w:rPr>
          <w:rFonts w:ascii="Times New Roman;serif" w:hAnsi="Times New Roman;serif"/>
          <w:b w:val="false"/>
          <w:sz w:val="20"/>
        </w:rPr>
        <w:t>$0.2</w:t>
      </w:r>
      <w:r>
        <w:rPr>
          <w:rFonts w:ascii="Times New Roman" w:hAnsi="Times New Roman"/>
          <w:sz w:val="20"/>
        </w:rPr>
        <w:t xml:space="preserve"> </w:t>
      </w:r>
      <w:r>
        <w:rPr>
          <w:rFonts w:ascii="Times New Roman;serif" w:hAnsi="Times New Roman;serif"/>
          <w:b w:val="false"/>
          <w:sz w:val="20"/>
        </w:rPr>
        <w:t>million accrual, included within Accrued Compensation noted above, for the workforce reduction announced in February 2023, which is expected to be fully utilized by the end of 2023.</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6.</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Stock-based compensation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three and six months ended June 30, 2023, the Company’s stock option compensation expense was approximately $3.0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$6.5</w:t>
      </w:r>
      <w:r>
        <w:rPr>
          <w:rFonts w:ascii="Times New Roman" w:hAnsi="Times New Roman"/>
          <w:sz w:val="20"/>
        </w:rPr>
        <w:t xml:space="preserve"> </w:t>
      </w:r>
      <w:r>
        <w:rPr>
          <w:rFonts w:ascii="Times New Roman;serif" w:hAnsi="Times New Roman;serif"/>
          <w:b w:val="false"/>
          <w:sz w:val="20"/>
        </w:rPr>
        <w:t>million, respectively, and during the three and six months ended June 30, 2022, the Company’s stock option compensation expense was approximately $3.5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$6.9</w:t>
      </w:r>
      <w:r>
        <w:rPr>
          <w:rFonts w:ascii="Times New Roman" w:hAnsi="Times New Roman"/>
          <w:sz w:val="20"/>
        </w:rPr>
        <w:t xml:space="preserve"> </w:t>
      </w:r>
      <w:r>
        <w:rPr>
          <w:rFonts w:ascii="Times New Roman;serif" w:hAnsi="Times New Roman;serif"/>
          <w:b w:val="false"/>
          <w:sz w:val="20"/>
        </w:rPr>
        <w:t>million, respectively. There was no</w:t>
      </w:r>
      <w:r>
        <w:rPr>
          <w:rFonts w:ascii="Times New Roman" w:hAnsi="Times New Roman"/>
          <w:sz w:val="20"/>
        </w:rPr>
        <w:t xml:space="preserve"> </w:t>
      </w:r>
      <w:r>
        <w:rPr>
          <w:rFonts w:ascii="Times New Roman;serif" w:hAnsi="Times New Roman;serif"/>
          <w:b w:val="false"/>
          <w:sz w:val="20"/>
        </w:rPr>
        <w:t>recognized tax benefit in either of the periods. As of June 30, 2023, the unamortized expense balance was $22.2</w:t>
      </w:r>
      <w:r>
        <w:rPr>
          <w:rFonts w:ascii="Times New Roman" w:hAnsi="Times New Roman"/>
          <w:sz w:val="20"/>
        </w:rPr>
        <w:t xml:space="preserve"> </w:t>
      </w:r>
      <w:r>
        <w:rPr>
          <w:rFonts w:ascii="Times New Roman;serif" w:hAnsi="Times New Roman;serif"/>
          <w:b w:val="false"/>
          <w:sz w:val="20"/>
        </w:rPr>
        <w:t>million, to be amortized over a weighted average period of 2.21</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Stock option activity during the six months ended June 30, 2023 is as follows:</w:t>
      </w:r>
      <w:r>
        <w:rPr>
          <w:rFonts w:ascii="Times New Roman" w:hAnsi="Times New Roman"/>
          <w:sz w:val="20"/>
        </w:rPr>
        <w:t xml:space="preserve"> </w:t>
      </w:r>
    </w:p>
    <w:p>
      <w:pPr>
        <w:pStyle w:val="TextBody"/>
        <w:bidi w:val="0"/>
        <w:spacing w:before="0" w:after="0"/>
        <w:jc w:val="left"/>
        <w:rPr/>
      </w:pPr>
      <w:r>
        <w:rPr/>
        <w:t> </w:t>
      </w:r>
    </w:p>
    <w:tbl>
      <w:tblPr>
        <w:tblW w:w="10052" w:type="dxa"/>
        <w:jc w:val="left"/>
        <w:tblInd w:w="0" w:type="dxa"/>
        <w:tblLayout w:type="fixed"/>
        <w:tblCellMar>
          <w:top w:w="28" w:type="dxa"/>
          <w:left w:w="28" w:type="dxa"/>
          <w:bottom w:w="28" w:type="dxa"/>
          <w:right w:w="28" w:type="dxa"/>
        </w:tblCellMar>
      </w:tblPr>
      <w:tblGrid>
        <w:gridCol w:w="4651"/>
        <w:gridCol w:w="146"/>
        <w:gridCol w:w="146"/>
        <w:gridCol w:w="1036"/>
        <w:gridCol w:w="166"/>
        <w:gridCol w:w="146"/>
        <w:gridCol w:w="266"/>
        <w:gridCol w:w="590"/>
        <w:gridCol w:w="146"/>
        <w:gridCol w:w="146"/>
        <w:gridCol w:w="239"/>
        <w:gridCol w:w="766"/>
        <w:gridCol w:w="146"/>
        <w:gridCol w:w="146"/>
        <w:gridCol w:w="425"/>
        <w:gridCol w:w="700"/>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br/>
              <w:t>subject</w:t>
              <w:br/>
              <w:t>to 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remaining</w:t>
              <w:br/>
              <w:t>contractual</w:t>
              <w:br/>
              <w:t>term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 xml:space="preserve">Value </w:t>
              <w:br/>
              <w:t>(in 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January 1,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9,840,127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8.28</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1,520,130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(17,109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(836,487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10,506,661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0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expected to vest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10,504,841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65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Options vested and exercisable as of June 30,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4,864,261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0"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The weighted-average grant date fair value of options granted during the three and six months ended June 30, 2023 was $0.79</w:t>
      </w:r>
      <w:r>
        <w:rPr>
          <w:rFonts w:ascii="Times New Roman" w:hAnsi="Times New Roman"/>
          <w:sz w:val="20"/>
        </w:rPr>
        <w:t xml:space="preserve"> </w:t>
      </w:r>
      <w:r>
        <w:rPr>
          <w:rFonts w:ascii="Times New Roman;serif" w:hAnsi="Times New Roman;serif"/>
          <w:b w:val="false"/>
          <w:sz w:val="20"/>
        </w:rPr>
        <w:t>and $0.93</w:t>
      </w:r>
      <w:r>
        <w:rPr>
          <w:rFonts w:ascii="Times New Roman" w:hAnsi="Times New Roman"/>
          <w:sz w:val="20"/>
        </w:rPr>
        <w:t xml:space="preserve"> </w:t>
      </w:r>
      <w:r>
        <w:rPr>
          <w:rFonts w:ascii="Times New Roman;serif" w:hAnsi="Times New Roman;serif"/>
          <w:b w:val="false"/>
          <w:sz w:val="20"/>
        </w:rPr>
        <w:t>per share, respectively, and during the three and six months ended June 30, 2022 was $0.91</w:t>
      </w:r>
      <w:r>
        <w:rPr>
          <w:rFonts w:ascii="Times New Roman" w:hAnsi="Times New Roman"/>
          <w:sz w:val="20"/>
        </w:rPr>
        <w:t xml:space="preserve"> </w:t>
      </w:r>
      <w:r>
        <w:rPr>
          <w:rFonts w:ascii="Times New Roman;serif" w:hAnsi="Times New Roman;serif"/>
          <w:b w:val="false"/>
          <w:sz w:val="20"/>
        </w:rPr>
        <w:t>and $2.10</w:t>
      </w:r>
      <w:r>
        <w:rPr>
          <w:rFonts w:ascii="Times New Roman" w:hAnsi="Times New Roman"/>
          <w:sz w:val="20"/>
        </w:rPr>
        <w:t xml:space="preserve"> </w:t>
      </w:r>
      <w:r>
        <w:rPr>
          <w:rFonts w:ascii="Times New Roman;serif" w:hAnsi="Times New Roman;serif"/>
          <w:b w:val="false"/>
          <w:sz w:val="20"/>
        </w:rPr>
        <w:t>per share, respectively.</w:t>
      </w:r>
      <w:r>
        <w:rPr>
          <w:rFonts w:ascii="Times New Roman" w:hAnsi="Times New Roman"/>
          <w:sz w:val="20"/>
        </w:rPr>
        <w:t xml:space="preserve"> </w:t>
      </w:r>
    </w:p>
    <w:p>
      <w:pPr>
        <w:pStyle w:val="TextBody"/>
        <w:bidi w:val="0"/>
        <w:spacing w:before="360" w:after="0"/>
        <w:jc w:val="left"/>
        <w:rPr>
          <w:rFonts w:ascii="Times New Roman;serif" w:hAnsi="Times New Roman;serif"/>
          <w:b/>
          <w:i/>
          <w:sz w:val="20"/>
        </w:rPr>
      </w:pPr>
      <w:r>
        <w:rPr>
          <w:rFonts w:ascii="Times New Roman;serif" w:hAnsi="Times New Roman;serif"/>
          <w:b/>
          <w:i/>
          <w:sz w:val="20"/>
        </w:rPr>
        <w:t>Restricted stock awards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and six months ended June 30, 2023, the Company recorded no</w:t>
      </w:r>
      <w:r>
        <w:rPr>
          <w:rFonts w:ascii="Times New Roman" w:hAnsi="Times New Roman"/>
          <w:sz w:val="20"/>
        </w:rPr>
        <w:t xml:space="preserve"> </w:t>
      </w:r>
      <w:r>
        <w:rPr>
          <w:rFonts w:ascii="Times New Roman;serif" w:hAnsi="Times New Roman;serif"/>
          <w:b w:val="false"/>
          <w:sz w:val="20"/>
        </w:rPr>
        <w:t>stock-based compensation expense related to restricted stock awards as all awards are vested.</w:t>
      </w:r>
      <w:r>
        <w:rPr>
          <w:rFonts w:ascii="Times New Roman" w:hAnsi="Times New Roman"/>
          <w:sz w:val="20"/>
        </w:rPr>
        <w:t xml:space="preserve"> </w:t>
      </w:r>
      <w:r>
        <w:rPr>
          <w:rFonts w:ascii="Times New Roman;serif" w:hAnsi="Times New Roman;serif"/>
          <w:b w:val="false"/>
          <w:sz w:val="20"/>
        </w:rPr>
        <w:t>During the three and six months ended June 30, 2022, the Company recorded total stock-based compensation expense related to restricted stock awards of $15</w:t>
      </w:r>
      <w:r>
        <w:rPr>
          <w:rFonts w:ascii="Times New Roman" w:hAnsi="Times New Roman"/>
          <w:sz w:val="20"/>
        </w:rPr>
        <w:t xml:space="preserve"> </w:t>
      </w:r>
      <w:r>
        <w:rPr>
          <w:rFonts w:ascii="Times New Roman;serif" w:hAnsi="Times New Roman;serif"/>
          <w:b w:val="false"/>
          <w:sz w:val="20"/>
        </w:rPr>
        <w:t>thousand</w:t>
      </w:r>
      <w:r>
        <w:rPr>
          <w:rFonts w:ascii="Times New Roman" w:hAnsi="Times New Roman"/>
          <w:sz w:val="20"/>
        </w:rPr>
        <w:t xml:space="preserve"> </w:t>
      </w:r>
      <w:r>
        <w:rPr>
          <w:rFonts w:ascii="Times New Roman;serif" w:hAnsi="Times New Roman;serif"/>
          <w:b w:val="false"/>
          <w:sz w:val="20"/>
        </w:rPr>
        <w:t>and $91</w:t>
      </w:r>
      <w:r>
        <w:rPr>
          <w:rFonts w:ascii="Times New Roman" w:hAnsi="Times New Roman"/>
          <w:sz w:val="20"/>
        </w:rPr>
        <w:t xml:space="preserve"> </w:t>
      </w:r>
      <w:r>
        <w:rPr>
          <w:rFonts w:ascii="Times New Roman;serif" w:hAnsi="Times New Roman;serif"/>
          <w:b w:val="false"/>
          <w:sz w:val="20"/>
        </w:rPr>
        <w:t>thousand.</w:t>
      </w:r>
      <w:r>
        <w:rPr>
          <w:rFonts w:ascii="Times New Roman" w:hAnsi="Times New Roman"/>
          <w:sz w:val="20"/>
        </w:rPr>
        <w:t xml:space="preserve"> </w:t>
      </w:r>
      <w:r>
        <w:rPr>
          <w:rFonts w:ascii="Times New Roman;serif" w:hAnsi="Times New Roman;serif"/>
          <w:b w:val="false"/>
          <w:sz w:val="20"/>
        </w:rPr>
        <w:t>As of June 30, 2023, there was no</w:t>
      </w:r>
      <w:r>
        <w:rPr>
          <w:rFonts w:ascii="Times New Roman" w:hAnsi="Times New Roman"/>
          <w:sz w:val="20"/>
        </w:rPr>
        <w:t xml:space="preserve"> </w:t>
      </w:r>
      <w:r>
        <w:rPr>
          <w:rFonts w:ascii="Times New Roman;serif" w:hAnsi="Times New Roman;serif"/>
          <w:b w:val="false"/>
          <w:sz w:val="20"/>
        </w:rPr>
        <w:t>unrecognized stock-based compensation expense related to outstanding unvested shares of restricted stock awards remaining.</w:t>
      </w:r>
      <w:r>
        <w:rPr>
          <w:rFonts w:ascii="Times New Roman" w:hAnsi="Times New Roman"/>
          <w:sz w:val="20"/>
        </w:rPr>
        <w:t xml:space="preserve"> </w:t>
      </w:r>
    </w:p>
    <w:p>
      <w:pPr>
        <w:pStyle w:val="TextBody"/>
        <w:bidi w:val="0"/>
        <w:spacing w:before="40" w:after="0"/>
        <w:jc w:val="left"/>
        <w:rPr>
          <w:rFonts w:ascii="Times New Roman" w:hAnsi="Times New Roman"/>
          <w:sz w:val="20"/>
        </w:rPr>
      </w:pPr>
      <w:r>
        <w:rPr>
          <w:rFonts w:ascii="Times New Roman;serif" w:hAnsi="Times New Roman;serif"/>
          <w:b w:val="false"/>
          <w:sz w:val="20"/>
        </w:rPr>
        <w:t>During the six months ended June 30, 2023 and 2022, the Company did not issue shares of common stock, upon exercise of unvested stock options or purchases for unvested restricted stock awards. As of June 30, 2023 and December 31, 2022, there were 9,621</w:t>
      </w:r>
      <w:r>
        <w:rPr>
          <w:rFonts w:ascii="Times New Roman" w:hAnsi="Times New Roman"/>
          <w:sz w:val="20"/>
        </w:rPr>
        <w:t xml:space="preserve"> </w:t>
      </w:r>
      <w:r>
        <w:rPr>
          <w:rFonts w:ascii="Times New Roman;serif" w:hAnsi="Times New Roman;serif"/>
          <w:b w:val="false"/>
          <w:sz w:val="20"/>
        </w:rPr>
        <w:t>and 28,711</w:t>
      </w:r>
      <w:r>
        <w:rPr>
          <w:rFonts w:ascii="Times New Roman" w:hAnsi="Times New Roman"/>
          <w:sz w:val="20"/>
        </w:rPr>
        <w:t xml:space="preserve"> </w:t>
      </w:r>
      <w:r>
        <w:rPr>
          <w:rFonts w:ascii="Times New Roman;serif" w:hAnsi="Times New Roman;serif"/>
          <w:b w:val="false"/>
          <w:sz w:val="20"/>
        </w:rPr>
        <w:t>shares of Common Stock held by employees subject to repurchase at an aggregate price of approximately $0.0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$0.1</w:t>
      </w:r>
      <w:r>
        <w:rPr>
          <w:rFonts w:ascii="Times New Roman" w:hAnsi="Times New Roman"/>
          <w:sz w:val="20"/>
        </w:rPr>
        <w:t xml:space="preserve"> </w:t>
      </w:r>
      <w:r>
        <w:rPr>
          <w:rFonts w:ascii="Times New Roman;serif" w:hAnsi="Times New Roman;serif"/>
          <w:b w:val="false"/>
          <w:sz w:val="20"/>
        </w:rPr>
        <w:t>million, respectively. A corresponding liability was recorded and included in accrued expenses on the condensed consolidated balance sheet as of June 30, 2023 and December 31, 2022, respectively.</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40" w:after="0"/>
        <w:jc w:val="left"/>
        <w:rPr/>
      </w:pPr>
      <w:r>
        <w:rPr/>
        <w:t> </w:t>
      </w:r>
    </w:p>
    <w:p>
      <w:pPr>
        <w:pStyle w:val="TextBody"/>
        <w:bidi w:val="0"/>
        <w:spacing w:before="40" w:after="0"/>
        <w:jc w:val="left"/>
        <w:rPr>
          <w:rFonts w:ascii="Times New Roman;serif" w:hAnsi="Times New Roman;serif"/>
          <w:b/>
          <w:i/>
          <w:sz w:val="20"/>
        </w:rPr>
      </w:pPr>
      <w:r>
        <w:rPr>
          <w:rFonts w:ascii="Times New Roman;serif" w:hAnsi="Times New Roman;serif"/>
          <w:b/>
          <w:i/>
          <w:sz w:val="20"/>
        </w:rPr>
        <w:t>Employee stock purchase plan</w:t>
      </w:r>
    </w:p>
    <w:p>
      <w:pPr>
        <w:pStyle w:val="TextBody"/>
        <w:bidi w:val="0"/>
        <w:spacing w:before="40" w:after="0"/>
        <w:jc w:val="left"/>
        <w:rPr>
          <w:rFonts w:ascii="Times New Roman" w:hAnsi="Times New Roman"/>
          <w:sz w:val="20"/>
        </w:rPr>
      </w:pPr>
      <w:r>
        <w:rPr>
          <w:rFonts w:ascii="Times New Roman;serif" w:hAnsi="Times New Roman;serif"/>
          <w:b w:val="false"/>
          <w:sz w:val="20"/>
        </w:rPr>
        <w:t>During the three and six months ended June 30, 2023, the Company recorded total stock-based compensation expense related to the employee stock purchase plan of $0.2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$0.4</w:t>
      </w:r>
      <w:r>
        <w:rPr>
          <w:rFonts w:ascii="Times New Roman" w:hAnsi="Times New Roman"/>
          <w:sz w:val="20"/>
        </w:rPr>
        <w:t xml:space="preserve"> </w:t>
      </w:r>
      <w:r>
        <w:rPr>
          <w:rFonts w:ascii="Times New Roman;serif" w:hAnsi="Times New Roman;serif"/>
          <w:b w:val="false"/>
          <w:sz w:val="20"/>
        </w:rPr>
        <w:t>million, respectively. During the three and six months ended June 30, 2022, the Company recorded total stock-based compensation expense related to the employee stock purchase plan of $0.4</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$0.7</w:t>
      </w:r>
      <w:r>
        <w:rPr>
          <w:rFonts w:ascii="Times New Roman" w:hAnsi="Times New Roman"/>
          <w:sz w:val="20"/>
        </w:rPr>
        <w:t xml:space="preserve"> </w:t>
      </w:r>
      <w:r>
        <w:rPr>
          <w:rFonts w:ascii="Times New Roman;serif" w:hAnsi="Times New Roman;serif"/>
          <w:b w:val="false"/>
          <w:sz w:val="20"/>
        </w:rPr>
        <w:t>million. During the six months ended June 30, 2023 and 2022, 562,493</w:t>
      </w:r>
      <w:r>
        <w:rPr>
          <w:rFonts w:ascii="Times New Roman" w:hAnsi="Times New Roman"/>
          <w:sz w:val="20"/>
        </w:rPr>
        <w:t xml:space="preserve"> </w:t>
      </w:r>
      <w:r>
        <w:rPr>
          <w:rFonts w:ascii="Times New Roman;serif" w:hAnsi="Times New Roman;serif"/>
          <w:b w:val="false"/>
          <w:sz w:val="20"/>
        </w:rPr>
        <w:t>and 112,468</w:t>
      </w:r>
      <w:r>
        <w:rPr>
          <w:rFonts w:ascii="Times New Roman" w:hAnsi="Times New Roman"/>
          <w:sz w:val="20"/>
        </w:rPr>
        <w:t xml:space="preserve"> </w:t>
      </w:r>
      <w:r>
        <w:rPr>
          <w:rFonts w:ascii="Times New Roman;serif" w:hAnsi="Times New Roman;serif"/>
          <w:b w:val="false"/>
          <w:sz w:val="20"/>
        </w:rPr>
        <w:t>purchases of awards under this plan have been made, respectively. There were no</w:t>
      </w:r>
      <w:r>
        <w:rPr>
          <w:rFonts w:ascii="Times New Roman" w:hAnsi="Times New Roman"/>
          <w:sz w:val="20"/>
        </w:rPr>
        <w:t xml:space="preserve"> </w:t>
      </w:r>
      <w:r>
        <w:rPr>
          <w:rFonts w:ascii="Times New Roman;serif" w:hAnsi="Times New Roman;serif"/>
          <w:b w:val="false"/>
          <w:sz w:val="20"/>
        </w:rPr>
        <w:t>purchases of awards in the first quarters of 2023 and 2022.</w:t>
      </w:r>
      <w:r>
        <w:rPr>
          <w:rFonts w:ascii="Times New Roman" w:hAnsi="Times New Roman"/>
          <w:sz w:val="20"/>
        </w:rPr>
        <w:t xml:space="preserve"> </w:t>
      </w:r>
    </w:p>
    <w:p>
      <w:pPr>
        <w:pStyle w:val="TextBody"/>
        <w:bidi w:val="0"/>
        <w:spacing w:before="40" w:after="0"/>
        <w:jc w:val="left"/>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20"/>
        </w:rPr>
        <w:t>Stock-based compensation expense was allocated as follows for the three and six months ended June 30, 2023 and 2022 (in thousands):</w:t>
      </w:r>
      <w:r>
        <w:rPr>
          <w:rFonts w:ascii="Times New Roman" w:hAnsi="Times New Roman"/>
          <w:sz w:val="20"/>
        </w:rPr>
        <w:t xml:space="preserve"> </w:t>
      </w:r>
    </w:p>
    <w:p>
      <w:pPr>
        <w:pStyle w:val="TextBody"/>
        <w:bidi w:val="0"/>
        <w:spacing w:before="0" w:after="0"/>
        <w:jc w:val="left"/>
        <w:rPr/>
      </w:pPr>
      <w:r>
        <w:rPr/>
        <w:t> </w:t>
      </w:r>
    </w:p>
    <w:tbl>
      <w:tblPr>
        <w:tblW w:w="7052"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571"/>
        <w:gridCol w:w="5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5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5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4,200</w:t>
            </w:r>
          </w:p>
        </w:tc>
        <w:tc>
          <w:tcPr>
            <w:tcW w:w="5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3,580</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31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3,994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7,780</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40" w:after="0"/>
        <w:jc w:val="left"/>
        <w:rPr/>
      </w:pPr>
      <w:r>
        <w:rPr/>
        <w:t> </w:t>
      </w:r>
    </w:p>
    <w:p>
      <w:pPr>
        <w:pStyle w:val="TextBody"/>
        <w:bidi w:val="0"/>
        <w:spacing w:before="360" w:after="0"/>
        <w:jc w:val="left"/>
        <w:rPr>
          <w:rFonts w:ascii="Times New Roman" w:hAnsi="Times New Roman"/>
          <w:b/>
          <w:sz w:val="20"/>
        </w:rPr>
      </w:pPr>
      <w:r>
        <w:rPr>
          <w:rFonts w:ascii="Times New Roman" w:hAnsi="Times New Roman"/>
          <w:b/>
          <w:sz w:val="20"/>
        </w:rPr>
        <w:t>7.</w:t>
      </w:r>
    </w:p>
    <w:p>
      <w:pPr>
        <w:pStyle w:val="TextBody"/>
        <w:bidi w:val="0"/>
        <w:spacing w:before="360" w:after="283"/>
        <w:jc w:val="left"/>
        <w:rPr>
          <w:rFonts w:ascii="Times New Roman;serif" w:hAnsi="Times New Roman;serif"/>
          <w:b/>
          <w:sz w:val="20"/>
        </w:rPr>
      </w:pPr>
      <w:r>
        <w:rPr>
          <w:rFonts w:ascii="Times New Roman;serif" w:hAnsi="Times New Roman;serif"/>
          <w:b/>
          <w:sz w:val="20"/>
        </w:rPr>
        <w:t xml:space="preserve">Fair value </w:t>
      </w:r>
    </w:p>
    <w:p>
      <w:pPr>
        <w:pStyle w:val="TextBody"/>
        <w:bidi w:val="0"/>
        <w:spacing w:before="120" w:after="0"/>
        <w:jc w:val="left"/>
        <w:rPr>
          <w:rFonts w:ascii="Times New Roman" w:hAnsi="Times New Roman"/>
          <w:sz w:val="20"/>
        </w:rPr>
      </w:pPr>
      <w:r>
        <w:rPr>
          <w:rFonts w:ascii="Times New Roman;serif" w:hAnsi="Times New Roman;serif"/>
          <w:b w:val="false"/>
          <w:sz w:val="20"/>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Quoted prices in active markets for identical assets or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Unobservable inputs that are supported by little or no market activity that are significant to determining the fair value of the assets or liabilities, including pricing models, discounted cash flow methodologies and similar techniques.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present the fair value of the Company’s financial instruments that are measured or disclosed at fair value on a recurring basis (in thousands):</w:t>
      </w:r>
      <w:r>
        <w:rPr>
          <w:rFonts w:ascii="Times New Roman" w:hAnsi="Times New Roman"/>
          <w:sz w:val="20"/>
        </w:rPr>
        <w:t xml:space="preserve"> </w:t>
      </w:r>
    </w:p>
    <w:p>
      <w:pPr>
        <w:pStyle w:val="TextBody"/>
        <w:bidi w:val="0"/>
        <w:spacing w:before="0" w:after="0"/>
        <w:jc w:val="left"/>
        <w:rPr/>
      </w:pPr>
      <w:r>
        <w:rPr/>
        <w:t> </w:t>
      </w:r>
    </w:p>
    <w:tbl>
      <w:tblPr>
        <w:tblW w:w="5014" w:type="dxa"/>
        <w:jc w:val="left"/>
        <w:tblInd w:w="0" w:type="dxa"/>
        <w:tblLayout w:type="fixed"/>
        <w:tblCellMar>
          <w:top w:w="28" w:type="dxa"/>
          <w:left w:w="28" w:type="dxa"/>
          <w:bottom w:w="28" w:type="dxa"/>
          <w:right w:w="28" w:type="dxa"/>
        </w:tblCellMar>
      </w:tblPr>
      <w:tblGrid>
        <w:gridCol w:w="1741"/>
        <w:gridCol w:w="146"/>
        <w:gridCol w:w="211"/>
        <w:gridCol w:w="781"/>
        <w:gridCol w:w="146"/>
        <w:gridCol w:w="146"/>
        <w:gridCol w:w="352"/>
        <w:gridCol w:w="278"/>
        <w:gridCol w:w="146"/>
        <w:gridCol w:w="146"/>
        <w:gridCol w:w="352"/>
        <w:gridCol w:w="278"/>
        <w:gridCol w:w="2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6"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Measurements </w:t>
              <w:br/>
              <w:t>as of June 30, 2023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7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vAlign w:val="center"/>
          </w:tcPr>
          <w:p>
            <w:pPr>
              <w:pStyle w:val="TableContents"/>
              <w:bidi w:val="0"/>
              <w:spacing w:before="0" w:after="0"/>
              <w:ind w:left="0" w:right="0" w:firstLine="100"/>
              <w:jc w:val="left"/>
              <w:rPr/>
            </w:pPr>
            <w:r>
              <w:rPr/>
              <w:t> </w:t>
            </w:r>
          </w:p>
        </w:tc>
      </w:tr>
      <w:tr>
        <w:trPr/>
        <w:tc>
          <w:tcPr>
            <w:tcW w:w="17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90,838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hanging="0"/>
              <w:jc w:val="right"/>
              <w:rPr/>
            </w:pPr>
            <w:r>
              <w:rPr/>
              <w:t> </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836"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Measurements </w:t>
              <w:br/>
              <w:t>as of December 31, 2022</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Assets: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30" w:type="dxa"/>
            <w:gridSpan w:val="2"/>
            <w:tcBorders/>
            <w:vAlign w:val="center"/>
          </w:tcPr>
          <w:p>
            <w:pPr>
              <w:pStyle w:val="TableContents"/>
              <w:bidi w:val="0"/>
              <w:spacing w:before="0" w:after="0"/>
              <w:ind w:left="0" w:right="0" w:hanging="0"/>
              <w:jc w:val="right"/>
              <w:rPr/>
            </w:pPr>
            <w:r>
              <w:rPr/>
              <w:t> </w:t>
            </w:r>
          </w:p>
        </w:tc>
        <w:tc>
          <w:tcPr>
            <w:tcW w:w="291" w:type="dxa"/>
            <w:tcBorders/>
            <w:vAlign w:val="center"/>
          </w:tcPr>
          <w:p>
            <w:pPr>
              <w:pStyle w:val="TableContents"/>
              <w:bidi w:val="0"/>
              <w:spacing w:before="0" w:after="0"/>
              <w:ind w:left="0" w:right="0" w:firstLine="100"/>
              <w:jc w:val="right"/>
              <w:rPr/>
            </w:pPr>
            <w:r>
              <w:rPr/>
              <w:t> </w:t>
            </w:r>
          </w:p>
        </w:tc>
      </w:tr>
      <w:tr>
        <w:trPr/>
        <w:tc>
          <w:tcPr>
            <w:tcW w:w="17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81,347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vAlign w:val="center"/>
          </w:tcPr>
          <w:p>
            <w:pPr>
              <w:pStyle w:val="TableContents"/>
              <w:bidi w:val="0"/>
              <w:spacing w:before="0" w:after="0"/>
              <w:ind w:left="0" w:right="0" w:firstLine="100"/>
              <w:jc w:val="left"/>
              <w:rPr/>
            </w:pPr>
            <w:r>
              <w:rPr/>
              <w:t> </w:t>
            </w:r>
          </w:p>
        </w:tc>
      </w:tr>
      <w:tr>
        <w:trPr/>
        <w:tc>
          <w:tcPr>
            <w:tcW w:w="17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U.S. Treasury bonds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44,480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125,827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8.</w:t>
      </w:r>
    </w:p>
    <w:p>
      <w:pPr>
        <w:pStyle w:val="TextBody"/>
        <w:bidi w:val="0"/>
        <w:spacing w:before="120" w:after="283"/>
        <w:jc w:val="left"/>
        <w:rPr>
          <w:rFonts w:ascii="Times New Roman;serif" w:hAnsi="Times New Roman;serif"/>
          <w:b/>
          <w:sz w:val="20"/>
        </w:rPr>
      </w:pPr>
      <w:r>
        <w:rPr>
          <w:rFonts w:ascii="Times New Roman;serif" w:hAnsi="Times New Roman;serif"/>
          <w:b/>
          <w:sz w:val="20"/>
        </w:rPr>
        <w:t xml:space="preserve">License and collaboration agreements </w:t>
      </w:r>
    </w:p>
    <w:p>
      <w:pPr>
        <w:pStyle w:val="TextBody"/>
        <w:bidi w:val="0"/>
        <w:spacing w:before="120" w:after="0"/>
        <w:jc w:val="left"/>
        <w:rPr>
          <w:rFonts w:ascii="Times New Roman" w:hAnsi="Times New Roman"/>
          <w:sz w:val="20"/>
        </w:rPr>
      </w:pPr>
      <w:r>
        <w:rPr>
          <w:rFonts w:ascii="Times New Roman;serif" w:hAnsi="Times New Roman;serif"/>
          <w:b/>
          <w:i/>
          <w:sz w:val="20"/>
        </w:rPr>
        <w:t>Agreement with Emory University (Emory)</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bidi w:val="0"/>
        <w:spacing w:before="240" w:after="0"/>
        <w:jc w:val="left"/>
        <w:rPr>
          <w:rFonts w:ascii="Times New Roman" w:hAnsi="Times New Roman"/>
          <w:sz w:val="20"/>
        </w:rPr>
      </w:pPr>
      <w:r>
        <w:rPr>
          <w:rFonts w:ascii="Times New Roman;serif" w:hAnsi="Times New Roman;serif"/>
          <w:b w:val="false"/>
          <w:sz w:val="20"/>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w:t>
      </w:r>
      <w:r>
        <w:rPr>
          <w:rFonts w:ascii="Times New Roman" w:hAnsi="Times New Roman"/>
          <w:sz w:val="20"/>
        </w:rPr>
        <w:t xml:space="preserve"> </w:t>
      </w:r>
      <w:r>
        <w:rPr>
          <w:rFonts w:ascii="Times New Roman;serif" w:hAnsi="Times New Roman;serif"/>
          <w:b w:val="false"/>
          <w:sz w:val="20"/>
        </w:rPr>
        <w:t>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w:t>
      </w:r>
      <w:r>
        <w:rPr>
          <w:rFonts w:ascii="Times New Roman" w:hAnsi="Times New Roman"/>
          <w:sz w:val="20"/>
        </w:rPr>
        <w:t xml:space="preserve"> </w:t>
      </w:r>
      <w:r>
        <w:rPr>
          <w:rFonts w:ascii="Times New Roman;serif" w:hAnsi="Times New Roman;serif"/>
          <w:b w:val="false"/>
          <w:sz w:val="20"/>
        </w:rPr>
        <w:t>In connection with the research plan, the Company will provide Emory funding up to $0.3</w:t>
      </w:r>
      <w:r>
        <w:rPr>
          <w:rFonts w:ascii="Times New Roman" w:hAnsi="Times New Roman"/>
          <w:sz w:val="20"/>
        </w:rPr>
        <w:t xml:space="preserve"> </w:t>
      </w:r>
      <w:r>
        <w:rPr>
          <w:rFonts w:ascii="Times New Roman;serif" w:hAnsi="Times New Roman;serif"/>
          <w:b w:val="false"/>
          <w:sz w:val="20"/>
        </w:rPr>
        <w:t>million per year.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has agreed to pay Emory up to an aggregate of $125.0</w:t>
      </w:r>
      <w:r>
        <w:rPr>
          <w:rFonts w:ascii="Times New Roman" w:hAnsi="Times New Roman"/>
          <w:sz w:val="20"/>
        </w:rPr>
        <w:t xml:space="preserve"> </w:t>
      </w:r>
      <w:r>
        <w:rPr>
          <w:rFonts w:ascii="Times New Roman;serif" w:hAnsi="Times New Roman;serif"/>
          <w:b w:val="false"/>
          <w:sz w:val="20"/>
        </w:rPr>
        <w:t>million upon the achievement of specified development, regulatory, and commercial milestones, and all ongoing patent costs. During the three and six months ended June 30, 2023 and 2022, the Company had no</w:t>
      </w:r>
      <w:r>
        <w:rPr>
          <w:rFonts w:ascii="Times New Roman" w:hAnsi="Times New Roman"/>
          <w:sz w:val="20"/>
        </w:rPr>
        <w:t xml:space="preserve"> </w:t>
      </w:r>
      <w:r>
        <w:rPr>
          <w:rFonts w:ascii="Times New Roman;serif" w:hAnsi="Times New Roman;serif"/>
          <w:b w:val="false"/>
          <w:sz w:val="20"/>
        </w:rPr>
        <w:t>expenses related to milestone payments.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 During the three and six months ended June 30, 2023 and 2022, the Company made no</w:t>
      </w:r>
      <w:r>
        <w:rPr>
          <w:rFonts w:ascii="Times New Roman" w:hAnsi="Times New Roman"/>
          <w:sz w:val="20"/>
        </w:rPr>
        <w:t xml:space="preserve"> </w:t>
      </w:r>
      <w:r>
        <w:rPr>
          <w:rFonts w:ascii="Times New Roman;serif" w:hAnsi="Times New Roman;serif"/>
          <w:b w:val="false"/>
          <w:sz w:val="20"/>
        </w:rPr>
        <w:t>payments associated with royalties and recognized no</w:t>
      </w:r>
      <w:r>
        <w:rPr>
          <w:rFonts w:ascii="Times New Roman" w:hAnsi="Times New Roman"/>
          <w:sz w:val="20"/>
        </w:rPr>
        <w:t xml:space="preserve"> </w:t>
      </w:r>
      <w:r>
        <w:rPr>
          <w:rFonts w:ascii="Times New Roman;serif" w:hAnsi="Times New Roman;serif"/>
          <w:b w:val="false"/>
          <w:sz w:val="20"/>
        </w:rPr>
        <w:t>expense or accruals.</w:t>
      </w:r>
    </w:p>
    <w:p>
      <w:pPr>
        <w:pStyle w:val="TextBody"/>
        <w:bidi w:val="0"/>
        <w:spacing w:before="360" w:after="0"/>
        <w:jc w:val="left"/>
        <w:rPr>
          <w:rFonts w:ascii="Times New Roman" w:hAnsi="Times New Roman"/>
          <w:sz w:val="20"/>
        </w:rPr>
      </w:pPr>
      <w:r>
        <w:rPr>
          <w:rFonts w:ascii="Times New Roman;serif" w:hAnsi="Times New Roman;serif"/>
          <w:b/>
          <w:i/>
          <w:sz w:val="20"/>
        </w:rPr>
        <w:t>Agreement with Luxna Biotech Co., Ltd. (Luxna)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NASH,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the Company paid Luxna a one-time non-refundable fee of $0.2</w:t>
      </w:r>
      <w:r>
        <w:rPr>
          <w:rFonts w:ascii="Times New Roman" w:hAnsi="Times New Roman"/>
          <w:sz w:val="20"/>
        </w:rPr>
        <w:t xml:space="preserve"> </w:t>
      </w:r>
      <w:r>
        <w:rPr>
          <w:rFonts w:ascii="Times New Roman;serif" w:hAnsi="Times New Roman;serif"/>
          <w:b w:val="false"/>
          <w:sz w:val="20"/>
        </w:rPr>
        <w:t>million in April 2020.</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 Company is obligated to make payments to Luxna, in aggregate, totaling up to but no more than $55.5</w:t>
      </w:r>
      <w:r>
        <w:rPr>
          <w:rFonts w:ascii="Times New Roman" w:hAnsi="Times New Roman"/>
          <w:sz w:val="20"/>
        </w:rPr>
        <w:t xml:space="preserve"> </w:t>
      </w:r>
      <w:r>
        <w:rPr>
          <w:rFonts w:ascii="Times New Roman;serif" w:hAnsi="Times New Roman;serif"/>
          <w:b w:val="false"/>
          <w:sz w:val="20"/>
        </w:rPr>
        <w:t>million upon the achievement of specified development, regulatory, and commercial milestones. During the three and six months ended June 30, 2023 and 2022, the Company recognized no</w:t>
      </w:r>
      <w:r>
        <w:rPr>
          <w:rFonts w:ascii="Times New Roman" w:hAnsi="Times New Roman"/>
          <w:sz w:val="20"/>
        </w:rPr>
        <w:t xml:space="preserve"> </w:t>
      </w:r>
      <w:r>
        <w:rPr>
          <w:rFonts w:ascii="Times New Roman;serif" w:hAnsi="Times New Roman;serif"/>
          <w:b w:val="false"/>
          <w:sz w:val="20"/>
        </w:rPr>
        <w:t>expenses related to milestone payments. The Company is also required to pay Luxna a low-single digit royalty percentage on net sale of applicable products, if any. During the three and six months ended June 30, 2023 and 2022, the Company made no</w:t>
      </w:r>
      <w:r>
        <w:rPr>
          <w:rFonts w:ascii="Times New Roman" w:hAnsi="Times New Roman"/>
          <w:sz w:val="20"/>
        </w:rPr>
        <w:t xml:space="preserve"> </w:t>
      </w:r>
      <w:r>
        <w:rPr>
          <w:rFonts w:ascii="Times New Roman;serif" w:hAnsi="Times New Roman;serif"/>
          <w:b w:val="false"/>
          <w:sz w:val="20"/>
        </w:rPr>
        <w:t>payments associated with royalties.</w:t>
      </w:r>
    </w:p>
    <w:p>
      <w:pPr>
        <w:pStyle w:val="TextBody"/>
        <w:bidi w:val="0"/>
        <w:spacing w:before="360" w:after="0"/>
        <w:jc w:val="left"/>
        <w:rPr>
          <w:rFonts w:ascii="Times New Roman" w:hAnsi="Times New Roman"/>
          <w:sz w:val="20"/>
        </w:rPr>
      </w:pPr>
      <w:r>
        <w:rPr>
          <w:rFonts w:ascii="Times New Roman;serif" w:hAnsi="Times New Roman;serif"/>
          <w:b/>
          <w:i/>
          <w:sz w:val="20"/>
        </w:rPr>
        <w:t>Agreement with Katholieke Universiteit Leuven (KU Leuven)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w:t>
      </w:r>
      <w:r>
        <w:rPr>
          <w:rFonts w:ascii="Times New Roman" w:hAnsi="Times New Roman"/>
          <w:sz w:val="20"/>
        </w:rPr>
        <w:t xml:space="preserve"> </w:t>
      </w:r>
      <w:r>
        <w:rPr>
          <w:rFonts w:ascii="Times New Roman;serif" w:hAnsi="Times New Roman;serif"/>
          <w:b w:val="false"/>
          <w:sz w:val="20"/>
        </w:rPr>
        <w:t>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collaboration period has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w:t>
      </w:r>
      <w:r>
        <w:rPr>
          <w:rFonts w:ascii="Times New Roman" w:hAnsi="Times New Roman"/>
          <w:sz w:val="20"/>
        </w:rPr>
        <w:t xml:space="preserve"> </w:t>
      </w:r>
      <w:r>
        <w:rPr>
          <w:rFonts w:ascii="Times New Roman;serif" w:hAnsi="Times New Roman;serif"/>
          <w:b w:val="false"/>
          <w:sz w:val="20"/>
        </w:rPr>
        <w:t>million upon the achievement of certain commercial sales milestones. For each licensed product developed through KU Leuven and the Company’s collaborative effort, the Company is obligated to make payments to KU Leuven, in aggregate, totaling up to $32.0</w:t>
      </w:r>
      <w:r>
        <w:rPr>
          <w:rFonts w:ascii="Times New Roman" w:hAnsi="Times New Roman"/>
          <w:sz w:val="20"/>
        </w:rPr>
        <w:t xml:space="preserve"> </w:t>
      </w:r>
      <w:r>
        <w:rPr>
          <w:rFonts w:ascii="Times New Roman;serif" w:hAnsi="Times New Roman;serif"/>
          <w:b w:val="false"/>
          <w:sz w:val="20"/>
        </w:rPr>
        <w:t>million upon the achievement of certain development and regulatory milestones. The Company is also required to pay KU Leuven a low-to-mid-single digit royalty percentage, subject to certain adjustments, on net sales of applicable products, if any.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w:t>
      </w:r>
      <w:r>
        <w:rPr>
          <w:rFonts w:ascii="Times New Roman;serif" w:hAnsi="Times New Roman;serif"/>
          <w:sz w:val="20"/>
        </w:rPr>
        <w:t xml:space="preserve"> </w:t>
      </w:r>
      <w:r>
        <w:rPr>
          <w:rFonts w:ascii="Times New Roman;serif" w:hAnsi="Times New Roman;serif"/>
          <w:b w:val="false"/>
          <w:sz w:val="20"/>
        </w:rPr>
        <w:t>years after the first commercial sale of a licensed product.</w:t>
      </w:r>
      <w:r>
        <w:rPr>
          <w:rFonts w:ascii="Times New Roman" w:hAnsi="Times New Roman"/>
          <w:sz w:val="20"/>
        </w:rPr>
        <w:t xml:space="preserve"> </w:t>
      </w:r>
      <w:r>
        <w:rPr>
          <w:rFonts w:ascii="Times New Roman;serif" w:hAnsi="Times New Roman;serif"/>
          <w:b w:val="false"/>
          <w:sz w:val="20"/>
        </w:rPr>
        <w:t>During the three and six months ended June 30, 2023 and 2022, the Company recognized no</w:t>
      </w:r>
      <w:r>
        <w:rPr>
          <w:rFonts w:ascii="Times New Roman" w:hAnsi="Times New Roman"/>
          <w:sz w:val="20"/>
        </w:rPr>
        <w:t xml:space="preserve"> </w:t>
      </w:r>
      <w:r>
        <w:rPr>
          <w:rFonts w:ascii="Times New Roman;serif" w:hAnsi="Times New Roman;serif"/>
          <w:b w:val="false"/>
          <w:sz w:val="20"/>
        </w:rPr>
        <w:t>expenses related to milestone payments.</w:t>
      </w:r>
    </w:p>
    <w:p>
      <w:pPr>
        <w:pStyle w:val="TextBody"/>
        <w:bidi w:val="0"/>
        <w:spacing w:before="160" w:after="0"/>
        <w:jc w:val="left"/>
        <w:rPr>
          <w:rFonts w:ascii="Times New Roman;serif" w:hAnsi="Times New Roman;serif"/>
          <w:b/>
          <w:i/>
          <w:sz w:val="20"/>
        </w:rPr>
      </w:pPr>
      <w:r>
        <w:rPr>
          <w:rFonts w:ascii="Times New Roman;serif" w:hAnsi="Times New Roman;serif"/>
          <w:b/>
          <w:i/>
          <w:sz w:val="20"/>
        </w:rPr>
        <w:t>Agreements with Merck</w:t>
      </w:r>
    </w:p>
    <w:p>
      <w:pPr>
        <w:pStyle w:val="TextBody"/>
        <w:bidi w:val="0"/>
        <w:spacing w:before="120" w:after="0"/>
        <w:jc w:val="left"/>
        <w:rPr>
          <w:rFonts w:ascii="Times New Roman" w:hAnsi="Times New Roman"/>
          <w:sz w:val="20"/>
        </w:rPr>
      </w:pPr>
      <w:bookmarkStart w:id="9" w:name="highlight_result_7"/>
      <w:bookmarkEnd w:id="9"/>
      <w:r>
        <w:rPr>
          <w:rFonts w:ascii="Times New Roman;serif" w:hAnsi="Times New Roman;serif"/>
          <w:b w:val="false"/>
          <w:sz w:val="20"/>
        </w:rPr>
        <w:t>In December 2020, the Company and Merck &amp; Co. entered into an exclusive License and Research Collaboration Agreement</w:t>
      </w:r>
      <w:r>
        <w:rPr>
          <w:rFonts w:ascii="Times New Roman" w:hAnsi="Times New Roman"/>
          <w:sz w:val="20"/>
        </w:rPr>
        <w:t xml:space="preserve"> </w:t>
      </w:r>
      <w:r>
        <w:rPr>
          <w:rFonts w:ascii="Times New Roman;serif" w:hAnsi="Times New Roman;serif"/>
          <w:b w:val="false"/>
          <w:sz w:val="20"/>
        </w:rPr>
        <w:t>under which Merck and the Company agreed to apply the Company’s oligonucleotide platform technology to discover, research, optimize and develop oligonucleotides directed against a NASH target and up to one additional liver-targeted cardiometabolic and/or fibrosis target. Under the terms of the agreement, the Company received an upfront payment</w:t>
      </w:r>
      <w:r>
        <w:rPr>
          <w:rFonts w:ascii="Times New Roman" w:hAnsi="Times New Roman"/>
          <w:sz w:val="20"/>
        </w:rPr>
        <w:t xml:space="preserve"> </w:t>
      </w:r>
      <w:r>
        <w:rPr>
          <w:rFonts w:ascii="Times New Roman;serif" w:hAnsi="Times New Roman;serif"/>
          <w:b w:val="false"/>
          <w:sz w:val="20"/>
        </w:rPr>
        <w:t>of $12</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from Merck. With respect to the collaboration target, the Company will be eligible for up to $458.0</w:t>
      </w:r>
      <w:r>
        <w:rPr>
          <w:rFonts w:ascii="Times New Roman" w:hAnsi="Times New Roman"/>
          <w:sz w:val="20"/>
        </w:rPr>
        <w:t xml:space="preserve"> </w:t>
      </w:r>
      <w:r>
        <w:rPr>
          <w:rFonts w:ascii="Times New Roman;serif" w:hAnsi="Times New Roman;serif"/>
          <w:b w:val="false"/>
          <w:sz w:val="20"/>
        </w:rPr>
        <w:t>million in development and commercialization milestones as well as tiered royalties on net sales.</w:t>
      </w:r>
      <w:r>
        <w:rPr>
          <w:rFonts w:ascii="Times New Roman" w:hAnsi="Times New Roman"/>
          <w:sz w:val="20"/>
        </w:rPr>
        <w:t xml:space="preserve"> </w:t>
      </w:r>
      <w:r>
        <w:rPr>
          <w:rFonts w:ascii="Times New Roman;serif" w:hAnsi="Times New Roman;serif"/>
          <w:b w:val="false"/>
          <w:sz w:val="20"/>
        </w:rPr>
        <w:t>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 The Company is primarily responsible for designing, preparing and evaluating the oligonucleotide molecules and delivering optimized lead molecules, and Merck is responsible for subsequent research, clinical development and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2022, the Company and Merck entered into an amendment to the exclusive License and Research Collaboration Agreement (the First Amendment, together with the Original Agreement, the Expanded Arrangement). As a result of the First Amendment, the collaboration with Merck was expanded to include the Company's grant of rights to Merck of an early-stage program with respect to a second undisclosed NASH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w:t>
      </w:r>
      <w:r>
        <w:rPr>
          <w:rFonts w:ascii="Times New Roman" w:hAnsi="Times New Roman"/>
          <w:sz w:val="20"/>
        </w:rPr>
        <w:t xml:space="preserve"> </w:t>
      </w:r>
      <w:r>
        <w:rPr>
          <w:rFonts w:ascii="Times New Roman;serif" w:hAnsi="Times New Roman;serif"/>
          <w:b w:val="false"/>
          <w:sz w:val="20"/>
        </w:rPr>
        <w:t>million from Merck for the Company's grant of rights to the program directed at a second undisclosed NASH target.</w:t>
      </w:r>
      <w:r>
        <w:rPr>
          <w:rFonts w:ascii="Times New Roman" w:hAnsi="Times New Roman"/>
          <w:sz w:val="20"/>
        </w:rPr>
        <w:t xml:space="preserve"> </w:t>
      </w:r>
      <w:r>
        <w:rPr>
          <w:rFonts w:ascii="Times New Roman;serif" w:hAnsi="Times New Roman;serif"/>
          <w:b w:val="false"/>
          <w:sz w:val="20"/>
        </w:rPr>
        <w:t>With respect to the second target in the collaboration, the Company is eligible to receive up to approximately $460.0</w:t>
      </w:r>
      <w:r>
        <w:rPr>
          <w:rFonts w:ascii="Times New Roman" w:hAnsi="Times New Roman"/>
          <w:sz w:val="20"/>
        </w:rPr>
        <w:t xml:space="preserve"> </w:t>
      </w:r>
      <w:r>
        <w:rPr>
          <w:rFonts w:ascii="Times New Roman;serif" w:hAnsi="Times New Roman;serif"/>
          <w:b w:val="false"/>
          <w:sz w:val="20"/>
        </w:rPr>
        <w:t>million in development and commercialization milestones as well as tiered royalties on net sales. These potential payments consist of (i) potential development milestones (such as for the first dosing of an animal specimen in a Good Laboratory Practice toxicology study, and initiation of Phase 1, 2 and 3 clinical trials), (ii) regulatory milestones (such as for marketing authorizations for a product in certain countries) and (iii) sales-based milestones.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2023, Merck provided to the Company written notice of termination for one of the targets in the collaboration.</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determined that the Original Agreement and First Amendment fall within the scope of ASC 808, Collaborative Arrangements (ASC 808), due to Merck and the Company being joint active participants, as well as both parties having significant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risks and rewards. The Company analogized to ASC 606, Revenue from Contracts with Customers (ASC 606), for the accounting of payments including upfront payments and other milestones. 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and six months ended June 30, 2023, the Company recognized $2.6</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$5.2</w:t>
      </w:r>
      <w:r>
        <w:rPr>
          <w:rFonts w:ascii="Times New Roman" w:hAnsi="Times New Roman"/>
          <w:sz w:val="20"/>
        </w:rPr>
        <w:t xml:space="preserve"> </w:t>
      </w:r>
      <w:r>
        <w:rPr>
          <w:rFonts w:ascii="Times New Roman;serif" w:hAnsi="Times New Roman;serif"/>
          <w:b w:val="false"/>
          <w:sz w:val="20"/>
        </w:rPr>
        <w:t>million, respectively, in revenue from collaborative arrangements related to upfront payments. During the three and six months ended June 30, 2022, the Company recognized $3.7</w:t>
      </w:r>
      <w:r>
        <w:rPr>
          <w:rFonts w:ascii="Times New Roman" w:hAnsi="Times New Roman"/>
          <w:sz w:val="20"/>
        </w:rPr>
        <w:t xml:space="preserve"> </w:t>
      </w:r>
      <w:r>
        <w:rPr>
          <w:rFonts w:ascii="Times New Roman;serif" w:hAnsi="Times New Roman;serif"/>
          <w:b w:val="false"/>
          <w:sz w:val="20"/>
        </w:rPr>
        <w:t>million and $6.3</w:t>
      </w:r>
      <w:r>
        <w:rPr>
          <w:rFonts w:ascii="Times New Roman" w:hAnsi="Times New Roman"/>
          <w:sz w:val="20"/>
        </w:rPr>
        <w:t xml:space="preserve"> </w:t>
      </w:r>
      <w:r>
        <w:rPr>
          <w:rFonts w:ascii="Times New Roman;serif" w:hAnsi="Times New Roman;serif"/>
          <w:b w:val="false"/>
          <w:sz w:val="20"/>
        </w:rPr>
        <w:t>million, respectively, in revenue from collaborative arrangements related to upfront payments. During the three and six months ended June 30, 2023</w:t>
      </w:r>
      <w:r>
        <w:rPr>
          <w:rFonts w:ascii="Times New Roman" w:hAnsi="Times New Roman"/>
          <w:sz w:val="20"/>
        </w:rPr>
        <w:t xml:space="preserve"> </w:t>
      </w:r>
      <w:r>
        <w:rPr>
          <w:rFonts w:ascii="Times New Roman;serif" w:hAnsi="Times New Roman;serif"/>
          <w:b w:val="false"/>
          <w:sz w:val="20"/>
        </w:rPr>
        <w:t>and 2022, the Company recognized no</w:t>
      </w:r>
      <w:r>
        <w:rPr>
          <w:rFonts w:ascii="Times New Roman" w:hAnsi="Times New Roman"/>
          <w:sz w:val="20"/>
        </w:rPr>
        <w:t xml:space="preserve"> </w:t>
      </w:r>
      <w:r>
        <w:rPr>
          <w:rFonts w:ascii="Times New Roman;serif" w:hAnsi="Times New Roman;serif"/>
          <w:b w:val="false"/>
          <w:sz w:val="20"/>
        </w:rPr>
        <w:t>revenue from collaborative arrangements related to milestone payments. The unrecognized portion of the upfront payments received during the three and six months ended June 30, 2023 and 2022 is recorded on the consolidated balance sheets as “Deferred revenue from collaborations”.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deferred revenue balances arose as a result of the Company recognizing the following revenue from collaborative arrangements during the periods below (in thousands):</w:t>
      </w:r>
    </w:p>
    <w:tbl>
      <w:tblPr>
        <w:tblW w:w="6899" w:type="dxa"/>
        <w:jc w:val="left"/>
        <w:tblInd w:w="0" w:type="dxa"/>
        <w:tblLayout w:type="fixed"/>
        <w:tblCellMar>
          <w:top w:w="28" w:type="dxa"/>
          <w:left w:w="28" w:type="dxa"/>
          <w:bottom w:w="28" w:type="dxa"/>
          <w:right w:w="28" w:type="dxa"/>
        </w:tblCellMar>
      </w:tblPr>
      <w:tblGrid>
        <w:gridCol w:w="4501"/>
        <w:gridCol w:w="146"/>
        <w:gridCol w:w="211"/>
        <w:gridCol w:w="631"/>
        <w:gridCol w:w="166"/>
        <w:gridCol w:w="146"/>
        <w:gridCol w:w="211"/>
        <w:gridCol w:w="676"/>
        <w:gridCol w:w="21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collaborations as of January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7,641</w:t>
            </w:r>
          </w:p>
        </w:tc>
        <w:tc>
          <w:tcPr>
            <w:tcW w:w="2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 received in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15,009</w:t>
            </w:r>
          </w:p>
        </w:tc>
        <w:tc>
          <w:tcPr>
            <w:tcW w:w="211" w:type="dxa"/>
            <w:tcBorders/>
            <w:vAlign w:val="center"/>
          </w:tcPr>
          <w:p>
            <w:pPr>
              <w:pStyle w:val="TableContents"/>
              <w:bidi w:val="0"/>
              <w:spacing w:before="0" w:after="0"/>
              <w:ind w:left="0" w:right="0" w:hanging="0"/>
              <w:jc w:val="left"/>
              <w:rPr/>
            </w:pPr>
            <w:r>
              <w:rPr/>
              <w:t> </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collaborations recognized in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(6,264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collaborations as of June 30</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16,386</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9.</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Revenue from contracts with customers </w:t>
      </w:r>
    </w:p>
    <w:p>
      <w:pPr>
        <w:pStyle w:val="TextBody"/>
        <w:bidi w:val="0"/>
        <w:spacing w:before="160" w:after="0"/>
        <w:jc w:val="left"/>
        <w:rPr>
          <w:rFonts w:ascii="Times New Roman;serif" w:hAnsi="Times New Roman;serif"/>
          <w:b/>
          <w:i/>
          <w:sz w:val="20"/>
        </w:rPr>
      </w:pPr>
      <w:r>
        <w:rPr>
          <w:rFonts w:ascii="Times New Roman;serif" w:hAnsi="Times New Roman;serif"/>
          <w:b/>
          <w:i/>
          <w:sz w:val="20"/>
        </w:rPr>
        <w:t>Agreement with ADCT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determined that the ADC Therapeutics (ADCT) agreement falls within the scope of ASC 606, Revenue from Contracts with Customers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60" w:after="0"/>
        <w:jc w:val="left"/>
        <w:rPr>
          <w:rFonts w:ascii="Times New Roman;serif" w:hAnsi="Times New Roman;serif"/>
          <w:b/>
          <w:i/>
          <w:sz w:val="20"/>
        </w:rPr>
      </w:pPr>
      <w:r>
        <w:rPr>
          <w:rFonts w:ascii="Times New Roman;serif" w:hAnsi="Times New Roman;serif"/>
          <w:b/>
          <w:i/>
          <w:sz w:val="20"/>
        </w:rPr>
        <w:t>Agreement with Amoytop</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the Company and Amoytop Biotech Co., Ltd (Amoytop) entered into an exclusive Development Agreement and Research 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w:t>
      </w:r>
      <w:r>
        <w:rPr>
          <w:rFonts w:ascii="Times New Roman" w:hAnsi="Times New Roman"/>
          <w:sz w:val="20"/>
        </w:rPr>
        <w:t xml:space="preserve"> </w:t>
      </w:r>
      <w:r>
        <w:rPr>
          <w:rFonts w:ascii="Times New Roman;serif" w:hAnsi="Times New Roman;serif"/>
          <w:b w:val="false"/>
          <w:sz w:val="20"/>
        </w:rPr>
        <w:t>of $7.0</w:t>
      </w:r>
      <w:r>
        <w:rPr>
          <w:rFonts w:ascii="Times New Roman" w:hAnsi="Times New Roman"/>
          <w:sz w:val="20"/>
        </w:rPr>
        <w:t xml:space="preserve"> </w:t>
      </w:r>
      <w:r>
        <w:rPr>
          <w:rFonts w:ascii="Times New Roman;serif" w:hAnsi="Times New Roman;serif"/>
          <w:b w:val="false"/>
          <w:sz w:val="20"/>
        </w:rPr>
        <w:t>million, less withholding taxes of $1.1</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from Amoytop. With respect to the agreement, the Company will be eligible for up to $109.0</w:t>
      </w:r>
      <w:r>
        <w:rPr>
          <w:rFonts w:ascii="Times New Roman" w:hAnsi="Times New Roman"/>
          <w:sz w:val="20"/>
        </w:rPr>
        <w:t xml:space="preserve"> </w:t>
      </w:r>
      <w:r>
        <w:rPr>
          <w:rFonts w:ascii="Times New Roman;serif" w:hAnsi="Times New Roman;serif"/>
          <w:b w:val="false"/>
          <w:sz w:val="20"/>
        </w:rPr>
        <w:t>million in development and commercialization milestones as well as tiered royalties on net sales.</w:t>
      </w:r>
      <w:r>
        <w:rPr>
          <w:rFonts w:ascii="Times New Roman" w:hAnsi="Times New Roman"/>
          <w:sz w:val="20"/>
        </w:rPr>
        <w:t xml:space="preserve"> </w:t>
      </w:r>
      <w:r>
        <w:rPr>
          <w:rFonts w:ascii="Times New Roman;serif" w:hAnsi="Times New Roman;serif"/>
          <w:b w:val="false"/>
          <w:sz w:val="20"/>
        </w:rPr>
        <w:t>These potential payments consist of (i) potential development milestones (such as for the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commencement of a Good Laboratory Practice toxicology study for a collaboration compound, approval of IND by regulatory authority, initiation of Phase 2 and 3 clinical trials, and regulatory approval of a licensed product), and (ii) sales-based milestones.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determined that the Amoytop agreement falls within the scope of ASC 606, Revenue from Contracts with Customers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possibility of achieving any of the milestone payments is remote, and therefore determined to be constrained and excluded from the transaction price. Similarly, the Company accounts for the future royalties under the sales-based royalty exception in ASC 606-10-55-65 through 55-65B therefore they are not considered in the transaction price and expected to be recognized when future sales occur since that is expected to occur after the performance obligation has been fully satisfied.</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and six months ended June 30, 2023, the Company recognized</w:t>
      </w:r>
      <w:r>
        <w:rPr>
          <w:rFonts w:ascii="Times New Roman" w:hAnsi="Times New Roman"/>
          <w:sz w:val="20"/>
        </w:rPr>
        <w:t xml:space="preserve"> </w:t>
      </w:r>
      <w:r>
        <w:rPr>
          <w:rFonts w:ascii="Times New Roman;serif" w:hAnsi="Times New Roman;serif"/>
          <w:b w:val="false"/>
          <w:sz w:val="20"/>
        </w:rPr>
        <w:t>$4.3</w:t>
      </w:r>
      <w:r>
        <w:rPr>
          <w:rFonts w:ascii="Times New Roman" w:hAnsi="Times New Roman"/>
          <w:sz w:val="20"/>
        </w:rPr>
        <w:t xml:space="preserve"> </w:t>
      </w:r>
      <w:r>
        <w:rPr>
          <w:rFonts w:ascii="Times New Roman;serif" w:hAnsi="Times New Roman;serif"/>
          <w:b w:val="false"/>
          <w:sz w:val="20"/>
        </w:rPr>
        <w:t>million and $4.4</w:t>
      </w:r>
      <w:r>
        <w:rPr>
          <w:rFonts w:ascii="Times New Roman" w:hAnsi="Times New Roman"/>
          <w:sz w:val="20"/>
        </w:rPr>
        <w:t xml:space="preserve"> </w:t>
      </w:r>
      <w:r>
        <w:rPr>
          <w:rFonts w:ascii="Times New Roman;serif" w:hAnsi="Times New Roman;serif"/>
          <w:b w:val="false"/>
          <w:sz w:val="20"/>
        </w:rPr>
        <w:t>million, respectively,</w:t>
      </w:r>
      <w:r>
        <w:rPr>
          <w:rFonts w:ascii="Times New Roman" w:hAnsi="Times New Roman"/>
          <w:sz w:val="20"/>
        </w:rPr>
        <w:t xml:space="preserve"> </w:t>
      </w:r>
      <w:r>
        <w:rPr>
          <w:rFonts w:ascii="Times New Roman;serif" w:hAnsi="Times New Roman;serif"/>
          <w:b w:val="false"/>
          <w:sz w:val="20"/>
        </w:rPr>
        <w:t>in revenue from customers related to upfront payments. There was no</w:t>
      </w:r>
      <w:r>
        <w:rPr>
          <w:rFonts w:ascii="Times New Roman" w:hAnsi="Times New Roman"/>
          <w:sz w:val="20"/>
        </w:rPr>
        <w:t xml:space="preserve"> </w:t>
      </w:r>
      <w:r>
        <w:rPr>
          <w:rFonts w:ascii="Times New Roman;serif" w:hAnsi="Times New Roman;serif"/>
          <w:b w:val="false"/>
          <w:sz w:val="20"/>
        </w:rPr>
        <w:t>revenue recognized from customers in the three and six months ended June 30, 2022. During the three and six months ended June 30, 2023</w:t>
      </w:r>
      <w:r>
        <w:rPr>
          <w:rFonts w:ascii="Times New Roman" w:hAnsi="Times New Roman"/>
          <w:sz w:val="20"/>
        </w:rPr>
        <w:t xml:space="preserve"> </w:t>
      </w:r>
      <w:r>
        <w:rPr>
          <w:rFonts w:ascii="Times New Roman;serif" w:hAnsi="Times New Roman;serif"/>
          <w:b w:val="false"/>
          <w:sz w:val="20"/>
        </w:rPr>
        <w:t>and 2022, the Company recognized no</w:t>
      </w:r>
      <w:r>
        <w:rPr>
          <w:rFonts w:ascii="Times New Roman" w:hAnsi="Times New Roman"/>
          <w:sz w:val="20"/>
        </w:rPr>
        <w:t xml:space="preserve"> </w:t>
      </w:r>
      <w:r>
        <w:rPr>
          <w:rFonts w:ascii="Times New Roman;serif" w:hAnsi="Times New Roman;serif"/>
          <w:b w:val="false"/>
          <w:sz w:val="20"/>
        </w:rPr>
        <w:t>revenue from customers related to milestone payments. The unrecognized portion of the upfront payments received during the three and six months ended June 30, 2023 and 2022 is recorded on the consolidated balance sheets as “Deferred revenue from customers”.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Changes in deferred revenue balances arose as a result of the Company recognizing the following revenue from customers during the periods below (in thousands):</w:t>
      </w:r>
    </w:p>
    <w:p>
      <w:pPr>
        <w:pStyle w:val="TextBody"/>
        <w:bidi w:val="0"/>
        <w:spacing w:before="120" w:after="0"/>
        <w:jc w:val="left"/>
        <w:rPr/>
      </w:pPr>
      <w:r>
        <w:rPr/>
        <w:t> </w:t>
      </w:r>
    </w:p>
    <w:tbl>
      <w:tblPr>
        <w:tblW w:w="6189" w:type="dxa"/>
        <w:jc w:val="left"/>
        <w:tblInd w:w="0" w:type="dxa"/>
        <w:tblLayout w:type="fixed"/>
        <w:tblCellMar>
          <w:top w:w="28" w:type="dxa"/>
          <w:left w:w="28" w:type="dxa"/>
          <w:bottom w:w="28" w:type="dxa"/>
          <w:right w:w="28" w:type="dxa"/>
        </w:tblCellMar>
      </w:tblPr>
      <w:tblGrid>
        <w:gridCol w:w="4141"/>
        <w:gridCol w:w="146"/>
        <w:gridCol w:w="211"/>
        <w:gridCol w:w="631"/>
        <w:gridCol w:w="166"/>
        <w:gridCol w:w="146"/>
        <w:gridCol w:w="211"/>
        <w:gridCol w:w="346"/>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1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1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57"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customers as of January 1</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Consideration received in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 from customers recognized in the period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(4,434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1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from customers as of June 30</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2,942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10.</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The Company had no</w:t>
      </w:r>
      <w:r>
        <w:rPr>
          <w:rFonts w:ascii="Times New Roman" w:hAnsi="Times New Roman"/>
          <w:sz w:val="20"/>
        </w:rPr>
        <w:t xml:space="preserve"> </w:t>
      </w:r>
      <w:r>
        <w:rPr>
          <w:rFonts w:ascii="Times New Roman;serif" w:hAnsi="Times New Roman;serif"/>
          <w:b w:val="false"/>
          <w:sz w:val="20"/>
        </w:rPr>
        <w:t>contingent liabilities requiring accrual as of June 30, 2023 and December 31, 2022. The Company enters into contracts in the normal course of business that includes arrangements with clinical research organizations, vendors for preclinical research and vendors for manufacturing. These agreements generally allow for cancellation with notice. As of June 30, 2023, the Company had no material non-cancellable purchase commitments.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continue to defend itself vigorously.</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4, 2022, the Company filed counterclaims against Janssen alleging Janssen has engaged in unfair competition and promissory fraud, and on August 22, 2022, the Company filed its response to the Complaint. During the course of the legal proceedings described above, the parties have each filed various demurrers which have been heard by the Court resulting in various outcomes.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On July 31, 2023, the Company and Janssen filed a stipulation staying the case in their ongoing legal proceedings. The Company and Janssen have reached an agreement in principle to resolve their disputes and expect to finalize a settlement agreement promptly.</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11.</w:t>
      </w:r>
    </w:p>
    <w:p>
      <w:pPr>
        <w:pStyle w:val="TextBody"/>
        <w:bidi w:val="0"/>
        <w:spacing w:before="360" w:after="283"/>
        <w:jc w:val="left"/>
        <w:rPr>
          <w:rFonts w:ascii="Times New Roman;serif" w:hAnsi="Times New Roman;serif"/>
          <w:b/>
          <w:sz w:val="20"/>
        </w:rPr>
      </w:pPr>
      <w:r>
        <w:rPr>
          <w:rFonts w:ascii="Times New Roman;serif" w:hAnsi="Times New Roman;serif"/>
          <w:b/>
          <w:sz w:val="20"/>
        </w:rPr>
        <w:t>Income taxes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recorded income tax expense of $0.8</w:t>
      </w:r>
      <w:r>
        <w:rPr>
          <w:rFonts w:ascii="Times New Roman" w:hAnsi="Times New Roman"/>
          <w:sz w:val="20"/>
        </w:rPr>
        <w:t xml:space="preserve"> </w:t>
      </w:r>
      <w:r>
        <w:rPr>
          <w:rFonts w:ascii="Times New Roman;serif" w:hAnsi="Times New Roman;serif"/>
          <w:b w:val="false"/>
          <w:sz w:val="20"/>
        </w:rPr>
        <w:t>million and $0.8</w:t>
      </w:r>
      <w:r>
        <w:rPr>
          <w:rFonts w:ascii="Times New Roman" w:hAnsi="Times New Roman"/>
          <w:sz w:val="20"/>
        </w:rPr>
        <w:t xml:space="preserve"> </w:t>
      </w:r>
      <w:r>
        <w:rPr>
          <w:rFonts w:ascii="Times New Roman;serif" w:hAnsi="Times New Roman;serif"/>
          <w:b w:val="false"/>
          <w:sz w:val="20"/>
        </w:rPr>
        <w:t>million for the three and six months ended June 30, 2023, primarily related to the agreement with Amoytop as discussed in footnote 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has a history of losses and projects losses for the full year 2023. The Company continues to maintain a full valuation allowance on its net deferred tax assets.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160" w:after="0"/>
        <w:jc w:val="left"/>
        <w:rPr>
          <w:rFonts w:ascii="Times New Roman" w:hAnsi="Times New Roman"/>
          <w:b/>
          <w:sz w:val="20"/>
        </w:rPr>
      </w:pPr>
      <w:r>
        <w:rPr>
          <w:rFonts w:ascii="Times New Roman" w:hAnsi="Times New Roman"/>
          <w:b/>
          <w:sz w:val="20"/>
        </w:rPr>
        <w:t>12.</w:t>
      </w:r>
    </w:p>
    <w:p>
      <w:pPr>
        <w:pStyle w:val="TextBody"/>
        <w:bidi w:val="0"/>
        <w:spacing w:before="16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the computation of basic and diluted net loss per share of the Company (in thousands, except share and per share data):</w:t>
      </w:r>
      <w:r>
        <w:rPr>
          <w:rFonts w:ascii="Times New Roman" w:hAnsi="Times New Roman"/>
          <w:sz w:val="20"/>
        </w:rPr>
        <w:t xml:space="preserve"> </w:t>
      </w:r>
    </w:p>
    <w:p>
      <w:pPr>
        <w:pStyle w:val="TextBody"/>
        <w:bidi w:val="0"/>
        <w:spacing w:before="0" w:after="0"/>
        <w:jc w:val="left"/>
        <w:rPr/>
      </w:pPr>
      <w:r>
        <w:rPr/>
        <w:t> </w:t>
      </w:r>
    </w:p>
    <w:tbl>
      <w:tblPr>
        <w:tblW w:w="9454" w:type="dxa"/>
        <w:jc w:val="left"/>
        <w:tblInd w:w="0" w:type="dxa"/>
        <w:tblLayout w:type="fixed"/>
        <w:tblCellMar>
          <w:top w:w="28" w:type="dxa"/>
          <w:left w:w="28" w:type="dxa"/>
          <w:bottom w:w="28" w:type="dxa"/>
          <w:right w:w="28" w:type="dxa"/>
        </w:tblCellMar>
      </w:tblPr>
      <w:tblGrid>
        <w:gridCol w:w="3421"/>
        <w:gridCol w:w="146"/>
        <w:gridCol w:w="196"/>
        <w:gridCol w:w="916"/>
        <w:gridCol w:w="166"/>
        <w:gridCol w:w="146"/>
        <w:gridCol w:w="196"/>
        <w:gridCol w:w="916"/>
        <w:gridCol w:w="166"/>
        <w:gridCol w:w="146"/>
        <w:gridCol w:w="146"/>
        <w:gridCol w:w="146"/>
        <w:gridCol w:w="196"/>
        <w:gridCol w:w="916"/>
        <w:gridCol w:w="166"/>
        <w:gridCol w:w="146"/>
        <w:gridCol w:w="196"/>
        <w:gridCol w:w="916"/>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(18,791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(19,924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(41,746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(55,539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 xml:space="preserve">Weighted average common stock outstanding, </w:t>
              <w:br/>
              <w:t>    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43,215,478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42,665,598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43,063,615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42,590,479</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1"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Net loss per share - basic and diluted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(0.47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(0.97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(1.30</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bl>
    <w:p>
      <w:pPr>
        <w:pStyle w:val="TextBody"/>
        <w:bidi w:val="0"/>
        <w:spacing w:before="0" w:after="0"/>
        <w:jc w:val="left"/>
        <w:rPr/>
      </w:pPr>
      <w:r>
        <w:rPr/>
        <w:t> </w:t>
      </w:r>
    </w:p>
    <w:p>
      <w:pPr>
        <w:pStyle w:val="TextBody"/>
        <w:bidi w:val="0"/>
        <w:spacing w:before="40" w:after="0"/>
        <w:jc w:val="left"/>
        <w:rPr>
          <w:rFonts w:ascii="Times New Roman;serif" w:hAnsi="Times New Roman;serif"/>
          <w:b w:val="false"/>
          <w:sz w:val="20"/>
        </w:rPr>
      </w:pPr>
      <w:r>
        <w:rPr>
          <w:rFonts w:ascii="Times New Roman;serif" w:hAnsi="Times New Roman;serif"/>
          <w:b w:val="false"/>
          <w:sz w:val="20"/>
        </w:rPr>
        <w:t xml:space="preserve">The Company’s potentially dilutive securities, which include options to purchase common stock and unvested restricted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 </w:t>
      </w:r>
    </w:p>
    <w:p>
      <w:pPr>
        <w:pStyle w:val="TextBody"/>
        <w:bidi w:val="0"/>
        <w:spacing w:before="0" w:after="0"/>
        <w:jc w:val="left"/>
        <w:rPr/>
      </w:pPr>
      <w:r>
        <w:rPr/>
        <w:t> </w:t>
      </w:r>
    </w:p>
    <w:tbl>
      <w:tblPr>
        <w:tblW w:w="8539" w:type="dxa"/>
        <w:jc w:val="left"/>
        <w:tblInd w:w="0" w:type="dxa"/>
        <w:tblLayout w:type="fixed"/>
        <w:tblCellMar>
          <w:top w:w="28" w:type="dxa"/>
          <w:left w:w="28" w:type="dxa"/>
          <w:bottom w:w="28" w:type="dxa"/>
          <w:right w:w="28" w:type="dxa"/>
        </w:tblCellMar>
      </w:tblPr>
      <w:tblGrid>
        <w:gridCol w:w="2626"/>
        <w:gridCol w:w="146"/>
        <w:gridCol w:w="146"/>
        <w:gridCol w:w="916"/>
        <w:gridCol w:w="146"/>
        <w:gridCol w:w="146"/>
        <w:gridCol w:w="146"/>
        <w:gridCol w:w="826"/>
        <w:gridCol w:w="146"/>
        <w:gridCol w:w="146"/>
        <w:gridCol w:w="146"/>
        <w:gridCol w:w="146"/>
        <w:gridCol w:w="146"/>
        <w:gridCol w:w="916"/>
        <w:gridCol w:w="146"/>
        <w:gridCol w:w="146"/>
        <w:gridCol w:w="146"/>
        <w:gridCol w:w="826"/>
        <w:gridCol w:w="53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626" w:type="dxa"/>
            <w:tcBorders/>
            <w:vAlign w:val="center"/>
          </w:tcPr>
          <w:p>
            <w:pPr>
              <w:pStyle w:val="TableContents"/>
              <w:bidi w:val="0"/>
              <w:spacing w:before="0" w:after="0"/>
              <w:ind w:left="40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531" w:type="dxa"/>
            <w:tcBorders/>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Options to purchase common stock</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10,506,661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9,012,369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10,506,661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9,012,369</w:t>
            </w:r>
          </w:p>
        </w:tc>
        <w:tc>
          <w:tcPr>
            <w:tcW w:w="531" w:type="dxa"/>
            <w:tcBorders/>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Unvested restricted stock</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3,717</w:t>
            </w:r>
          </w:p>
        </w:tc>
        <w:tc>
          <w:tcPr>
            <w:tcW w:w="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10,506,661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9,016,086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10,506,661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9,016,086</w:t>
            </w:r>
          </w:p>
        </w:tc>
        <w:tc>
          <w:tcPr>
            <w:tcW w:w="5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40" w:after="0"/>
        <w:jc w:val="left"/>
        <w:rPr/>
      </w:pPr>
      <w:r>
        <w:rPr/>
        <w:t> </w:t>
      </w:r>
    </w:p>
    <w:p>
      <w:pPr>
        <w:pStyle w:val="TextBody"/>
        <w:bidi w:val="0"/>
        <w:spacing w:before="40" w:after="0"/>
        <w:jc w:val="left"/>
        <w:rPr>
          <w:rFonts w:ascii="Times New Roman" w:hAnsi="Times New Roman"/>
          <w:b/>
          <w:sz w:val="20"/>
        </w:rPr>
      </w:pPr>
      <w:r>
        <w:rPr>
          <w:rFonts w:ascii="Times New Roman" w:hAnsi="Times New Roman"/>
          <w:b/>
          <w:sz w:val="20"/>
        </w:rPr>
        <w:t>13.</w:t>
      </w:r>
    </w:p>
    <w:p>
      <w:pPr>
        <w:pStyle w:val="TextBody"/>
        <w:bidi w:val="0"/>
        <w:spacing w:before="40" w:after="283"/>
        <w:jc w:val="left"/>
        <w:rPr>
          <w:rFonts w:ascii="Times New Roman;serif" w:hAnsi="Times New Roman;serif"/>
          <w:b/>
          <w:sz w:val="20"/>
        </w:rPr>
      </w:pPr>
      <w:r>
        <w:rPr>
          <w:rFonts w:ascii="Times New Roman;serif" w:hAnsi="Times New Roman;serif"/>
          <w:b/>
          <w:sz w:val="20"/>
        </w:rPr>
        <w:t xml:space="preserve">Subsequent events </w:t>
      </w:r>
    </w:p>
    <w:p>
      <w:pPr>
        <w:pStyle w:val="TextBody"/>
        <w:bidi w:val="0"/>
        <w:spacing w:before="120" w:after="0"/>
        <w:jc w:val="left"/>
        <w:rPr>
          <w:rFonts w:ascii="Times New Roman" w:hAnsi="Times New Roman"/>
          <w:sz w:val="20"/>
        </w:rPr>
      </w:pPr>
      <w:r>
        <w:rPr>
          <w:rFonts w:ascii="Times New Roman;serif" w:hAnsi="Times New Roman;serif"/>
          <w:b w:val="false"/>
          <w:sz w:val="20"/>
        </w:rPr>
        <w:t>In preparing the interim financial statements for the three and six months ended June 30, 2023, the Company evaluated subsequent events for recognition and measurement purposes during which time nothing has occurred outside of the normal course of business operations that requires disclosure.</w:t>
      </w:r>
      <w:r>
        <w:rPr>
          <w:rFonts w:ascii="Times New Roman" w:hAnsi="Times New Roman"/>
          <w:sz w:val="20"/>
        </w:rPr>
        <w:t xml:space="preserve"> </w:t>
      </w:r>
    </w:p>
    <w:p>
      <w:pPr>
        <w:pStyle w:val="TextBody"/>
        <w:bidi w:val="0"/>
        <w:spacing w:before="120" w:after="0"/>
        <w:jc w:val="left"/>
        <w:rPr/>
      </w:pPr>
      <w:r>
        <w:rPr/>
        <w:t> </w:t>
      </w:r>
    </w:p>
    <w:p>
      <w:pPr>
        <w:pStyle w:val="TextBody"/>
        <w:bidi w:val="0"/>
        <w:spacing w:before="12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m2"/>
      <w:bookmarkEnd w:id="10"/>
      <w:r>
        <w:rPr>
          <w:rFonts w:ascii="Times New Roman;serif" w:hAnsi="Times New Roman;serif"/>
          <w:b/>
          <w:sz w:val="20"/>
        </w:rPr>
        <w:t>Item 2.</w:t>
      </w:r>
      <w:r>
        <w:rPr>
          <w:rFonts w:ascii="Times New Roman" w:hAnsi="Times New Roman"/>
          <w:sz w:val="20"/>
        </w:rPr>
        <w:t xml:space="preserve"> </w:t>
      </w:r>
      <w:r>
        <w:rPr>
          <w:rFonts w:ascii="Times New Roman;serif" w:hAnsi="Times New Roman;serif"/>
          <w:b/>
          <w:sz w:val="20"/>
        </w:rPr>
        <w:t>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 clinical-stage biopharmaceutical company focused on developing novel therapeutics to address unmet medical needs in liver diseases and viral infections, including in the areas of non-alcoholic steatohepatitis (NASH), coronavirus (e.g., SARS-CoV-2 and related infections) and chronic hepatitis B (CHB). We utilize our proprietary small molecule and oligonucleotide platforms to develop pharmacologically optimized drug candidates for use in combination regimens designed to achieve improved treatment outcomes.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primary area of focus is NASH, a complex, chronic liver disease where combination regimens may prove beneficial. Our most advanced drug candidate for NASH is ALG</w:t>
        <w:noBreakHyphen/>
        <w:t>055009, a small molecule thyroid hormone receptor (THR</w:t>
        <w:noBreakHyphen/>
        <w:t>ß) agonist. This drug candidate recently completed evaluation in a Phase 1 study in healthy volunteers (HVs) (oral single ascending doses (SAD)) and subjects with hyperlipidemia (14 oral daily doses). Preliminary data after single doses up to 4 mg and multiple doses up to 1 mg showed that ALG</w:t>
        <w:noBreakHyphen/>
        <w:t>055009 was well tolerated, had dose proportional pharmacokinetics (PK) with low variability, and demonstrated expected thyromimetic effects (i.e., generally dose proportional increases in sex hormone binding globulin and decreases in various atherogenic lipids and thyroid hormones). In this same study, we have also conducted a relative bioavailability study in HVs where we have shown the Phase 2 gel cap formulation delivers similar exposures (~86%) compared to the Phase 1 liquid formulation, low variability and no evidence of a meaningful food effect. As we wrap up this Phase 1 study, we are taking the necessary steps to advance ALG</w:t>
        <w:noBreakHyphen/>
        <w:t>055009 into a Phase 2 proof of concept study, the design of which is currently being discussed with the FDA (Pre-IND meeting) and also with investigators, including the study’s Principal Investigator, Dr. Stephen Harrison. The study’s preliminary design is as a 12-week randomized, placebo-controlled trial evaluating 3-4 doses of ALG-055009 vs. placebo in approximately 80-100 subjects with NASH. In addition to collecting safety and PK data, the study will also assess multiple efficacy biomarkers, which include MRI-PDFF and other non-invasive tests previously shown to be impacted by treatment with THR</w:t>
        <w:noBreakHyphen/>
        <w:t>ß agonists. We anticipate submitting the final Phase 2 protocol to the FDA in the fourth quarter of 2023 and anticipate sharing topline data from this study in the fourth quarter of 2024. We believe ALG</w:t>
        <w:noBreakHyphen/>
        <w:t>055009 has the potential to become a best</w:t>
        <w:noBreakHyphen/>
        <w:t>in</w:t>
        <w:noBreakHyphen/>
        <w:t>class THR</w:t>
        <w:noBreakHyphen/>
        <w:t>ß agonist and could play an integral role in future NASH combination regimens based on its favorable PK profile, which could result in uniform exposures and lead to consistent efficacy and safety in a NASH population.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to our small molecule THR</w:t>
        <w:noBreakHyphen/>
        <w:t>ß program, we are also progressing oligonucleotide projects for NASH, including in collaboration with Merck. These programs are currently progressing through preclinical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Our second area of focus is to develop drug candidates with pan-coronavirus antiviral activity, including against Severe Acute Respiratory Syndrome coronavirus 2 (SARS-CoV-2), the virus responsible for COVID-19. In this area of focus, we are using a small molecule approach, where we are exploring coronavirus 3CL protease inhibitors (PIs) in collaboration with Katholieke Universiteit Leuven (KU Leuven), the Center for Innovation and Stimulation of Drug Discovery (CISTIM) and the Centre for Drug Design and Discovery (CD3). In addition, the preclinical activities of our COVID-19 program are funded through a grant from the National Institutes of Health (NIH) and the National Institute of Allergy and Infectious Disease (NIAID)'s Antiviral Drug Discovery (AViDD) Centers for Pathogens of Pandemic Concern program through the Metropolitan AntiViral Drug Accelerator (MAVDA) consortium. Our lead candidate, ALG</w:t>
        <w:noBreakHyphen/>
        <w:t>097558, is at least 6-fold more potent in cell-based assays against a panel of SARS-CoV-2 variants (including Omicron) than nirmatrelvir and other PIs in clinical development, demonstrates broad pan-coronavirus activity, and, based on preclinical studies, is not projected to require ritonavir boosting. Evaluation of ALG</w:t>
        <w:noBreakHyphen/>
        <w:t>097558 in the hamster SARS-CoV-2 infection model has shown that, when dosed prior to infection or up to 24 hours post-infection, the compound caused a significant reduction in the levels of infectious virus in the lungs. ALG</w:t>
        <w:noBreakHyphen/>
        <w:t>097558 also appeared to better maintain its antiviral activity against certain resistant mutants compared to other PIs in development based on publicly available data. The safety and PK properties of ALG-097558 are currently being assessed in an ongoing Phase 1 study in HVs. We anticipate sharing topline data from this study in H1 2024.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third area of focus seeks to enhance the rate of functional cure for CHB, which often results in life-threatening conditions such as cirrhosis, end-stage liver disease and, the most common form of liver cancer, hepatocellular carcinoma (HCC). The most widely used treatment for CHB, nucleos(t)ide analogs (NAs), suppress viral replication, but only achieve low rates of functional cure and require life-long administration. To address this, we are developing a portfolio of differentiated drug candidates for CHB, including a small molecule Capsid Assembly Modulator that results in the production of empty viral capsids (CAM-E) and small molecule inhibitors of the programmed death 1 (ligand) PD</w:t>
        <w:noBreakHyphen/>
        <w:t>1/PD-L1 interaction.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initial Phase 1a study in HVs for our CAM-E, ALG</w:t>
        <w:noBreakHyphen/>
        <w:t>000184, has been completed as has a Phase 1b dose ranging study evaluating the safety, PK and antiviral activity of 10-300 mg doses of ALG</w:t>
        <w:noBreakHyphen/>
        <w:t>000184 for 28 days among untreated HBV e-antigen (HBeAg) positive/negative CHB subjects. For these studies, ALG</w:t>
        <w:noBreakHyphen/>
        <w:t>000184 was found to be well tolerated with a favorable PK profile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and demonstrated potentially best-in-class HBV DNA and RNA reductions as well as HBsAg reductions in a subset of HBeAg positive subjects receiving 300 mg ALG</w:t>
        <w:noBreakHyphen/>
        <w:t>000184 (Hou et. al, AASLD 2022). Based on the favorable profile after dosing ≤300 mg ALG</w:t>
        <w:noBreakHyphen/>
        <w:t>000184 x 28 days, additional Phase 1b cohorts are currently being evaluated for the risk-benefit profile of 100-300 mg doses of ALG</w:t>
        <w:noBreakHyphen/>
        <w:t>000184 plus background entecavir (ETV) therapy for up to 96 weeks in HBeAg positive or negative CHB patients. Preliminary data have been presented for several of these cohorts (McClure et al, Global Hepatitis Summit, April 2023, Hou et al., EASL 2023) and indicate that ALG</w:t>
        <w:noBreakHyphen/>
        <w:t>000184 dosed for up to 36 weeks is well tolerated with a favorable PK profile and potentially best-in-class antiviral activity. Specifically, antiviral activity data in subjects dosed &gt;12 weeks are available for cohorts of HBeAg positive subjects with normal baseline ALT (100 mg (Part 4 Cohort 1) and HBeAg positive subjects with normal/elevated baseline ALT (300 mg (Part 4 Cohort 2)). In Part 4 Cohorts 1 and 2, we observed mean DNA reductions of ~6 log</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IU/mL among subjects dosed with 100-300 mg ALG</w:t>
        <w:noBreakHyphen/>
        <w:t>000184 + ETV x 24 weeks. Notably, subjects in these cohorts who initially received ETV x 12 weeks had more modest reductions in HBV DNA vs. subjects receiving ALG</w:t>
        <w:noBreakHyphen/>
        <w:t>000184 + ETV over the same time period, but these subjects then experienced further reductions in HBV DNA levels once they started receiving the combination and their HBV DNA levels also reached ~6 log</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IU/mL by Week 24. Among HBeAg positive CHB subjects who were dosed with 300 mg ALG</w:t>
        <w:noBreakHyphen/>
        <w:t>000184 + ETV, HBsAg levels declined in a majority of subjects by at least 0.4 and 1.0 log</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IU/mL after dosing for 12 and 24 weeks, respectively; the maximum decline observed to date in this population was 2.0 log</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IU/mL at week 36 (Hou et al., EASL 2023). By comparison, no meaningful change in HBsAg levels was observed in subjects dosed with ETV alone. Dosing of HBeAg positive/negative subjects with ALG</w:t>
        <w:noBreakHyphen/>
        <w:t>000184 + ETV (including a recently initiated twice daily (BID) cohort) will continue throughout 2023 and interim safety, PK, and antiviral activity data will be presented at scientific conferences throughout the year.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also exploring ways to boost immune responses via small molecule inhibitors of the programmed death 1 (ligand) PD</w:t>
        <w:noBreakHyphen/>
        <w:t>1/PD-L1 interaction. We have rationally designed these T cell activating drugs to localize in the liver and thereby potentially mitigate systemic toxicity in an effort to develop better tolerated PD-1/PD-L1 inhibitors for CHB patients. Lead molecules developed to date show similar in vivo efficacy to approved PD-1/PD-L1 antibodies and greater target occupancy at a lower dose in a liver metastatic tumor model compared to a subcutaneous tumor model.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our siRNA drug candidate targeting HBsAg production, ALG</w:t>
        <w:noBreakHyphen/>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available data indicate evidence of HBsAg lowering at all 3 dose levels evaluated; however, the comparative efficacy of ALG-125755 vs. competitor siRNAs is inconclusive. Further clinical evaluation of ALG-125755 is not prioritized with current funding. Further advancement of ALG-125755 will require partnership.</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combination regimens utilizing our portfolio of CHB drug candidates, with or without other mechanisms of action, may lead to higher rates of functional cure.</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net losses and negative cash flows from operations in each year since our formation in February 2018. Our net losses were $18.8 million and $41.7 million for the three and six months ended June 30, 2023, respectively, and our net losses were $19.9 million and $55.5 million for the three and six months ended June 30, 2022. We have had no revenue from product sales. As of June 30, 2023, we had an accumulated deficit of $440.9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salesforce and outsource a substantial portion of our clinical trial work to third parties.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Components of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operating expenses since inception have consisted solely of research and development costs and general and administrative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salaries, benefits and other employee-related costs, including stock-based compensation expense, for personnel engaged in research and development functions;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of outside consultants, including their fees, and related travel expenses;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associated with in-process research and development, including license fees and milestones paid to third-party collaborators for technologies with no alternative use;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related to production of clinical materials, including fees paid to contract manufacturers;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expenses incurred under agreements with collaborators that perform nonclinical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facility costs, depreciation, and other expenses, which include direct and allocated expenses for rent and maintenance of facilities, insurance, and other supplies. </w:t>
      </w:r>
    </w:p>
    <w:p>
      <w:pPr>
        <w:pStyle w:val="TextBody"/>
        <w:bidi w:val="0"/>
        <w:spacing w:before="240" w:after="0"/>
        <w:jc w:val="left"/>
        <w:rPr>
          <w:rFonts w:ascii="Times New Roman" w:hAnsi="Times New Roman"/>
          <w:sz w:val="20"/>
        </w:rPr>
      </w:pPr>
      <w:r>
        <w:rPr>
          <w:rFonts w:ascii="Times New Roman;serif" w:hAnsi="Times New Roman;serif"/>
          <w:b w:val="false"/>
          <w:sz w:val="20"/>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track direct external research and development expenses on a program-specific basis (steatohepatitis, coronaviruses, chronic hepatitis B and early-stage programs). The following table summarizes these research and development costs, in thousands:</w:t>
      </w:r>
    </w:p>
    <w:p>
      <w:pPr>
        <w:pStyle w:val="TextBody"/>
        <w:bidi w:val="0"/>
        <w:spacing w:before="240" w:after="0"/>
        <w:jc w:val="left"/>
        <w:rPr/>
      </w:pPr>
      <w:r>
        <w:rPr/>
        <w:t> </w:t>
      </w:r>
    </w:p>
    <w:tbl>
      <w:tblPr>
        <w:tblW w:w="10205" w:type="dxa"/>
        <w:jc w:val="left"/>
        <w:tblInd w:w="0" w:type="dxa"/>
        <w:tblLayout w:type="fixed"/>
        <w:tblCellMar>
          <w:top w:w="28" w:type="dxa"/>
          <w:left w:w="28" w:type="dxa"/>
          <w:bottom w:w="28" w:type="dxa"/>
          <w:right w:w="28" w:type="dxa"/>
        </w:tblCellMar>
      </w:tblPr>
      <w:tblGrid>
        <w:gridCol w:w="4998"/>
        <w:gridCol w:w="146"/>
        <w:gridCol w:w="238"/>
        <w:gridCol w:w="764"/>
        <w:gridCol w:w="164"/>
        <w:gridCol w:w="238"/>
        <w:gridCol w:w="764"/>
        <w:gridCol w:w="146"/>
        <w:gridCol w:w="146"/>
        <w:gridCol w:w="220"/>
        <w:gridCol w:w="707"/>
        <w:gridCol w:w="152"/>
        <w:gridCol w:w="220"/>
        <w:gridCol w:w="707"/>
        <w:gridCol w:w="595"/>
      </w:tblGrid>
      <w:tr>
        <w:trPr/>
        <w:tc>
          <w:tcPr>
            <w:tcW w:w="4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99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8"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006"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9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center"/>
              <w:rPr/>
            </w:pPr>
            <w:r>
              <w:rPr/>
              <w:t> </w:t>
            </w:r>
          </w:p>
        </w:tc>
      </w:tr>
      <w:tr>
        <w:trPr/>
        <w:tc>
          <w:tcPr>
            <w:tcW w:w="4998"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Direct research and development expenses by development program:</w:t>
            </w:r>
          </w:p>
        </w:tc>
        <w:tc>
          <w:tcPr>
            <w:tcW w:w="146" w:type="dxa"/>
            <w:tcBorders/>
            <w:vAlign w:val="center"/>
          </w:tcPr>
          <w:p>
            <w:pPr>
              <w:pStyle w:val="TableContents"/>
              <w:bidi w:val="0"/>
              <w:spacing w:before="0" w:after="0"/>
              <w:ind w:left="0" w:right="0" w:hanging="0"/>
              <w:jc w:val="left"/>
              <w:rPr/>
            </w:pPr>
            <w:r>
              <w:rPr/>
              <w:t> </w:t>
            </w:r>
          </w:p>
        </w:tc>
        <w:tc>
          <w:tcPr>
            <w:tcW w:w="1002" w:type="dxa"/>
            <w:gridSpan w:val="2"/>
            <w:tcBorders/>
            <w:vAlign w:val="center"/>
          </w:tcPr>
          <w:p>
            <w:pPr>
              <w:pStyle w:val="TableContents"/>
              <w:bidi w:val="0"/>
              <w:spacing w:before="0" w:after="0"/>
              <w:ind w:left="0" w:right="0" w:hanging="0"/>
              <w:jc w:val="center"/>
              <w:rPr/>
            </w:pPr>
            <w:r>
              <w:rPr/>
              <w:t> </w:t>
            </w:r>
          </w:p>
        </w:tc>
        <w:tc>
          <w:tcPr>
            <w:tcW w:w="164" w:type="dxa"/>
            <w:tcBorders/>
            <w:vAlign w:val="center"/>
          </w:tcPr>
          <w:p>
            <w:pPr>
              <w:pStyle w:val="TableContents"/>
              <w:bidi w:val="0"/>
              <w:spacing w:before="0" w:after="0"/>
              <w:ind w:left="0" w:right="0" w:hanging="0"/>
              <w:jc w:val="center"/>
              <w:rPr/>
            </w:pPr>
            <w:r>
              <w:rPr/>
              <w:t> </w:t>
            </w:r>
          </w:p>
        </w:tc>
        <w:tc>
          <w:tcPr>
            <w:tcW w:w="10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52" w:type="dxa"/>
            <w:tcBorders/>
            <w:vAlign w:val="center"/>
          </w:tcPr>
          <w:p>
            <w:pPr>
              <w:pStyle w:val="TableContents"/>
              <w:bidi w:val="0"/>
              <w:spacing w:before="0" w:after="0"/>
              <w:ind w:left="0" w:right="0" w:hanging="0"/>
              <w:jc w:val="center"/>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595" w:type="dxa"/>
            <w:tcBorders/>
            <w:vAlign w:val="center"/>
          </w:tcPr>
          <w:p>
            <w:pPr>
              <w:pStyle w:val="TableContents"/>
              <w:bidi w:val="0"/>
              <w:spacing w:before="0" w:after="0"/>
              <w:ind w:left="0" w:right="0" w:firstLine="300"/>
              <w:jc w:val="center"/>
              <w:rPr/>
            </w:pPr>
            <w:r>
              <w:rPr/>
              <w:t> </w:t>
            </w:r>
          </w:p>
        </w:tc>
      </w:tr>
      <w:tr>
        <w:trPr/>
        <w:tc>
          <w:tcPr>
            <w:tcW w:w="4998"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Non-alcoholic Steatohepatitis program</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1,119</w:t>
            </w:r>
          </w:p>
        </w:tc>
        <w:tc>
          <w:tcPr>
            <w:tcW w:w="164"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w:t>
            </w:r>
          </w:p>
        </w:tc>
        <w:tc>
          <w:tcPr>
            <w:tcW w:w="595" w:type="dxa"/>
            <w:tcBorders/>
            <w:vAlign w:val="center"/>
          </w:tcPr>
          <w:p>
            <w:pPr>
              <w:pStyle w:val="TableContents"/>
              <w:bidi w:val="0"/>
              <w:spacing w:before="0" w:after="0"/>
              <w:ind w:left="0" w:right="0" w:firstLine="300"/>
              <w:jc w:val="left"/>
              <w:rPr/>
            </w:pPr>
            <w:r>
              <w:rPr/>
              <w:t> </w:t>
            </w:r>
          </w:p>
        </w:tc>
      </w:tr>
      <w:tr>
        <w:trPr/>
        <w:tc>
          <w:tcPr>
            <w:tcW w:w="4998"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Coronaviruses program</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1,794</w:t>
            </w:r>
          </w:p>
        </w:tc>
        <w:tc>
          <w:tcPr>
            <w:tcW w:w="164"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4,269</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2,609</w:t>
            </w:r>
          </w:p>
        </w:tc>
        <w:tc>
          <w:tcPr>
            <w:tcW w:w="595" w:type="dxa"/>
            <w:tcBorders/>
            <w:vAlign w:val="center"/>
          </w:tcPr>
          <w:p>
            <w:pPr>
              <w:pStyle w:val="TableContents"/>
              <w:bidi w:val="0"/>
              <w:spacing w:before="0" w:after="0"/>
              <w:ind w:left="0" w:right="0" w:firstLine="300"/>
              <w:jc w:val="left"/>
              <w:rPr/>
            </w:pPr>
            <w:r>
              <w:rPr/>
              <w:t> </w:t>
            </w:r>
          </w:p>
        </w:tc>
      </w:tr>
      <w:tr>
        <w:trPr/>
        <w:tc>
          <w:tcPr>
            <w:tcW w:w="4998"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Chronic Hepatitis B program</w:t>
            </w:r>
          </w:p>
        </w:tc>
        <w:tc>
          <w:tcPr>
            <w:tcW w:w="146"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2,608</w:t>
            </w:r>
          </w:p>
        </w:tc>
        <w:tc>
          <w:tcPr>
            <w:tcW w:w="164" w:type="dxa"/>
            <w:tcBorders/>
            <w:vAlign w:val="center"/>
          </w:tcPr>
          <w:p>
            <w:pPr>
              <w:pStyle w:val="TableContents"/>
              <w:bidi w:val="0"/>
              <w:spacing w:before="0" w:after="0"/>
              <w:ind w:left="0" w:right="0" w:hanging="0"/>
              <w:jc w:val="left"/>
              <w:rPr/>
            </w:pPr>
            <w:r>
              <w:rPr/>
              <w:t> </w:t>
            </w:r>
          </w:p>
        </w:tc>
        <w:tc>
          <w:tcPr>
            <w:tcW w:w="238"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4,599</w:t>
            </w:r>
          </w:p>
        </w:tc>
        <w:tc>
          <w:tcPr>
            <w:tcW w:w="152" w:type="dxa"/>
            <w:tcBorders/>
            <w:vAlign w:val="center"/>
          </w:tcPr>
          <w:p>
            <w:pPr>
              <w:pStyle w:val="TableContents"/>
              <w:bidi w:val="0"/>
              <w:spacing w:before="0" w:after="0"/>
              <w:ind w:left="0" w:right="0" w:hanging="0"/>
              <w:jc w:val="left"/>
              <w:rPr/>
            </w:pPr>
            <w:r>
              <w:rPr/>
              <w:t> </w:t>
            </w:r>
          </w:p>
        </w:tc>
        <w:tc>
          <w:tcPr>
            <w:tcW w:w="220" w:type="dxa"/>
            <w:tcBorders/>
            <w:vAlign w:val="center"/>
          </w:tcPr>
          <w:p>
            <w:pPr>
              <w:pStyle w:val="TableContents"/>
              <w:bidi w:val="0"/>
              <w:spacing w:before="0" w:after="0"/>
              <w:ind w:left="0" w:right="0" w:hanging="0"/>
              <w:jc w:val="left"/>
              <w:rPr/>
            </w:pPr>
            <w:r>
              <w:rPr/>
              <w:t> </w:t>
            </w:r>
          </w:p>
        </w:tc>
        <w:tc>
          <w:tcPr>
            <w:tcW w:w="70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15,533</w:t>
            </w:r>
          </w:p>
        </w:tc>
        <w:tc>
          <w:tcPr>
            <w:tcW w:w="595" w:type="dxa"/>
            <w:tcBorders/>
            <w:vAlign w:val="center"/>
          </w:tcPr>
          <w:p>
            <w:pPr>
              <w:pStyle w:val="TableContents"/>
              <w:bidi w:val="0"/>
              <w:spacing w:before="0" w:after="0"/>
              <w:ind w:left="0" w:right="0" w:firstLine="300"/>
              <w:jc w:val="left"/>
              <w:rPr/>
            </w:pPr>
            <w:r>
              <w:rPr/>
              <w:t> </w:t>
            </w:r>
          </w:p>
        </w:tc>
      </w:tr>
      <w:tr>
        <w:trPr/>
        <w:tc>
          <w:tcPr>
            <w:tcW w:w="4998" w:type="dxa"/>
            <w:tcBorders/>
            <w:vAlign w:val="center"/>
          </w:tcPr>
          <w:p>
            <w:pPr>
              <w:pStyle w:val="TableContents"/>
              <w:bidi w:val="0"/>
              <w:spacing w:before="0" w:after="0"/>
              <w:ind w:left="300" w:right="0" w:hanging="0"/>
              <w:jc w:val="left"/>
              <w:rPr>
                <w:rFonts w:ascii="Times New Roman;serif" w:hAnsi="Times New Roman;serif"/>
                <w:b w:val="false"/>
                <w:sz w:val="20"/>
              </w:rPr>
            </w:pPr>
            <w:r>
              <w:rPr>
                <w:rFonts w:ascii="Times New Roman;serif" w:hAnsi="Times New Roman;serif"/>
                <w:b w:val="false"/>
                <w:sz w:val="20"/>
              </w:rPr>
              <w:t>Other early-stage programs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1,429</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3,238</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5,758</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499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direct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6,951</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14,731</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26,671</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98"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indirect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9,831</w:t>
            </w:r>
          </w:p>
        </w:tc>
        <w:tc>
          <w:tcPr>
            <w:tcW w:w="1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20,185</w:t>
            </w:r>
          </w:p>
        </w:tc>
        <w:tc>
          <w:tcPr>
            <w:tcW w:w="1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21,515</w:t>
            </w:r>
          </w:p>
        </w:tc>
        <w:tc>
          <w:tcPr>
            <w:tcW w:w="5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9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w:t>
            </w:r>
          </w:p>
        </w:tc>
        <w:tc>
          <w:tcPr>
            <w:tcW w:w="146" w:type="dxa"/>
            <w:tcBorders/>
            <w:vAlign w:val="center"/>
          </w:tcPr>
          <w:p>
            <w:pPr>
              <w:pStyle w:val="TableContents"/>
              <w:bidi w:val="0"/>
              <w:spacing w:before="0" w:after="0"/>
              <w:ind w:left="0" w:right="0" w:hanging="0"/>
              <w:jc w:val="righ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16,781</w:t>
            </w:r>
          </w:p>
        </w:tc>
        <w:tc>
          <w:tcPr>
            <w:tcW w:w="1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6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34,916</w:t>
            </w:r>
          </w:p>
        </w:tc>
        <w:tc>
          <w:tcPr>
            <w:tcW w:w="1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48,186</w:t>
            </w:r>
          </w:p>
        </w:tc>
        <w:tc>
          <w:tcPr>
            <w:tcW w:w="5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Interest and other income, net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and other income, net comprises interest income, net and other income, net. Interest income, net primarily consists of interest earned on our cash, cash equivalents, and investments. Other income, net consists primarily of the change in fair value of our investments and foreign currency gains/losses.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Comparison of the three and six months ended June 30, 2023 and 2022</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operating expenses for the three and six months ended June 30, 2023 and 2022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293"/>
        <w:gridCol w:w="146"/>
        <w:gridCol w:w="211"/>
        <w:gridCol w:w="676"/>
        <w:gridCol w:w="146"/>
        <w:gridCol w:w="146"/>
        <w:gridCol w:w="211"/>
        <w:gridCol w:w="676"/>
        <w:gridCol w:w="146"/>
        <w:gridCol w:w="146"/>
        <w:gridCol w:w="211"/>
        <w:gridCol w:w="571"/>
        <w:gridCol w:w="146"/>
        <w:gridCol w:w="146"/>
        <w:gridCol w:w="146"/>
        <w:gridCol w:w="316"/>
        <w:gridCol w:w="271"/>
        <w:gridCol w:w="146"/>
        <w:gridCol w:w="211"/>
        <w:gridCol w:w="676"/>
        <w:gridCol w:w="146"/>
        <w:gridCol w:w="146"/>
        <w:gridCol w:w="211"/>
        <w:gridCol w:w="676"/>
        <w:gridCol w:w="146"/>
        <w:gridCol w:w="146"/>
        <w:gridCol w:w="211"/>
        <w:gridCol w:w="736"/>
        <w:gridCol w:w="166"/>
        <w:gridCol w:w="146"/>
        <w:gridCol w:w="146"/>
        <w:gridCol w:w="376"/>
        <w:gridCol w:w="316"/>
      </w:tblGrid>
      <w:tr>
        <w:trPr/>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2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6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29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2"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22" w:type="dxa"/>
            <w:gridSpan w:val="2"/>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1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16,510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34,916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(13,270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3,724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29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26,027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24,086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52,668</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62,214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(9,546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Research and development expenses increased by $0.3 million during the three months ended June 30, 2023, compared to the same period in 2022. The increase in the three-month period was primarily due to a $2.1 million increase in various costs including facility expenses due to the right of use asset impairment. This was largely offset by a decrease of $0.5 million in third-party expenses due to our reduced manufacturing of drug supply in advance of our NASH program. There was also a decrease of $1.3 million in employee-related costs due to reduced headcount.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Research and development expenses decreased by $13.3 million during the six months ended June 30, 2023, compared to the same period in 2022. The decrease in the six-month period was due primarily to a decrease of $14.4 million in third-party expenses mainly related to our discontinued STOPs and ASO programs, partially offset by increases in our ongoing activities and related expenditures associated with our CAM clinical trial activities and NASH program. There was also a decrease of $1.3 million in depreciation and additional employee-related costs, of which $0.2 million related to stock-based compensation, due to reduced headcount. Partially offsetting this, there was an increase of $2.4 million in other costs including facility expenses due to the right of use asset impairment.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increased by $1.7 million during the three months ended June 30, 2023, compared to the same period in 2022. This was primarily due to a $3.0 million increase in legal and related costs. This was partially offset by a decrease of $0.2 million in employee-related and other costs, and a decrease of $1.1 million in facility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increased by $3.7 million during the six months ended June 30, 2023, compared to the same period in 2022. This was primarily due to an increase of $6.5 million in legal and related costs. This was partially offset by a decrease of $2.3 million related to facility costs and a decrease of $0.5 million in employee-related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val="false"/>
          <w:i/>
          <w:sz w:val="20"/>
        </w:rPr>
        <w:t>Interest and other income, net</w:t>
      </w:r>
      <w:r>
        <w:rPr>
          <w:rFonts w:ascii="Times New Roman" w:hAnsi="Times New Roman"/>
          <w:sz w:val="20"/>
        </w:rPr>
        <w:t xml:space="preserve"> </w:t>
      </w:r>
    </w:p>
    <w:p>
      <w:pPr>
        <w:pStyle w:val="TextBody"/>
        <w:bidi w:val="0"/>
        <w:spacing w:before="360" w:after="0"/>
        <w:jc w:val="left"/>
        <w:rPr>
          <w:rFonts w:ascii="Times New Roman;serif" w:hAnsi="Times New Roman;serif"/>
          <w:b w:val="false"/>
          <w:sz w:val="20"/>
        </w:rPr>
      </w:pPr>
      <w:r>
        <w:rPr>
          <w:rFonts w:ascii="Times New Roman;serif" w:hAnsi="Times New Roman;serif"/>
          <w:b w:val="false"/>
          <w:sz w:val="20"/>
        </w:rPr>
        <w:t>The following table summarizes our interest and other income, net for the three and six months ended June 30, 2023 and 2022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718"/>
        <w:gridCol w:w="146"/>
        <w:gridCol w:w="211"/>
        <w:gridCol w:w="571"/>
        <w:gridCol w:w="146"/>
        <w:gridCol w:w="146"/>
        <w:gridCol w:w="211"/>
        <w:gridCol w:w="421"/>
        <w:gridCol w:w="146"/>
        <w:gridCol w:w="146"/>
        <w:gridCol w:w="211"/>
        <w:gridCol w:w="481"/>
        <w:gridCol w:w="166"/>
        <w:gridCol w:w="146"/>
        <w:gridCol w:w="146"/>
        <w:gridCol w:w="421"/>
        <w:gridCol w:w="271"/>
        <w:gridCol w:w="146"/>
        <w:gridCol w:w="211"/>
        <w:gridCol w:w="571"/>
        <w:gridCol w:w="146"/>
        <w:gridCol w:w="146"/>
        <w:gridCol w:w="211"/>
        <w:gridCol w:w="421"/>
        <w:gridCol w:w="146"/>
        <w:gridCol w:w="146"/>
        <w:gridCol w:w="211"/>
        <w:gridCol w:w="571"/>
        <w:gridCol w:w="146"/>
        <w:gridCol w:w="146"/>
        <w:gridCol w:w="146"/>
        <w:gridCol w:w="421"/>
        <w:gridCol w:w="716"/>
      </w:tblGrid>
      <w:tr>
        <w:trPr/>
        <w:tc>
          <w:tcPr>
            <w:tcW w:w="1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171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pPr>
            <w:r>
              <w:rPr/>
              <w:t> </w:t>
            </w:r>
          </w:p>
        </w:tc>
      </w:tr>
      <w:tr>
        <w:trPr/>
        <w:tc>
          <w:tcPr>
            <w:tcW w:w="17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7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4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71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3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67" w:type="dxa"/>
            <w:gridSpan w:val="2"/>
            <w:tcBorders/>
            <w:vAlign w:val="center"/>
          </w:tcPr>
          <w:p>
            <w:pPr>
              <w:pStyle w:val="TableContents"/>
              <w:bidi w:val="0"/>
              <w:spacing w:before="0" w:after="0"/>
              <w:ind w:left="0" w:right="0" w:hanging="0"/>
              <w:jc w:val="left"/>
              <w:rPr/>
            </w:pPr>
            <w:r>
              <w:rPr/>
              <w:t> </w:t>
            </w:r>
          </w:p>
        </w:tc>
        <w:tc>
          <w:tcPr>
            <w:tcW w:w="716" w:type="dxa"/>
            <w:tcBorders/>
            <w:vAlign w:val="center"/>
          </w:tcPr>
          <w:p>
            <w:pPr>
              <w:pStyle w:val="TableContents"/>
              <w:bidi w:val="0"/>
              <w:spacing w:before="0" w:after="0"/>
              <w:ind w:left="0" w:right="0" w:hanging="0"/>
              <w:jc w:val="left"/>
              <w:rPr/>
            </w:pPr>
            <w:r>
              <w:rPr/>
              <w:t> </w:t>
            </w:r>
          </w:p>
        </w:tc>
      </w:tr>
      <w:tr>
        <w:trPr/>
        <w:tc>
          <w:tcPr>
            <w:tcW w:w="17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471</w:t>
            </w:r>
          </w:p>
        </w:tc>
        <w:tc>
          <w:tcPr>
            <w:tcW w:w="71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71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1718"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interest and other income,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1,598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w:t>
            </w:r>
          </w:p>
        </w:tc>
        <w:tc>
          <w:tcPr>
            <w:tcW w:w="7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Interest income, net increased by $0.7 million for the three months ended June 30, 2023 compared to the three months ended June 30, 2022, primarily due to a general increase in market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Interest income, net increased by $1.4 million for the six months ended June 30, 2023 compared to the six months ended June 30, 2022, primarily due to a general increase in market interest rates.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net decreased for the three months ended June 30, 2023 compared to the three months ended June 30, 2022, due primarily to foreign currency exchange gains.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Other income, net increased for the six months ended June 30, 2023 compared to the six months ended June 30, 2022, due primarily to foreign currency exchange gains.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Liquidity</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incurred net losses since inception. We have not generated any revenue from product sales or any other sources and have incurred significant operating losses. We have not yet commercialized any products and we do not expect to generate revenue from sales of any drug candidates for at least several years, if ever.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operations have been financed primarily by net proceeds from the sale and issuance of our convertible preferred stock, net proceeds from our IPO, and the issuance of convertible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cash, cash equivalents and investments of $90.8 million.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val="false"/>
          <w:i/>
          <w:sz w:val="20"/>
        </w:rPr>
        <w:t>Capital resources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NASH drug candidate ALG</w:t>
        <w:noBreakHyphen/>
        <w:t>055009, which we have initiated clinical trials, as well as our research and development of our other drug candidates within our coronavirus and CHB programs.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we incur costs associated with operating as a public company. We expect that our expenses will increase substantially to the extent we: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conduct our current and future clinical trials, and additional nonclinical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initiate and continue research and nonclinical and clinical development of other drug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 to identify additional drug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pursue marketing approvals for any of our drug candidates that successfully complete clinical trials,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 a sales, marketing and distribution infrastructure to commercialize any products for which we may obtain marketing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require the manufacture of larger quantities of our drug candidates for clinical development and potentially commercialization;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obtain, maintain, expand, protect and enforce our intellectual property portfolio;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acquire or in-license other drug candidates and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hire and retain additional clinical, quality control and scientific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achieve milestones triggering payments by us under our current and potential future licensing and/or collaboration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build out or expand existing facilities to support our ongoing development activity;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bidi w:val="0"/>
        <w:spacing w:before="240" w:after="0"/>
        <w:jc w:val="left"/>
        <w:rPr>
          <w:rFonts w:ascii="Times New Roman" w:hAnsi="Times New Roman"/>
          <w:sz w:val="20"/>
        </w:rPr>
      </w:pPr>
      <w:r>
        <w:rPr>
          <w:rFonts w:ascii="Times New Roman;serif" w:hAnsi="Times New Roman;serif"/>
          <w:b w:val="false"/>
          <w:sz w:val="20"/>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results and costs of researching and developing our drug candidates and programs, and of conducting nonclinical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and the costs involved in, obtaining marketing approvals for drug candidates we develop if clinical trials are successful;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our current and future drug candidates for clinical trials in preparation for marketing approval and commercialization;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lawsuits related to our drug candidates or commenced against us, including the costs associated with our current litigation with Janssen;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amount of sales of, or profit share or royalties on, our future products,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emergence of competing therapies for hepatological indications and viral diseases and other adverse market developments;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acquisitions or in-licensing of other programs or technologies. </w:t>
      </w:r>
    </w:p>
    <w:p>
      <w:pPr>
        <w:pStyle w:val="TextBody"/>
        <w:bidi w:val="0"/>
        <w:spacing w:before="240" w:after="0"/>
        <w:jc w:val="left"/>
        <w:rPr>
          <w:rFonts w:ascii="Times New Roman" w:hAnsi="Times New Roman"/>
          <w:sz w:val="20"/>
        </w:rPr>
      </w:pPr>
      <w:r>
        <w:rPr>
          <w:rFonts w:ascii="Times New Roman;serif" w:hAnsi="Times New Roman;serif"/>
          <w:b w:val="false"/>
          <w:sz w:val="20"/>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incurring debt, making capital expenditures or declaring dividends, which could adversely constrain our ability to conduct our business, and may require the issuance of warrants, which could potentially dilute your ownership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Cash flows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 summarizes our sources and uses of cash for each of the periods presented (in thousands):</w:t>
      </w:r>
      <w:r>
        <w:rPr>
          <w:rFonts w:ascii="Times New Roman" w:hAnsi="Times New Roman"/>
          <w:sz w:val="20"/>
        </w:rPr>
        <w:t xml:space="preserve"> </w:t>
      </w:r>
    </w:p>
    <w:p>
      <w:pPr>
        <w:pStyle w:val="TextBody"/>
        <w:bidi w:val="0"/>
        <w:spacing w:before="0" w:after="0"/>
        <w:jc w:val="left"/>
        <w:rPr/>
      </w:pPr>
      <w:r>
        <w:rPr/>
        <w:t> </w:t>
      </w:r>
    </w:p>
    <w:tbl>
      <w:tblPr>
        <w:tblW w:w="8279" w:type="dxa"/>
        <w:jc w:val="left"/>
        <w:tblInd w:w="0" w:type="dxa"/>
        <w:tblLayout w:type="fixed"/>
        <w:tblCellMar>
          <w:top w:w="28" w:type="dxa"/>
          <w:left w:w="28" w:type="dxa"/>
          <w:bottom w:w="28" w:type="dxa"/>
          <w:right w:w="28" w:type="dxa"/>
        </w:tblCellMar>
      </w:tblPr>
      <w:tblGrid>
        <w:gridCol w:w="5611"/>
        <w:gridCol w:w="146"/>
        <w:gridCol w:w="211"/>
        <w:gridCol w:w="736"/>
        <w:gridCol w:w="166"/>
        <w:gridCol w:w="146"/>
        <w:gridCol w:w="211"/>
        <w:gridCol w:w="841"/>
        <w:gridCol w:w="21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w:t>
            </w:r>
          </w:p>
        </w:tc>
        <w:tc>
          <w:tcPr>
            <w:tcW w:w="211" w:type="dxa"/>
            <w:tcBorders/>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211" w:type="dxa"/>
            <w:tcBorders/>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5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(36,003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(45,469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44,997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(70,380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(decrease)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(115,787</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i/>
          <w:sz w:val="20"/>
        </w:rPr>
        <w:t>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operating activities utilized $36.0 million of cash, primarily resulting from our net loss of $41.7 million and net changes in operating assets and liabilities of $3.0 million, partially offset by non-cash charges of $8.8 million. Net cash used in operating activities resulted in changes in our operating assets and liabilities of $3.0 million, consisting of a decrease of $1.5 million in accounts payable, a decrease of $2.2 million in accrued liabilities, a decrease of $1.2 million in operating lease liabilities, and a decrease of $4.6 million in deferred revenue from collaborations, partially offset by a decrease in other assets of $4.3 million and an increase of $2.2 million in deferred revenue from customers. The decrease in deferred revenue from collaborations was due to the recognition of revenue from collaborations due to progress towards the completion of the projects. The decrease in accrued liabilities was largely due to charges related to the discontinuation of our ASO and STOPs drug candidates. The decrease in accounts payable is due to the timing of payments to vendors.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During the six months ended June 30, 2022, operating activities utilized $45.5 million of cash, primarily resulting from our net loss of $55.5 million, partially offset by net changes in operating assets and liabilities of $0.4 million, and by non-cash charges of $9.6 million. Net cash used in operating activities resulted in changes in our operating assets and liabilities of $0.4 million, consisting of an increase of $8.7 million in deferred revenue from collaborations, an increase in other assets of $5.6 million, partially offset by a decrease of $0.3 million in accounts payable, a decrease of $12.4 million in accrued liabilities, a decrease of $1.0 million in operating lease liabilities, and a decrease of $0.3 million in right of use assets. The increase in deferred revenue from collaborations was a result of our First Amendment to the License and Research Collaboration Agreement (refer to Note 8 License and collaboration agreements, for details), partially offset by the recognition of revenue from collaborations due to progress towards the completion of the projects. The decrease in accrued liabilities was largely due to charges related to the discontinuation of our ASO and STOPs drug candidates and payment of the annual bonus in 2022 that was accrued for in 2021.</w:t>
      </w:r>
    </w:p>
    <w:p>
      <w:pPr>
        <w:pStyle w:val="TextBody"/>
        <w:bidi w:val="0"/>
        <w:spacing w:before="360" w:after="0"/>
        <w:jc w:val="left"/>
        <w:rPr>
          <w:rFonts w:ascii="Times New Roman" w:hAnsi="Times New Roman"/>
          <w:sz w:val="20"/>
        </w:rPr>
      </w:pPr>
      <w:r>
        <w:rPr>
          <w:rFonts w:ascii="Times New Roman;serif" w:hAnsi="Times New Roman;serif"/>
          <w:b/>
          <w:i/>
          <w:sz w:val="20"/>
        </w:rPr>
        <w:t>Investing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investing activities provided $45.0 million of cash, primarily due to $45.0 million of investment maturities.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During the six months ended June 30, 2022, investing activities utilized $70.4 million of cash, primarily for $74.8 million of investment purchases, and $0.8 million of property and equipment purchases, partially offset by $5.2 million of investment maturities.</w:t>
      </w:r>
    </w:p>
    <w:p>
      <w:pPr>
        <w:pStyle w:val="TextBody"/>
        <w:bidi w:val="0"/>
        <w:spacing w:before="360" w:after="0"/>
        <w:jc w:val="left"/>
        <w:rPr>
          <w:rFonts w:ascii="Times New Roman" w:hAnsi="Times New Roman"/>
          <w:sz w:val="20"/>
        </w:rPr>
      </w:pPr>
      <w:r>
        <w:rPr>
          <w:rFonts w:ascii="Times New Roman;serif" w:hAnsi="Times New Roman;serif"/>
          <w:b/>
          <w:i/>
          <w:sz w:val="20"/>
        </w:rPr>
        <w:t>Financing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six months ended June 30, 2023, net cash provided by financing activities was $413 thousand, consisting primarily of proceeds from the ESPP purchase and from the exercise of stock options, partially offset by payments of our finance leases.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During the six months ended June 30, 2022, net cash provided by financing activities was $62 thousand, consisting primarily of proceeds from the purchase of shares in our Employee Stock Purchase Plan, partially offset by payments of our finance leases.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Contractual obligations and commitments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no material changes to our contractual obligations and commitments as of June 30, 2023 as disclosed in the contractual obligations and commitment section in our Annual Report on Form 10-K filed with the SEC on March 9, 2023.</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did not have during the periods presented, and we do not currently have, any off-balance sheet arrangements, as defined in the rules and regulations of the SEC.</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Indemnification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Critical accounting policies and use of estimates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a discussion of our critical accounting estimates, see “Management’s discussion and analysis of financial condition and results of operations” and the notes to our audited financial statements in our annual report on Form 10-K, filed with the SEC on March 9, 2023 for the year ended December 31, 2022, and the notes to the financial statements appearing elsewhere in this Quarterly Report on Form 10-Q. There have been no material changes to these critical accounting policies and estimates through June 30, 2023 from those discussed in our Form 10-K.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Recently issued and adopted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For a description of the expected impact of recently adopted accounting pronouncements, see Note 2. Summary of Significant Accounting Policies in the “Notes to Unaudited Condensed Consolidated Financial Statements” contained in Part I, Item 1 of this report.</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market risk related to changes in interest rates applicable to our investment portfolio of cash equivalents and short-term investments. As of June 30, 2023, our cash equivalents consisted primarily of money market funds, and our investments consisted of certificates of deposit available-for-sale securities. Our primary exposure to market risk is interest income sensitivity, which is affected by changes in the general level of U.S. interest rates. Should U.S. interest rates decline, interest income would be reduced in future periods for short-term investments which mature and the proceeds of which are reinvested in similar instruments at lower interest rates. Additionally, the fair value of our short-term investments is subject to change as a result of potential changes in market interest rates, including changes resulting from the impact of the COVID-19 pandemic. The potential change in fair value from interest-rate-sensitive instruments has been assessed on a hypothetical 100 basis point adverse movement across all maturities. As of June 30, 2023, we estimate that a hypothetical 100 basis point adverse movement would not result in a material impact on our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financial position or results of operations or cash flows. As of June 30, 2023, we had no debt outstanding, besides short-term payables arising in the normal course of business, and are therefore not exposed to interest rate risk with respect to debt.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Foreign currency exchange risk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2" w:name="item_4_controls_procedures"/>
      <w:bookmarkEnd w:id="12"/>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established disclosure controls and procedures (as defined in Rules 13a-15(e) and 15d-15(e) under the Exchange Act)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Evaluation of disclosure controls and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2023, our disclosure controls and procedures were effective.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There has been no change in our internal control over financial reporting (as defined in Rules 13a-15(f) and 15d-15(f) under the Exchange Act) that occurred during the fiscal quarter ended June 30, 2023 that has materially affected, or is reasonably likely to materially affect, our internal control over financial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of the COVID-19 pandemic, in March 2020, substantially all of our employees began working remotely. Since the availability of COVID-19 vaccines in 2021, almost all of our employees have been fully vaccinated and as a result, we have allowed such employees to return to work subject to certain COVID-19 related protocols and policies we have in place which may be modified from time to time in response to the evolution of the pandemic and any future pandemics/epidemic outbreaks. We have not identified any material changes in our internal control over financial reporting as a result of these changes to the working environment, in part because our internal control over financial reporting was designed to operate in a remote working environment. We are continually monitoring and assessing the COVID-19 situation to determine any potential impacts on the design and operating effectiveness of our internal controls over financial reporting.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13" w:name="part_iior_information"/>
      <w:bookmarkEnd w:id="13"/>
      <w:r>
        <w:rPr>
          <w:rFonts w:ascii="Times New Roman;serif" w:hAnsi="Times New Roman;serif"/>
          <w:b/>
          <w:sz w:val="20"/>
        </w:rPr>
        <w:t>PART II—OTHER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 w:name="item_1_legal_proceedings"/>
      <w:bookmarkEnd w:id="14"/>
      <w:r>
        <w:rPr>
          <w:rFonts w:ascii="Times New Roman;serif" w:hAnsi="Times New Roman;serif"/>
          <w:b/>
          <w:sz w:val="20"/>
        </w:rPr>
        <w:t>Item 1. Legal Proceedings.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except as described below. However, regardless of the outcome, litigation can have an adverse impact on our business, financial condition, results of operations and prospects because of associated costs and diversion of management time.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March 26, 2022, the Company received notice of a complaint (the Complaint) filed by Janssen Biopharma, LLC (Janssen), which generally concerned an alleged breach by certain of our employees of their obligations to Janssen as prior employees of Janssen by purporting to assign to Aligos various inventions allegedly owned by Janssen. The Complaint was filed on March 9, 2022 in the Superior Court of the State of California, County of San Mateo, against the Company, Lawrence M. Blatt, Chairman, Chief Executive Officer and Director of the Company, and Leonid Beigelman, President and Director of the Company. The Complaint alleges breach of contract by Lawrence M. Blatt and Leonid Beigelman and tortious interference with contract by the Company and seeks declaratory judgment of ownership of certain intellectual property by the Company, among other claims. The Complaint states that Janssen is seeking injunctive relief, assignment of certain intellectual property from us to Janssen and monetary damages. The Company believes the allegations in the Complaint are without merit and intends to continue to defend itself vigorously.</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4, 2022, the Company filed counterclaims against Janssen alleging Janssen has engaged in unfair competition and promissory fraud, and on August 22, 2022, the Company filed its response to the Complaint. During the course of the legal proceedings described above, the parties have each filed various demurrers which have been heard by the Court resulting in various outcomes.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July 31, 2023, the Company and Janssen filed a stipulation staying the case in their ongoing legal proceedings. The Company and Janssen have reached an agreement in principle to resolve their disputes and expect to finalize a settlement agreement promptly.</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5" w:name="item_1a_risk_factors"/>
      <w:bookmarkEnd w:id="15"/>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i/>
          <w:sz w:val="20"/>
        </w:rPr>
        <w:t>Investing in our common stock involves a high degree of risk. You should carefully consider the risks described below, as well as the other information in this Quarterly Report on Form 10-Q, including our consolidated financial statements and the related notes and the section titled “Management’s Discussion and Analysis of Financial Condition and Results of Operations,” before deciding whether to invest in our common stock. Many of the following risks and uncertainties are, and will be, exacerbated by any worsening of the global business and economic environment that resulted from the coronavirus pandemic (COVID-19).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limited operating history, financial position and need for additional capital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a clinical-stage biopharmaceutical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Biopharmaceutical product development is a highly speculative undertaking and involves a substantial degree of risk. We are a clinical-stage biopharmaceutical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Since inception, we have incurred significant net losses. Our net losses were $18.8 million and $41.7 million for the three and six months ended June 30, 2023, respectively, and $96.0 million for the year ended December 31, 2022. As of June 30, 2023, we had a total stockholders’ equity of $69.6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have never generated revenue from product sales and may never be profitable.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completing clinical and nonclinical development of drug candidates and programs and identifying and developing new drug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seeking and obtaining marketing approvals for any drug candidates that we develop;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achieving adequate coverage and reimbursement by third-party payors for drug candidates that we develop;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market acceptance of drug candidates that we develop as viable treatment options;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technological and market developments;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negotiating favorable terms in any collaboration, licensing or other arrangements into which we may enter and performing our obligations in such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maintaining, protecting, enforcing and expanding our portfolio of intellectual property rights, including patents, trade secrets and know-how;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defending against third-party interference, infringement or other intellectual property-related claims, if any;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attracting, hiring and retaining qualified personnel. </w:t>
      </w:r>
    </w:p>
    <w:p>
      <w:pPr>
        <w:pStyle w:val="TextBody"/>
        <w:bidi w:val="0"/>
        <w:spacing w:before="240" w:after="0"/>
        <w:jc w:val="left"/>
        <w:rPr>
          <w:rFonts w:ascii="Times New Roman" w:hAnsi="Times New Roman"/>
          <w:sz w:val="20"/>
        </w:rPr>
      </w:pPr>
      <w:r>
        <w:rPr>
          <w:rFonts w:ascii="Times New Roman;serif" w:hAnsi="Times New Roman;serif"/>
          <w:b w:val="false"/>
          <w:sz w:val="20"/>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As of June 30, 2023, we had unrestricted cash, cash equivalents and investments of $90.8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Our future capital requirements depend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progress, results and costs of researching and developing our drug candidates and programs, and of conducting nonclinical studies and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and the costs involved in, obtaining marketing approvals for drug candidates we develop if clinical trials are successful;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our current and future drug candidates for clinical trials in preparation for marketing approval and commercialization;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any lawsuits related to our drug candidates or commenced against us, including the costs associated with our current litigation with Janssen;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receipt and amount of sales of, or profit share or royalties on, our future products, if 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emergence of competing therapies for hepatological indications and viral diseases and other adverse market developments;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acquisitions or in-licensing of other programs or technologies.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To date, we have primarily financed our operations through the sale of common stock, preferred stock and convertible notes. For example, in November 2021, we filed a Registration Statement on Form S-3 covering the offering of up to $400.0 million of common stock, preferred stock, debt securities, warrants and units, which was declared effective by the SEC in November 2021 (November 2021 Shelf Registration Statement). In November 2021, we also entered into a sales agreement (November 2021 Sales Agreement), with Jefferies LLC, as sales agent to sell shares of our common stock, from time to time, with aggregate gross sales proceeds of up to $75.0 million pursuant to the November 2021 Shelf Registration Statement as an “at-the-market” offering under the Securities Act (ATM Offering Program).</w:t>
      </w:r>
    </w:p>
    <w:p>
      <w:pPr>
        <w:pStyle w:val="TextBody"/>
        <w:bidi w:val="0"/>
        <w:spacing w:before="240" w:after="0"/>
        <w:jc w:val="left"/>
        <w:rPr>
          <w:rFonts w:ascii="Times New Roman" w:hAnsi="Times New Roman"/>
          <w:sz w:val="20"/>
        </w:rPr>
      </w:pPr>
      <w:r>
        <w:rPr>
          <w:rFonts w:ascii="Times New Roman;serif" w:hAnsi="Times New Roman;serif"/>
          <w:b w:val="false"/>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the global business and economic environment that resulted from the COVID-19 pandemic and the macro-economic environment generally.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ability to raise additional funds will depend on financial, economic and other factors, many of which are beyond our control. For example, the COVID-19 pandemic, the current inflationary economic environment and rising interest rates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 limit, reduce or terminate nonclinical studies, clinical trials or other research and development activities or eliminate one or more of our development programs altogether;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240" w:after="0"/>
        <w:jc w:val="left"/>
        <w:rPr>
          <w:rFonts w:ascii="Times New Roman" w:hAnsi="Times New Roman"/>
          <w:sz w:val="20"/>
        </w:rPr>
      </w:pPr>
      <w:r>
        <w:rPr>
          <w:rFonts w:ascii="Times New Roman;serif" w:hAnsi="Times New Roman;serif"/>
          <w:b w:val="false"/>
          <w:sz w:val="20"/>
        </w:rPr>
        <w:t>We currently have a shelf registration statement effective and existing ATM Offering Program, however, our ability to raise capital under this registration statement and through the ATM Offering Program may be limited by, among other things, SEC rules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and regulations impacting the eligibility of smaller companies to use Form S-3 for primary offerings of securities. Based on our public float, as of the date of the filing of this Annual Report on Form 10-K, we are only permitted to utilize a shelf registration statement, including the registration statements under which our ATM Offering Programs are operated, subject to Instruction I.B.6 to Form S-3, which is referred to as the “baby shelf” rule. For so long as our public float is less than $75.0 million, we may not sell more than the equivalent of one-third of our public float during any 12 consecutive months pursuant to the baby shelf rules. Although alternative public and private transaction structures may be available, these may require additional time and cost, may impose operational restrictions on us, and may not be available on attractive terms.</w:t>
      </w:r>
    </w:p>
    <w:p>
      <w:pPr>
        <w:pStyle w:val="TextBody"/>
        <w:bidi w:val="0"/>
        <w:spacing w:before="360" w:after="0"/>
        <w:jc w:val="left"/>
        <w:rPr>
          <w:rFonts w:ascii="Times New Roman" w:hAnsi="Times New Roman"/>
          <w:sz w:val="20"/>
        </w:rPr>
      </w:pPr>
      <w:r>
        <w:rPr>
          <w:rFonts w:ascii="Times New Roman;serif" w:hAnsi="Times New Roman;serif"/>
          <w:b/>
          <w:i/>
          <w:sz w:val="20"/>
        </w:rPr>
        <w:t>Our operating results may fluctuate significantly, which will make our future results difficult to predict and could cause our results to fall below expectations.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of, and level of investment in, research, development and commercialization activities, which may change from time to time;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status of enrollment for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regulatory approvals, if any, in the United States and internationally;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cost of manufacturing, as well as building out our supply chain, which may vary depending on the quantity produced, and the terms of any agreements we enter into with third-party suppliers;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amount of any milestone, royalty or other payments due under any current or future collaboration or license agreement, including our existing license agreements with Emory University (Emory) and KU Leuven;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coverage and reimbursement policies with respect to any future approved products, and potential future drugs that compete with our products;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timing and cost to establish a sales, marketing, medical affairs and distribution infrastructure to commercialize any products for which we may obtain marketing approval and intend to commercialize on our own or jointly with current or future collaborators;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expenditures that we may incur to acquire, develop or commercialize additional products and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expenditures that we may incur in any lawsuits related to our drug candidates or commenced against us, including the costs associated with our current litigation with Janssen;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demand for any future approved products, which may vary significantly over time;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future accounting pronouncements or changes in accounting principles or our accounting policies;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bidi w:val="0"/>
        <w:spacing w:before="240" w:after="0"/>
        <w:jc w:val="left"/>
        <w:rPr>
          <w:rFonts w:ascii="Times New Roman" w:hAnsi="Times New Roman"/>
          <w:sz w:val="20"/>
        </w:rPr>
      </w:pPr>
      <w:r>
        <w:rPr>
          <w:rFonts w:ascii="Times New Roman;serif" w:hAnsi="Times New Roman;serif"/>
          <w:b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our current clinical trial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pStyle w:val="TextBody"/>
        <w:bidi w:val="0"/>
        <w:spacing w:before="360" w:after="0"/>
        <w:jc w:val="left"/>
        <w:rPr>
          <w:rFonts w:ascii="Times New Roman" w:hAnsi="Times New Roman"/>
          <w:sz w:val="20"/>
        </w:rPr>
      </w:pPr>
      <w:bookmarkStart w:id="16" w:name="risks_related_to_product_development_reg"/>
      <w:bookmarkEnd w:id="16"/>
      <w:r>
        <w:rPr>
          <w:rFonts w:ascii="Times New Roman;serif" w:hAnsi="Times New Roman;serif"/>
          <w:b/>
          <w:sz w:val="20"/>
        </w:rPr>
        <w:t>Risks related to product development and regulatory process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CHB portfolio previously included our STOPS</w:t>
      </w:r>
      <w:r>
        <w:rPr>
          <w:rFonts w:ascii="Times New Roman;serif" w:hAnsi="Times New Roman;serif"/>
          <w:b w:val="false"/>
          <w:sz w:val="13"/>
        </w:rPr>
        <w:t>TM</w:t>
      </w:r>
      <w:r>
        <w:rPr>
          <w:rFonts w:ascii="Times New Roman" w:hAnsi="Times New Roman"/>
          <w:sz w:val="20"/>
        </w:rPr>
        <w:t xml:space="preserve"> </w:t>
      </w:r>
      <w:r>
        <w:rPr>
          <w:rFonts w:ascii="Times New Roman;serif" w:hAnsi="Times New Roman;serif"/>
          <w:b w:val="false"/>
          <w:sz w:val="20"/>
        </w:rPr>
        <w:t>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CHB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CHB subject and several additional subjects experiencing ALT flares. Finally, for our siRNA drug candidate targeting HBsAg production,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ALG</w:t>
        <w:noBreakHyphen/>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partnership which may not come to fruition.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bidi w:val="0"/>
        <w:spacing w:before="240" w:after="0"/>
        <w:jc w:val="left"/>
        <w:rPr>
          <w:rFonts w:ascii="Times New Roman" w:hAnsi="Times New Roman"/>
          <w:sz w:val="20"/>
        </w:rPr>
      </w:pPr>
      <w:r>
        <w:rPr>
          <w:rFonts w:ascii="Times New Roman;serif" w:hAnsi="Times New Roman;serif"/>
          <w:b w:val="false"/>
          <w:sz w:val="20"/>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success of our current and future drug candidates will depend on many factors, which may include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sufficiency of our financial and other resources to complete the necessary nonclinical studies and clinical trials, and our ability to raise any additional required capital on acceptable terms, or at all;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develop and successfully utilize our drug discovery platforms;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acceptance of investigational new drug applications (INDs), clinical trial applications (CTAs) and/or similar applications in other jurisdictions for our planned and future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whether we are required by the FDA or a comparable foreign regulatory agency to conduct additional clinical trials or other studies beyond those planned to support approval of our drug candidates;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successful enrollment and completion of clinical trials;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 data from our clinical program that supports an acceptable risk-benefit profile of our drug candidates in the intended populations;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receipt and maintenance of marketing approvals from applicable regulatory authorities;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establishing agreements with third-party manufacturers for clinical supply for our clinical trials and commercial manufacturing, if our drug candidates are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entry into collaborations to further the development of our drug candidates in select indications or geographies;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maintaining and expanding our portfolio of intellectual property rights, including patents, trade secrets and know-how;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obtaining and maintaining regulatory exclusivity for our drug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successfully launching commercial sales of our drug candidates, if approved;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acceptance of the drug candidate’s benefits and uses, if approved, by patients, the medical community and third-party payors;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prevalence, duration and severity of potential side effects or other safety issues experienced with our drug candidates following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effectively competing with other therapies;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obtaining and maintaining healthcare coverage and adequate reimbursement from third-party payors. </w:t>
      </w:r>
    </w:p>
    <w:p>
      <w:pPr>
        <w:pStyle w:val="TextBody"/>
        <w:bidi w:val="0"/>
        <w:spacing w:before="240" w:after="0"/>
        <w:jc w:val="left"/>
        <w:rPr>
          <w:rFonts w:ascii="Times New Roman" w:hAnsi="Times New Roman"/>
          <w:sz w:val="20"/>
        </w:rPr>
      </w:pPr>
      <w:r>
        <w:rPr>
          <w:rFonts w:ascii="Times New Roman;serif" w:hAnsi="Times New Roman;serif"/>
          <w:b w:val="false"/>
          <w:sz w:val="20"/>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bidi w:val="0"/>
        <w:spacing w:before="240" w:after="0"/>
        <w:jc w:val="left"/>
        <w:rPr>
          <w:rFonts w:ascii="Times New Roman" w:hAnsi="Times New Roman"/>
          <w:sz w:val="20"/>
        </w:rPr>
      </w:pPr>
      <w:r>
        <w:rPr>
          <w:rFonts w:ascii="Times New Roman;serif" w:hAnsi="Times New Roman;serif"/>
          <w:b w:val="false"/>
          <w:sz w:val="20"/>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potential future partners, if any, over which we have no control. The commencement and rate of completion of nonclinical studies and clinical trials for a drug candidate may be delayed by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inability or failure by us or third parties to comply with regulatory requirements, including the requirements of good laboratory practice (GLP);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inability to generate sufficient nonclinical or other in vivo or in vitro data to support the initiation of clinical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delays in reaching a consensus with regulatory agencies on study design and obtaining regulatory authorization to commence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obtaining sufficient quantities of our drug candidates for use in nonclinical studies and clinical trials from third-party suppliers on a timely basis;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delays due to other global-scale potentially catastrophic events, including other public health pandemics or epidemics, terrorism, war, and climate changes. </w:t>
      </w:r>
    </w:p>
    <w:p>
      <w:pPr>
        <w:pStyle w:val="TextBody"/>
        <w:bidi w:val="0"/>
        <w:spacing w:before="240" w:after="0"/>
        <w:jc w:val="left"/>
        <w:rPr>
          <w:rFonts w:ascii="Times New Roman" w:hAnsi="Times New Roman"/>
          <w:sz w:val="20"/>
        </w:rPr>
      </w:pPr>
      <w:r>
        <w:rPr>
          <w:rFonts w:ascii="Times New Roman;serif" w:hAnsi="Times New Roman;serif"/>
          <w:b w:val="false"/>
          <w:sz w:val="20"/>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current and future drug candidates could fail to receive regulatory approval for many reasons, including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the EMA or comparable foreign regulatory authorities may disagree with the design or implementation of our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to the satisfaction of the FDA, the EMA or comparable foreign regulatory authorities that a drug candidate is safe or effective for its proposed indication;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unable to demonstrate that a drug candidate’s clinical and other benefits outweigh its safety risks;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the EMA or comparable foreign regulatory authorities may disagree with our interpretation of data from clinical trials or nonclinical studies;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data collected from clinical trials of our drug candidates may not be sufficient to support the submission of an NDA to the FDA or other submission or to obtain regulatory approval in the United States, the European Union or elsewhere;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240" w:after="0"/>
        <w:jc w:val="left"/>
        <w:rPr>
          <w:rFonts w:ascii="Times New Roman" w:hAnsi="Times New Roman"/>
          <w:sz w:val="20"/>
        </w:rPr>
      </w:pPr>
      <w:r>
        <w:rPr>
          <w:rFonts w:ascii="Times New Roman;serif" w:hAnsi="Times New Roman;serif"/>
          <w:b w:val="false"/>
          <w:sz w:val="20"/>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from future clinical trials of our drug candidates are promising, such data may not be sufficient to support approval by the FDA, the EMA or any other regulatory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w:t>
      </w:r>
      <w:r>
        <w:rPr>
          <w:rFonts w:ascii="Times New Roman;serif" w:hAnsi="Times New Roman;serif"/>
          <w:b w:val="false"/>
          <w:sz w:val="13"/>
        </w:rPr>
        <w:t>90</w:t>
      </w:r>
      <w:r>
        <w:rPr>
          <w:rFonts w:ascii="Times New Roman" w:hAnsi="Times New Roman"/>
          <w:sz w:val="20"/>
        </w:rPr>
        <w:t xml:space="preserve"> </w:t>
      </w:r>
      <w:r>
        <w:rPr>
          <w:rFonts w:ascii="Times New Roman;serif" w:hAnsi="Times New Roman;serif"/>
          <w:b w:val="false"/>
          <w:sz w:val="20"/>
        </w:rPr>
        <w:t>for HBsAg inhibition) there was no meaningful HBsAg reduction. Furthermore, higher doses levels (maximum feasible dose is 600 mg) that were planned to be evaluated in a subsequent cohort were very unlikely to reach the 1 log</w:t>
      </w:r>
      <w:r>
        <w:rPr>
          <w:rFonts w:ascii="Times New Roman;serif" w:hAnsi="Times New Roman;serif"/>
          <w:b w:val="false"/>
          <w:sz w:val="13"/>
        </w:rPr>
        <w:t>10</w:t>
      </w:r>
      <w:r>
        <w:rPr>
          <w:rFonts w:ascii="Times New Roman" w:hAnsi="Times New Roman"/>
          <w:sz w:val="20"/>
        </w:rPr>
        <w:t xml:space="preserve"> </w:t>
      </w:r>
      <w:r>
        <w:rPr>
          <w:rFonts w:ascii="Times New Roman;serif" w:hAnsi="Times New Roman;serif"/>
          <w:b w:val="false"/>
          <w:sz w:val="20"/>
        </w:rPr>
        <w:t>IU/mL HBsAg reduction level that we had previously defined as necessary to advance the program. As another example, in March 2022, we discontinued further development of our ASO drug candidate for CHB, ALG</w:t>
        <w:noBreakHyphen/>
        <w:t>020572, due to an unanticipated serious adverse event involving significant increase in ALT in one CHB subject and several other subjects experiencing ALT flares in the same study. Finally, for our siRNA drug candidate targeting HBsAg production, ALG</w:t>
        <w:noBreakHyphen/>
        <w:t>125755, we conducted a Phase 1 study evaluating single doses ranging from 20-200 mg and 50-320 mg in HVs and virologically suppressed HBeAg negative CHB subjects,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partnership which may not come to fruition.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regulators, Institutional Review Boards (IRBs) or ethics committees may not authorize us or our investigators to commence a clinical trial or conduct a clinical trial at a prospective trial site;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experience delays in reaching, or fail to reach, agreement on acceptable terms with prospective trial sites and prospective contract research organizations (CROs);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number of patients required for clinical trials may be larger than we anticipate;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supply or quality of materials for drug candidates we develop or other materials necessary to conduct clinical trials may be insufficient or inadequate;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experience disruptions by man-made or natural disasters or public health pandemics or epidemics or other business interruptions.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bidi w:val="0"/>
        <w:spacing w:before="240" w:after="0"/>
        <w:jc w:val="left"/>
        <w:rPr>
          <w:rFonts w:ascii="Times New Roman" w:hAnsi="Times New Roman"/>
          <w:sz w:val="20"/>
        </w:rPr>
      </w:pPr>
      <w:r>
        <w:rPr>
          <w:rFonts w:ascii="Times New Roman;serif" w:hAnsi="Times New Roman;serif"/>
          <w:b w:val="false"/>
          <w:sz w:val="20"/>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Specifically, should we experience another pandemic or epidemic outbreak on a similar if not greater scale as the COVID-19 outbreak, the clinical trial sites for our current drug trials, including for ALG</w:t>
        <w:noBreakHyphen/>
        <w:t>055009, ALG-000184 and ALG-125755,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pStyle w:val="TextBody"/>
        <w:bidi w:val="0"/>
        <w:spacing w:before="240" w:after="0"/>
        <w:jc w:val="left"/>
        <w:rPr>
          <w:rFonts w:ascii="Times New Roman" w:hAnsi="Times New Roman"/>
          <w:sz w:val="20"/>
        </w:rPr>
      </w:pPr>
      <w:r>
        <w:rPr>
          <w:rFonts w:ascii="Times New Roman;serif" w:hAnsi="Times New Roman;serif"/>
          <w:b w:val="false"/>
          <w:sz w:val="20"/>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pursuit of potential treatments for NASH is at an early stage and we may be unable to produce a therapy that successfully treats NASH. Even if successful, we may be unable to obtain regulatory approval for and successfully commercialize our drug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have invested, and will continue to invest, a significant portion of our time and financial resources in the pursuit of a treatment for NASH, including ALG-055009, our THR-</w:t>
      </w:r>
      <w:r>
        <w:rPr>
          <w:rFonts w:ascii="Symbol;serif" w:hAnsi="Symbol;serif"/>
          <w:b w:val="false"/>
          <w:sz w:val="20"/>
        </w:rPr>
        <w:t>b</w:t>
      </w:r>
      <w:r>
        <w:rPr>
          <w:rFonts w:ascii="Times New Roman" w:hAnsi="Times New Roman"/>
          <w:sz w:val="20"/>
        </w:rPr>
        <w:t xml:space="preserve"> </w:t>
      </w:r>
      <w:r>
        <w:rPr>
          <w:rFonts w:ascii="Times New Roman;serif" w:hAnsi="Times New Roman;serif"/>
          <w:b w:val="false"/>
          <w:sz w:val="20"/>
        </w:rPr>
        <w:t>agonist which is currently in a Phase 1 trial. If we cannot successfully develop, obtain regulatory approval for and commercialize our drug candidates for the treatment of NASH, our business may be harmed. The mechanism of action of our NASH drug candidates is complex, and we do not know the degree to which it will translate into a therapeutic benefit, if any, in NASH or any other indication, and we do not know the degree to which the complex mechanism of action may contribute to long-term safety issues or adverse events when our drug candidates are taken for prolonged periods, as is inherent in the treatment of NASH.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standards implemented by clinical or regulatory agencies may change at any time and we cannot be certain what efficacy endpoints the FDA or foreign clinical or regulatory agencies may require at the time we plan to conduct clinical trials with</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respect to NASH or any other applicable indication.</w:t>
      </w:r>
      <w:r>
        <w:rPr>
          <w:rFonts w:ascii="Times New Roman" w:hAnsi="Times New Roman"/>
          <w:sz w:val="20"/>
        </w:rPr>
        <w:t xml:space="preserve"> </w:t>
      </w:r>
      <w:r>
        <w:rPr>
          <w:rFonts w:ascii="Times New Roman;serif" w:hAnsi="Times New Roman;serif"/>
          <w:b w:val="false"/>
          <w:sz w:val="20"/>
        </w:rPr>
        <w:t>Also, if we are able to obtain accelerated approval of our drug candidates based on a liver biopsy endpoint, we may be required to conduct a post-approval clinical outcomes trial to confirm the clinical benefit of the drug candidate; if any such post-approval trial is not successful, we would not be able to continue marketing the product.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are successful and any of our drug candidates are approved for the treatment of NASH, our drug candidates will likely compete with products that may be approved for the treatment of NASH prior to our drug candidates and/or that have greater efficacy than our drug candidates, either alone or in combination. Behavioral modifications, such as diet and exercise, can also decrease or eliminate the demand for our potential NASH treatments.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pursuit of potential therapies for COVID-19 is at an early stage.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response to the outbreak of COVID-19, the disease caused by the virus SARS-CoV-2, we are pursuing various potential therapies to address the disease, including our drug candidate ALG-097558, an oral protease inhibitor which we have selected as our drug candidate to move forward into development. Our identification and development of these potential therapies is at an early stage, and we may be unable to produce in a timely manner a therapy that successfully treats the virus or that has broad clinical applicability, if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example, in June 2020, we entered into a Research, Licensing and Commercialization Agreement with Katholieke Universiteit Leuven (KU Leuven) under which we were collaborating with KU Leuven’s Rega Institute for Medical Research, as well as its Centre for Drug Design and Discovery,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also committing significant financial resources and personnel to the development of potential therapies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December 22, 2021, Pfizer, Inc. received an emergency use authorization from the FDA for Paxlovid, an orally administered SARS-CoV-2 protease inhibitor co-administered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globally to develop both therapeutic and prophylactic drug candidates. In May 2023, Enanta Pharmaceuticals reported positive top-line results from the SARS-Cov-2 PRotease INhibitor Treatment (SPRINT) Phase II clinical trial of EDP-235, an oral protease inhibitor, for the treatment of mild or moderate Covid-19. Additionally, in September 2022 Pardes Biosciences announced commencement of its Phase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2 trial evaluating PBI-0451, its oral protease inhibitor, for the treatment of SARS-CoV-2 infections, which PBI-0451 has since failed to meet the trial's primary endpoint resulting in Pardes suspending further clinic development therefor. In addition, Novartis is working on a once a day, pan-coronavirus, main protease inhibitor pill and had planned to start human testing in 2022. Furthermore, Shionogi announced in September 2022 that its oral therapeutic drug for COVID-19, S-217622, a 3CL protease inhibitor, has achieved its primary endpoint in its Phase 3 part of the Phase 2/3 clinical trial in Asia and is currently engaged in a comprehensive clinical development program which includes several Phase 3 clinical studies evaluating ensitrelvir’s safety and effectiveness across a wide range of COVID-19 patient populations. Several companies are focused on antibody treatments, including Amgen Inc. (together with Adaptive Biotechnologies Corporation), AbCellera Biologics, Inc. (together with Eli Lilly and Company), Regeneron Pharmaceuticals, Inc. and Vir Biotechnology, Inc. (together with GSK, Biogen Inc. and WuXi Biologics Ltd.). Numerous efforts are underway to develop vaccines against SARS-CoV-2, including by Altimmune, Inc., AstraZeneca PLC (together with Oxford University), BioNTech SE (together with Pfizer Inc.), GSK (together with Sanofi S.A.), Heat Biologics, Inc., Inovio Pharmaceuticals, Inc., Johnson &amp; Johnson, Moderna, Inc., Novavax, Inc., and Vaxart, Inc.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pStyle w:val="TextBody"/>
        <w:bidi w:val="0"/>
        <w:spacing w:before="360" w:after="0"/>
        <w:jc w:val="left"/>
        <w:rPr>
          <w:rFonts w:ascii="Times New Roman" w:hAnsi="Times New Roman"/>
          <w:sz w:val="20"/>
        </w:rPr>
      </w:pPr>
      <w:r>
        <w:rPr>
          <w:rFonts w:ascii="Times New Roman;serif" w:hAnsi="Times New Roman;serif"/>
          <w:b/>
          <w:i/>
          <w:sz w:val="20"/>
        </w:rPr>
        <w:t>The regulatory pathways for our drug candidates targeting SARS-CoV-2, the virus that causes COVID-19, are continually evolving, and may result in unexpected or unforeseen challenges.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drug candidates targeting SARS-CoV-2, the virus that causes COVID-19, are in the early discovery stages. The speed at which companies and institutions are acting to create and test many therapeutics and vaccines for COVID-19 is unusually rapid and evolving or changing plans or priorities within the FDA, including changes based on new knowledge of COVID-19 and how the disease affects the human body, may significantly affect the regulatory timelines for our COVID-19 drug candidates. Results from our continued development and planned clinical trials may raise new questions and require us to redesign proposed nonclinical studies and clinical trials, including revising proposed endpoints or adding new clinical trial sites or cohorts of subjects, with minimal lead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FDA has the authority to grant an EUA to allow unapproved medical products to be used in an emergency to diagnose, treat, or prevent serious or life-threatening diseases or conditions when, based on the totality of scientific evidence, there is evidence of effectiveness of the medical product, and there are no adequate, approved, and available alternatives. For instance, the FDA had granted an EUA for each of the COVID-19 vaccines developed by Pfizer/BioNTech, Moderna, and Janssen Pharmaceutical Companies of Johnson &amp; Johnson.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Depending on the outcomes of our planned nonclinical and initial clinical testing for our proposed COVID-19 therapies, we may seek an EUA for one or more of our drug candidates for use in the ongoing public health emergency, which would permit us to commercialize a drug candidate prior to FDA approval of an NDA. However, commercialization under an EUA is permitted only during the underlying public health emergency (as declared by the Secretary of the Department of Health and Human Services), meaning that once the emergency declaration is terminated, we would be required to obtain NDA approval to continue marketing the product. Furthermore, the FDA may revoke an EUA based on a determination that the product no longer satisfies the criteria for issuance of an EUA - for example, if there is no longer evidence of effectiveness of the product or there are other adequate, approved alternatives. Accordingly, we cannot predict how long, if at all, an EUA for any of our drug candidates may remain in place. Any termination or revocation of an EUA (if any) for one of our drug candidates could adversely impact our business in a variety of ways, including if one of our COVID-19 drug candidates is not yet approved by the FDA and if we and our manufacturing partners have invested in the supply chain to provide one of our COVID-19 drug candidates under an EUA.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The results of nonclinical studies and early-stage clinical trials may not be predictive of future results.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Interim, “topline” and preliminary data from our clinical trials may differ materially from the final data.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disclose interim data from our clinical trials, including the preliminary data with respect to our CAM candidate, ALG</w:t>
        <w:noBreakHyphen/>
        <w:t>055009, ALG-000184 and ALG-125755.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encounter difficulties enrolling patients in our clinical trials, our clinical development activities could be delayed or otherwise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patient eligibility criteria defined in the protocol;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size of the patient population required for analysis of the trial’s primary endpoints;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proximity of patients to study sites;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design of the trial;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recruit clinical trial investigators with the appropriate competencies and experience;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ability to obtain and maintain patient consents for participation in our clinical trials and, where appropriate, biopsies for future patient enrichment efforts;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risk that patients enrolled in clinical trials will not remain in the trial through the completion of evaluation;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disruption by man-made or natural disasters, or public health pandemics or epidemics or other business interruptions.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Delays in patient enrollment may result in increased costs or may affect the timing or outcome of clinical trials, which could prevent completion of these trials and adversely affect our ability to advance the development of our drug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Changes in methods of drug candidate manufacturing or formulation may result in additional costs or delay.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any of our drug candidates receives marketing approval and we or others later identify undesirable side effects caused by such products, a number of potentially significant negative consequences could occur,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withdraw their approval of the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be required to recall a product or change the way such product is administered to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additional restrictions may be imposed on the marketing of the particular product or the manufacturing processes for the product or any component thereof;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authorities may require the addition of labeling statements, such as a “black box” warning or a contraindication;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be required to implement a Risk Evaluation and Mitigation Strategy (REMS) or create a Medication Guide outlining the risks of such side effects for distribution to patients;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could be sued and held liable for harm caused to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product may become less competitive;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our reputation may suffer. </w:t>
      </w:r>
    </w:p>
    <w:p>
      <w:pPr>
        <w:pStyle w:val="TextBody"/>
        <w:bidi w:val="0"/>
        <w:spacing w:before="240" w:after="0"/>
        <w:jc w:val="left"/>
        <w:rPr>
          <w:rFonts w:ascii="Times New Roman" w:hAnsi="Times New Roman"/>
          <w:sz w:val="20"/>
        </w:rPr>
      </w:pPr>
      <w:r>
        <w:rPr>
          <w:rFonts w:ascii="Times New Roman;serif" w:hAnsi="Times New Roman;serif"/>
          <w:b w:val="false"/>
          <w:sz w:val="20"/>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The degree of market acceptance of any drug candidate, if approved for commercial sale, will depend on a number of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efficacy and potential advantages compared to alternative treatments;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offer our products, if approved, for sale at competitive prices;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convenience and ease of administration compared to alternative treatments;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willingness of the target patient population to try new therapies and of physicians to prescribe these therapies;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strength of marketing and distribution support;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to obtain sufficient third-party coverage and adequate reimbursement, including with respect to the use of the approved product as a combination therapy;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adoption of a companion diagnostic and/or complementary diagnostic (if any);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prevalence and severity of any side effects. </w:t>
      </w:r>
    </w:p>
    <w:p>
      <w:pPr>
        <w:pStyle w:val="TextBody"/>
        <w:bidi w:val="0"/>
        <w:spacing w:before="360" w:after="0"/>
        <w:jc w:val="left"/>
        <w:rPr>
          <w:rFonts w:ascii="Times New Roman" w:hAnsi="Times New Roman"/>
          <w:sz w:val="20"/>
        </w:rPr>
      </w:pPr>
      <w:r>
        <w:rPr>
          <w:rFonts w:ascii="Times New Roman;serif" w:hAnsi="Times New Roman;serif"/>
          <w:b/>
          <w:i/>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current Good Manufacturing Practice, or cGMP, and Good Clinical Practice, or GCP, for any clinical trials that we conduct post-approval. Later discovery of previously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unknown problems with any approved candidate, including adverse events of unanticipated severity or frequency, or with our third-party manufacturers or manufacturing processes, or failure to comply with regulatory requirements, may result in, among other things: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restrictions on the marketing or manufacturing of the product, withdrawal of the product from the market, or product recalls;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fines, untitled and warning letters, or holds on clinical trials;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refusal by the FDA or other regulatory authorities to approve pending applications or supplements to approved applications we filed or suspension or revocation of license approvals;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seizure or detention, or refusal to permit the import or export of the product;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injunctions or the imposition of civil or criminal penalties. </w:t>
      </w:r>
    </w:p>
    <w:p>
      <w:pPr>
        <w:pStyle w:val="TextBody"/>
        <w:bidi w:val="0"/>
        <w:spacing w:before="240" w:after="0"/>
        <w:jc w:val="left"/>
        <w:rPr>
          <w:rFonts w:ascii="Times New Roman" w:hAnsi="Times New Roman"/>
          <w:sz w:val="20"/>
        </w:rPr>
      </w:pPr>
      <w:r>
        <w:rPr>
          <w:rFonts w:ascii="Times New Roman;serif" w:hAnsi="Times New Roman;serif"/>
          <w:b w:val="false"/>
          <w:sz w:val="20"/>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if we obtain and maintain approval for our drug candidates from the FDA, we may never obtain approval outside the United States, which would limit our market opportunities.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(the EU)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Further, clinical trials conducted in one country may not be accepted by regulatory authorities in other countries. For example, we are conducting our initial clinical trials for ALG-055009, ALG-000184 and ALG-125755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bidi w:val="0"/>
        <w:spacing w:before="360" w:after="0"/>
        <w:jc w:val="left"/>
        <w:rPr>
          <w:rFonts w:ascii="Times New Roman" w:hAnsi="Times New Roman"/>
          <w:sz w:val="20"/>
        </w:rPr>
      </w:pPr>
      <w:r>
        <w:rPr>
          <w:rFonts w:ascii="Times New Roman;serif" w:hAnsi="Times New Roman;serif"/>
          <w:b/>
          <w:i/>
          <w:sz w:val="20"/>
        </w:rPr>
        <w:t>Risks associated with our international operations, including seeking and obtaining approval to commercialize our drug candidates in foreign jurisdictions, could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different regulatory requirements for approval of drug candidates in foreign countries, including challenging processes for marketing biopharmaceutical products;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reduced protection for and enforcement of intellectual property rights;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heightened or different data privacy and information security laws, regulations and policies;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unexpected changes in tariffs, trade barriers and regulatory requirements;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economic weakness, including inflation or political instability in particular foreign economies and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compliance with tax, employment, immigration and labor laws for employees living or traveling abroad;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foreign reimbursement, pricing and insurance regimes;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workforce uncertainty in countries where labor unrest is more common than in the United States;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production shortages resulting from any events affecting raw material supply or manufacturing capabilities;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business interruptions resulting from geopolitical actions, including war and terrorism, or natural disasters including earthquakes, typhoons, floods and fires;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disruptions resulting from the impact of public health pandemics or epidemics (including, for example, the COVID-19 pandemic).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there are complex regulatory, tax, labor and other legal requirements imposed by many of the individual countries in which we may operate, with which we will need to comply.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Relatedly,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Any resurgence of the virus or emergence of new variants may lead to further inspectional delays. Regulatory authorities outside the United States may adopt similar restrictions or other policy measures in response to events such as the COVID-19 pandemic. 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the market opportunities for our drug candidates are smaller than we believe or any approval we obtain is based on a narrower definition of the patient population, our business may suffer.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COVID-19, HBV or other viral diseases as a result of their genetic makeup. In addition, the route of administration for our potential therapies could be inconvenient and/or not commercially viable, which could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also limit the potential market for our therapies. If the market opportunities for our drug candidates are smaller than we estimate, it could have an adverse effect on our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For example, we believe NASH to be one of the most prevalent chronic liver diseases worldwide, however, our projections of the number of people who have NASH, as well as the subset of people with the disease who have the potential to benefit from treatment with our drug candidates, are based on our beliefs and estimates. The effort to identify patients with NASH is in early stages, and we cannot accurately predict the number of patients for whom treatment might be possible. NASH is often undiagnosed and may be left undiagnosed for a long time, partly because a definitive diagnosis of NASH is currently based on a histological assessment of a liver biopsy, which impairs the ability to easily identify patients. If improved diagnostic techniques for identifying NASH patients who will benefit from treatment are not developed, our market opportunity may be smaller than we currently anticipate. Further, if government authorities and third-party payors choose to limit coverage and reimbursement of our NASH drug candidate, such as limiting the number of patients’ treatment that would be covered and reimbursable, this could result in a smaller market opportunity for our NASH drug candidate than we anticipate.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intend to develop our current drug candidates, and expect to develop other future drug candidates, in combination with other therapies, which exposes us to additional risks.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NASH, and we would be subject to similar risks if we develop any of our drug candidates for use in combination with other drugs. This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are a number of companies developing or marketing treatments for CHB, including Roche Holding AG (Roche), Gilead, Bristol-Myers Squibb Company, Arbutus Biopharma Corporation, Dicerna Pharmaceuticals, Inc. (together with Roche), Ionis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Pharmaceuticals, Inc. (together with GSK), Arrowhead Pharmaceuticals, Inc. (together with Janssen Pharmaceuticals Company (Janssen)), Vir Biotechnology, Inc. (together with Alnylam Pharmaceuticals, Inc.), Johnson &amp; Johnson, Assembly Biosciences Inc., Enanta Pharmaceuticals, Altimmune, Inc., GSK, Janssen, Transgene SA, Dynavax Technologies, Inc., Merck and Replicor, Inc. There are also companies developing or marketing treatments or vaccines for COVID-19, including Soliris by Alexion Pharmaceuticals Inc., Atea Pharmaceuticals, Inc. (together with Roche), Jakafi by Incyte Corporation, Kevzara by Sanofi S.A./Regeneron Pharmaceuticals, Inc., Amgen Inc. (together with Adaptive Biotechnologies Corporation), AbCellera Biologics, Inc. (together with Eli Lilly and Company), Vir Biotechnology, Inc. (together with GSK, Biogen Inc. and WuXi Biologics Ltd.), Altimmune, Inc., AstraZeneca PLC (together with Oxford University), BioNTech SE (together with Pfizer Inc.), GlaxoSmithKline plc (GSK) (together with Sanofi S.A.), Heat Biologics, Inc., Inovio Pharmaceuticals, Inc., Johnson &amp; Johnson, Moderna, Inc., Novavax, Inc., Regeneron Pharmaceuticals Inc., Vaxart, Inc., Enanta Pharmaceuticals, Novartis and Shionogi &amp; Co., Ltd. For example, BioNTech SE (together with Pfizer Inc.), Janssen Pharmaceutical Companies of Johnson &amp; Johnson and Moderna Inc. have developed COVID-19 vaccines that have received authorization for emergency use and/or regulatory approval are being widely administered. In addition, on December 22, 2021, Pfizer, Inc. received an emergency use authorization from the FDA for Paxlovid, an orally administered COVID-19 protease inhibitor. Similarly, Merck (together with Ridgeback Bio) is developing the drug Molnupiravir, an oral antiviral drug which similarly has been issued an emergency use authorization by the FDA on December 23, 2021. The availability of such COVID-19 vaccines and each of Pfizer’s and Merck’s oral COVID-19 drug may reduce or eliminate the need for our potential COVID therapies to treat the disease and therefore negatively impact the commercial opportunity.</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there are companies developing or marketing treatments for NASH, including AbbVie, Inc., AstraZeneca PLC/MedImmune LLC, Bristol-Myers Squibb Company, Eli Lilly and Company, FronThera US Pharmaceuticals LLC, Janssen, Merck, Novartis Pharmaceuticals Corporation (together with Pfizer, Inc.), Novo Nordisk A/S, Pfizer Inc., Roche, Sanofi S.A., Takeda Pharmaceutical Company Limited (together with HemoShear Therapeutics, LLC), 89bio, Inc., Akero Therapeutics, Inc., Cirius Therapeutics, Inc., Enanta Pharmaceuticals, Inc., Galectin Therapeutics Inc., Galmed Pharmaceuticals Ltd., Genfit SA, Gilead, Intercept Pharmaceuticals, Inc., Inventiva Pharma SA, Madrigal Pharmaceuticals, Inc., MediciNova, Inc., NGM Biopharmaceuticals, Inc., Pliant Therapeutics, Inc. (together with Novartis), Terns Pharmaceuticals, Inc. and Viking Therapeutics, Inc.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Smaller and other early stage companies may also prove to be significant competitors. In addition, academic research departments and public and private research institutions may be conducting research on compounds that could prove to be competitive.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Drug Price Competition and Patent Term Restoration Act of 1984, or the Hatch-Waxman Amendments to the Federal Food, Drug, and Cosmetic Act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w:t>
        <w:noBreakHyphen/>
        <w:t>055009, ALG-000184 and ALG-125755.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does not assure ultimate approval by the FDA. In addition, even if a drug candidate we develop qualifies as a breakthrough therapy, the FDA may later decide that the drug no longer meets the conditions for qualification and rescind the designation.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NASH.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seek Orphan Drug Designation for drug candidates we develop, and we may be unsuccessful or may be unable to maintain the benefits associated with Orphan Drug Designation, including the potential for market exclusivity.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part of our business strategy, we may seek Orphan Drug Designation for any drug candidates we develop, and we may be unsuccessful in obtaining such designation. Regulatory authorities in some jurisdictions, including the United States and the EU,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Similarly, in the EU,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 The EU exclusivity period can be reduced to six years if a drug no longer meets the criteria for Orphan Drug Designation or if the drug is sufficiently profitable such that market exclusivity is no longer justified.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if we obtain orphan drug exclusivity for a drug candidate, that exclusivity may not effectively protect the drug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designation was materially defective or if the manufacturer is unable to assure sufficient quantity of the drug to meet the needs of patients with the rare disease or condition. Orphan Drug Designation neither shortens the development time or regulatory review time of a drug candidate nor gives the drug candidate any advantage in the regulatory review or approval process. While we may seek Orphan Drug Designation for applicable indications for our current and any future drug candidates, we may never receive such designations. Even if we do receive such designations, there is no guarantee that we will enjoy the benefits of those designations.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required to make significant payments under our license agreements with Emory University, KU Leuven, and Luxna Biotech Co., Ltd.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entered into a License Agreement with Emory in June 2018 (the Emory License Agreement),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our Annual Report on Form 10-K for the year ended December 31, 2022, previously filed with the Securities and Exchange Commission.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product liability lawsuits are brought against us, we may incur substantial liabilities and may be required to limit commercialization of any approved products.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decreased demand for any approved product;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injury to our reputation;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withdrawal of clinical trial participants;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initiation of investigations by regulators;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costs to defend the related litigation;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diversion of management’s time and our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substantial monetary payments to trial participants or patients;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product recalls, withdrawals or labeling, marketing or promotional restrictions;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loss of revenue;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exhaustion of any available insurance and our capital resources;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adverse effects to our results of operations and business;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inability to commercialize any drug candidate;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 decline in our share price. </w:t>
      </w:r>
    </w:p>
    <w:p>
      <w:pPr>
        <w:pStyle w:val="TextBody"/>
        <w:bidi w:val="0"/>
        <w:spacing w:before="240" w:after="0"/>
        <w:jc w:val="left"/>
        <w:rPr>
          <w:rFonts w:ascii="Times New Roman" w:hAnsi="Times New Roman"/>
          <w:sz w:val="20"/>
        </w:rPr>
      </w:pPr>
      <w:r>
        <w:rPr>
          <w:rFonts w:ascii="Times New Roman;serif" w:hAnsi="Times New Roman;serif"/>
          <w:b w:val="false"/>
          <w:sz w:val="20"/>
        </w:rPr>
        <w:t>Our inability to obtain sufficient product liability insurance at an acceptable cost or at all to protect against potential product liability claims could prevent or inhibit the commercialization of products we develop, alone or with collaboration partners.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Healthcare legislative reform measures may have a material adverse effect on our business and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being covered under Medicare Part 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eliminates the statutory Medicaid drug rebate cap, currently set at 100% of a drug's average manufacturer price, beginning January 1, 2024.</w:t>
      </w:r>
    </w:p>
    <w:p>
      <w:pPr>
        <w:pStyle w:val="TextBody"/>
        <w:bidi w:val="0"/>
        <w:spacing w:before="120" w:after="0"/>
        <w:jc w:val="left"/>
        <w:rPr>
          <w:rFonts w:ascii="Times New Roman" w:hAnsi="Times New Roman"/>
          <w:sz w:val="20"/>
        </w:rPr>
      </w:pPr>
      <w:r>
        <w:rPr>
          <w:rFonts w:ascii="Times New Roman;serif" w:hAnsi="Times New Roman;serif"/>
          <w:b w:val="false"/>
          <w:sz w:val="20"/>
        </w:rPr>
        <w:t>Moreover, payment methodologies may be subject to changes in healthcare legislation and regulatory initiatives.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w:t>
      </w:r>
    </w:p>
    <w:p>
      <w:pPr>
        <w:pStyle w:val="TextBody"/>
        <w:bidi w:val="0"/>
        <w:spacing w:before="120" w:after="0"/>
        <w:jc w:val="left"/>
        <w:rPr>
          <w:rFonts w:ascii="Times New Roman" w:hAnsi="Times New Roman"/>
          <w:sz w:val="20"/>
        </w:rPr>
      </w:pPr>
      <w:r>
        <w:rPr>
          <w:rFonts w:ascii="Times New Roman;serif" w:hAnsi="Times New Roman;serif"/>
          <w:b w:val="false"/>
          <w:sz w:val="20"/>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Failure to comply with current or future federal, state and foreign laws and regulations and industry standards relating to privacy and data protection laws could lead to government enforcement actions, which could include civil or criminal penalties, private litigation, and/or adverse publicity and could negatively affect our operating results and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and our partners may be subject to federal, state and foreign data privacy and security laws and regulations. Failure by us or our third-party vendors, collaborators, contractors and consultants to comply with any of these laws and regulations could result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notification obligations or enforcement actions against us, which could result in, among other things, fines,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Depending on the facts and circumstances, we could be subject to criminal penalties if we knowingly obtain, use, or disclose individually identifiable health information provided to us by a HIPAA-covered entity in a manner that is not authorized or permitted by HIPAA.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of 2018 (CCPA) went into effect on January 1, 2020. The CCPA, among other things, creates individual privacy rights for California consumers, such as the right to access and delete their personal information, opt-out of certain sales of personal information and receive detailed information about how their personal information is used. The CCPA provides for civil penalties for violations, as well as a private right of action for data breaches that is expected to increase the frequency of data breach litigation. The CCPA may increase our compliance costs and potential liability, and many similar laws have been proposed at the federal level and in other states. Further, the California Privacy Rights Act (CPRA), which significantly amends the CCPA, generally went into effect on January 1, 2023. The CPRA imposes additional data protection obligations on covered businesses,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operate in countries outside of the United States, including Belgium, Australia and China, where laws may in some cases be more stringent than the requirements in the United States. For example, in Europe, the General Data Protection Regulation (GDPR) went into effect in May 2018 and imposes strict requirements for the collection, storage, use, disclosure, transfer and other processing of the personal data of individuals within the European Economic Area (EEA). The GDPR applies extra-territorially under certain circumstances and imposes stringent requirements on controllers and processors of personal data, including, for example, requirements to obtain consent or other legal bases from individuals to process their personal data, provide robust disclosures to individuals, accommodate a set of individual data rights, provide data security breach notifications, limit retention of personal information and apply enhanced protections to health data and other special categories of personal data. The GDPR also applies to pseudonymized data, which is defined as “the processing of personal data in such a way that the data can no longer be attributed to a specific data subject without the use of additional information,” and imposes additional obligations when we contract with third-party processors in connection with the processing of any personal data. The GDPR provides that EU and EEA member states may make their own further laws and regulations limiting the processing of personal data, including genetic, biometric or health data, which could limit our ability to use and share personal data, could cause our costs to increase and could harm our financial condition. Failure to comply with the requirements of the GDPR could result in fines of up to €20 million or 4% of the total worldwide annual turnover of our preceding fiscal year, whichever is higher, and other administrative penalties.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Further, from January 1, 2021, we have to comply with the GDPR and also the United Kingdom GDPR (UK GDPR), which, together, with the amended Data Protection Act 2018, retains the GDPR in UK national law, the latter regime having the ability to separately fine up to the greater of £17.5 million or 4% of global turnover.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GDPR further prohibits, without an appropriate legal basis, the transfer of personal data to countries outside of the EEA, such as the United States, which are not considered by the European Commission to provide an adequate level of data protection.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Recent legal developments in Europe have created complexity and uncertainty regarding transfers of personal data from the EEA to the United States. For example,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pStyle w:val="TextBody"/>
        <w:bidi w:val="0"/>
        <w:spacing w:before="120" w:after="0"/>
        <w:jc w:val="left"/>
        <w:rPr>
          <w:rFonts w:ascii="Times New Roman" w:hAnsi="Times New Roman"/>
          <w:sz w:val="20"/>
        </w:rPr>
      </w:pPr>
      <w:r>
        <w:rPr>
          <w:rFonts w:ascii="Times New Roman;serif" w:hAnsi="Times New Roman;serif"/>
          <w:b w:val="false"/>
          <w:sz w:val="20"/>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Our business and operations may suffer in the event that our information technology systems, or those used by our CROs or other contractors or consultants, fail or suffer security breaches.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Despite the implementation of security measures, our information technology systems and those of our CROs and other contractors and consultants are vulnerable to damage from cyber-attacks, computer hacks, theft, viruses, malicious software, phishing, employee error, denial-of-service attacks, unauthorized access and other security breaches that could jeopardize the performance of our software and computer systems, and could expose us to financial and reputational harm.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development and commercialization of our future drug candidates could be delayed. Further, our insurance coverage may not be sufficient to cover the financial, legal, business or reputational losses that may result from an interruption or breach of our systems.</w:t>
      </w:r>
    </w:p>
    <w:p>
      <w:pPr>
        <w:pStyle w:val="TextBody"/>
        <w:bidi w:val="0"/>
        <w:spacing w:before="360" w:after="0"/>
        <w:jc w:val="left"/>
        <w:rPr>
          <w:rFonts w:ascii="Times New Roman" w:hAnsi="Times New Roman"/>
          <w:sz w:val="20"/>
        </w:rPr>
      </w:pPr>
      <w:bookmarkStart w:id="17" w:name="risks_related_to_reliance_on_third_parti"/>
      <w:bookmarkEnd w:id="17"/>
      <w:r>
        <w:rPr>
          <w:rFonts w:ascii="Times New Roman;serif" w:hAnsi="Times New Roman;serif"/>
          <w:b/>
          <w:sz w:val="20"/>
        </w:rPr>
        <w:t>Risks related to reliance on third parties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currently collaborating with third parties to develop certain of our potential drug candidates. For example, we are collaborating with Merck with respect to the discovery, research and development of oligonucleotides against a NASH target.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Collaborations involving our current and future drug candidates may pose the following risks to us: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have significant discretion in determining the efforts and resources that they will apply to these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could independently develop, or develop with third parties, products that compete directly or indirectly with our products (if any) or drug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with respect to ownership of any intellectual property developed pursuant to our collaborations;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240" w:after="0"/>
        <w:jc w:val="left"/>
        <w:rPr>
          <w:rFonts w:ascii="Times New Roman" w:hAnsi="Times New Roman"/>
          <w:sz w:val="20"/>
        </w:rPr>
      </w:pPr>
      <w:r>
        <w:rPr>
          <w:rFonts w:ascii="Times New Roman;serif" w:hAnsi="Times New Roman;serif"/>
          <w:b w:val="false"/>
          <w:sz w:val="20"/>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seek to establish additional collaborations, and, if we are not able to establish them on commercially reasonable terms, we may have to alter our development and commercialization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also be restricted under future collaboration agreements from entering into additional agreements on certain terms with potential collaborators.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there have been a significant number of recent business combinations among large pharmaceutical companies that have resulted in a reduced number of potential future collaborators.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conflicts arise between us and our collaborators or strategic partners, these parties may act in a manner adverse to us and could limit our ability to implement our strategies.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noBreakHyphen/>
        <w:t>055009, ALG</w:t>
        <w:noBreakHyphen/>
        <w:t>000184 and ALG-125755,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have staffing difficulties;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fail to comply with contractual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experience regulatory compliance issues;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undergo changes in priorities;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become financially distressed;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form relationships with other entities, some of which may be our competitors. </w:t>
      </w:r>
    </w:p>
    <w:p>
      <w:pPr>
        <w:pStyle w:val="TextBody"/>
        <w:bidi w:val="0"/>
        <w:spacing w:before="240" w:after="0"/>
        <w:jc w:val="left"/>
        <w:rPr>
          <w:rFonts w:ascii="Times New Roman" w:hAnsi="Times New Roman"/>
          <w:sz w:val="20"/>
        </w:rPr>
      </w:pPr>
      <w:r>
        <w:rPr>
          <w:rFonts w:ascii="Times New Roman;serif" w:hAnsi="Times New Roman;serif"/>
          <w:b w:val="false"/>
          <w:sz w:val="20"/>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bidi w:val="0"/>
        <w:spacing w:before="240" w:after="0"/>
        <w:jc w:val="left"/>
        <w:rPr>
          <w:rFonts w:ascii="Times New Roman" w:hAnsi="Times New Roman"/>
          <w:sz w:val="20"/>
        </w:rPr>
      </w:pPr>
      <w:r>
        <w:rPr>
          <w:rFonts w:ascii="Times New Roman;serif" w:hAnsi="Times New Roman;serif"/>
          <w:b w:val="false"/>
          <w:sz w:val="20"/>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reliance on the third party for regulatory compliance and quality assurance;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breach of the manufacturing agreement by the third party;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possible misappropriation of our proprietary information, including our trade secrets and know-how;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possible termination or non-renewal of the agreement by the third party at a time that is costly or inconvenient for us. </w:t>
      </w:r>
    </w:p>
    <w:p>
      <w:pPr>
        <w:pStyle w:val="TextBody"/>
        <w:bidi w:val="0"/>
        <w:spacing w:before="240" w:after="0"/>
        <w:jc w:val="left"/>
        <w:rPr>
          <w:rFonts w:ascii="Times New Roman" w:hAnsi="Times New Roman"/>
          <w:sz w:val="20"/>
        </w:rPr>
      </w:pPr>
      <w:r>
        <w:rPr>
          <w:rFonts w:ascii="Times New Roman;serif" w:hAnsi="Times New Roman;serif"/>
          <w:b w:val="false"/>
          <w:sz w:val="20"/>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federal consumer protection and unfair competition laws, which broadly regulate marketplace activities and activities that potentially harm consumers;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 </w:t>
      </w:r>
    </w:p>
    <w:p>
      <w:pPr>
        <w:pStyle w:val="TextBody"/>
        <w:bidi w:val="0"/>
        <w:spacing w:before="240" w:after="0"/>
        <w:jc w:val="left"/>
        <w:rPr>
          <w:rFonts w:ascii="Times New Roman" w:hAnsi="Times New Roman"/>
          <w:sz w:val="20"/>
        </w:rPr>
      </w:pPr>
      <w:r>
        <w:rPr>
          <w:rFonts w:ascii="Times New Roman;serif" w:hAnsi="Times New Roman;serif"/>
          <w:b w:val="false"/>
          <w:sz w:val="20"/>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18" w:name="risks_related_to_intellectual_property"/>
      <w:bookmarkEnd w:id="18"/>
      <w:r>
        <w:rPr>
          <w:rFonts w:ascii="Times New Roman;serif" w:hAnsi="Times New Roman;serif"/>
          <w:b/>
          <w:sz w:val="20"/>
        </w:rPr>
        <w:t>Risks related to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CHB and NASH programs, we do not own or in-license any issued patents with claims that specifically recite our ALG-125755 or ALG-097558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Centre for Drug Design and Discovery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scope of rights granted under the license agreement and other interpretation-related issues;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whether and the extent to which technology and processes of one party infringe intellectual property of the other party that are not subject to the licensing agreement;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rights to sublicense patent and other rights to third parties;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ownership of inventions and know-how resulting from the joint creation or use of intellectual property;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rights to transfer or assign the license;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effects of termination. </w:t>
      </w:r>
    </w:p>
    <w:p>
      <w:pPr>
        <w:pStyle w:val="TextBody"/>
        <w:bidi w:val="0"/>
        <w:spacing w:before="240" w:after="0"/>
        <w:jc w:val="left"/>
        <w:rPr>
          <w:rFonts w:ascii="Times New Roman" w:hAnsi="Times New Roman"/>
          <w:sz w:val="20"/>
        </w:rPr>
      </w:pPr>
      <w:r>
        <w:rPr>
          <w:rFonts w:ascii="Times New Roman;serif" w:hAnsi="Times New Roman;serif"/>
          <w:b w:val="false"/>
          <w:sz w:val="20"/>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2022, previously filed with the SEC.</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If we are unable to obtain licenses from third parties on commercially reasonable terms or at all, our business could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 collaborations” of our Annual Report on Form 10-K for the year ended December 31, 2022, previously filed with the SEC. Any of the foregoing could harm our competitive position,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are aware of certain third-party issued patents and pending patent applications, including those of our competitors, that, if issued with their current claim scope, may be construed to cover our drug candidates, including ALG</w:t>
        <w:noBreakHyphen/>
        <w:t>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Patent terms may be inadequate to establish our competitive position on our drug candidates for an adequate amount of time.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not be able to protect our intellectual property rights throughout the world.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In 2012, the European Patent Package, or EU Patent Package, regulations were passed with the goal of providing a single pan-European Unitary Patent and a new European Unified Patent Court, or UPC, for litigation involving European patents. The Unitary Patent system and UPC successfully launched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before="360" w:after="0"/>
        <w:jc w:val="left"/>
        <w:rPr>
          <w:rFonts w:ascii="Times New Roman" w:hAnsi="Times New Roman"/>
          <w:sz w:val="20"/>
        </w:rPr>
      </w:pPr>
      <w:r>
        <w:rPr>
          <w:rFonts w:ascii="Times New Roman;serif" w:hAnsi="Times New Roman;serif"/>
          <w:b/>
          <w:i/>
          <w:sz w:val="20"/>
        </w:rPr>
        <w:t>Changes in patent law could diminish the value of patents in general, thereby impairing our ability to protect our drug candidates.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serif" w:hAnsi="Times New Roman;serif"/>
          <w:b w:val="false"/>
          <w:i/>
          <w:sz w:val="20"/>
        </w:rPr>
        <w:t>inter partes</w:t>
      </w:r>
      <w:r>
        <w:rPr>
          <w:rFonts w:ascii="Times New Roman" w:hAnsi="Times New Roman"/>
          <w:sz w:val="20"/>
        </w:rPr>
        <w:t xml:space="preserve"> </w:t>
      </w:r>
      <w:r>
        <w:rPr>
          <w:rFonts w:ascii="Times New Roman;serif" w:hAnsi="Times New Roman;serif"/>
          <w:b w:val="false"/>
          <w:sz w:val="20"/>
        </w:rPr>
        <w:t>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Furthermore, because of the substantial amount of discovery required in connection with intellectual property litigation, there is a risk that some of our confidential information could be compromised by disclosure during this type of litigation.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be subject to claims challenging the inventorship of our patents and other 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Intellectual property rights do not necessarily address all potential threats.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degree of future protection, if any,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or our current or future licensors or collaborators might not have been the first to file patent applications covering certain of our or their inventions;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it is possible that our pending owned or licensed patent applications or those that we may own or license in the future will not lead to issued patents;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issued patents that we hold rights to may be held invalid or unenforceable, including as a result of legal challenges by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not develop additional proprietary technologies that are patentable;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intellectual property rights of others may harm our business;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choose not to file a patent in order to maintain certain trade secrets or know-how, and a third party may subsequently file a patent directed to such intellectual property. </w:t>
      </w:r>
    </w:p>
    <w:p>
      <w:pPr>
        <w:pStyle w:val="TextBody"/>
        <w:bidi w:val="0"/>
        <w:spacing w:before="240" w:after="0"/>
        <w:jc w:val="left"/>
        <w:rPr>
          <w:rFonts w:ascii="Times New Roman" w:hAnsi="Times New Roman"/>
          <w:sz w:val="20"/>
        </w:rPr>
      </w:pPr>
      <w:r>
        <w:rPr>
          <w:rFonts w:ascii="Times New Roman;serif" w:hAnsi="Times New Roman;serif"/>
          <w:b w:val="false"/>
          <w:sz w:val="20"/>
        </w:rPr>
        <w:t>Should any of these events occur, they could harm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employee matters, managing our growth and other risks related to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highly dependent on our management, scientific and medical personnel, including our Chief Executive Officer, Dr. Blatt, and our President, Dr. Beigelman.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will need to grow the size of our organization, and we may experience difficulties in managing this growth.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we had 68 full-time employees, including 52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identifying, recruiting, integrating, maintaining and motivating additional employees;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expanding and enhancing our operational, financial and management controls, reporting systems and procedures. </w:t>
      </w:r>
    </w:p>
    <w:p>
      <w:pPr>
        <w:pStyle w:val="TextBody"/>
        <w:bidi w:val="0"/>
        <w:spacing w:before="240" w:after="0"/>
        <w:jc w:val="left"/>
        <w:rPr>
          <w:rFonts w:ascii="Times New Roman" w:hAnsi="Times New Roman"/>
          <w:sz w:val="20"/>
        </w:rPr>
      </w:pPr>
      <w:r>
        <w:rPr>
          <w:rFonts w:ascii="Times New Roman;serif" w:hAnsi="Times New Roman;serif"/>
          <w:b w:val="false"/>
          <w:sz w:val="20"/>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or the third parties upon whom we depend may be adversely affected by earthquakes or other natural disasters and our business continuity and disaster recovery plans may not adequately protect us from a serious disaster.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chain are similarly vulnerable to natural disasters or other sudden, unforeseen and severe adverse events. If such an event were to affect our supply chain, it could have a material adverse effect on our business.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Risks related to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The price of our common stock may be volatile and fluctuate substantially, which could result in substantial losses for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stock price is likely to be volatile. The stock market in general and the market for biopharmaceutical companies in particular have experienced extreme volatility that has often been unrelated to the operating performance of particular companies. The COVID-19 pandemic, for example, had negatively affected the stock market and investor sentiment and resulted in significant volatility. The market price for our common stock may be influenced by many factors, including: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success of our and competitive products or technologies;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results of clinical trials and nonclinical studies or those of our competitors;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regulatory or legal developments in the United States and other countries;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developments or disputes concerning patent applications, issued patents or other proprietary rights;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recruitment or departure of key personnel;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level of expenses related to our drug candidates or clinical development programs;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results of our efforts to discover, develop, acquire or in-license drug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actual or anticipated changes in estimates as to financial results, development timelines or recommendations by securities analysts;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variations in our financial results or those of companies that are perceived to be similar to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changes in the structure of healthcare payment systems;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market conditions in the pharmaceutical and biotechnology sectors;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general economic, political, and market conditions and overall fluctuations in the financial markets in the United States and abroad;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COVID-19 pandemic or future public health pandemics or epidemics;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investors’ general perception of us and our business.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An active trading market for our common stock may not be sustained.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Prior to our initial public offering in October 2020, there was no public market for shares of our common stock and an active trading market for our shares may not be sustained. In the absence of an active trading market for our common stock, investors may not be able to sell their common stock at a price or at the time that they would like to sell.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An inactive market may also impair our ability to raise capital by selling shares and may impair our ability to acquire other drug candidates, businesses, or technologies using our shares as consideration.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do not intend to pay dividends on our common stock so any returns will be limited to the value of our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June 30, 2023, our executive officers, directors and their affiliates beneficially own, in the aggregate, approximately 51.6% of our outstanding common stock (assuming all shares of non-voting common stock are converted into voting common stock in accordance with the terms of our amended and restated certificate of incorporation).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delaying, deferring or preventing a change of control of us;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impeding a merger, consolidation, takeover or other business combination involving us; 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discouraging a potential acquirer from making a tender offer or otherwise attempting to obtain control of us. </w:t>
      </w:r>
    </w:p>
    <w:p>
      <w:pPr>
        <w:pStyle w:val="TextBody"/>
        <w:bidi w:val="0"/>
        <w:spacing w:before="360" w:after="0"/>
        <w:jc w:val="left"/>
        <w:rPr>
          <w:rFonts w:ascii="Times New Roman" w:hAnsi="Times New Roman"/>
          <w:sz w:val="20"/>
        </w:rPr>
      </w:pPr>
      <w:r>
        <w:rPr>
          <w:rFonts w:ascii="Times New Roman;serif" w:hAnsi="Times New Roman;serif"/>
          <w:b/>
          <w:i/>
          <w:sz w:val="20"/>
        </w:rPr>
        <w:t>The dual class structure of our common stock may limit the ability to influence corporate matters and may limit the visibility with respect to certain transactions.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June 30, 2023, we had 3,092,338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Sales of a substantial number of shares of our common stock in the public market could cause our stock price to fall.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If our existing stockholders sell, or indicate an intention to sell, substantial amounts of our common stock in the public market, the market price of our common stock could decline.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As of June 30, 2023, approximately 12.5 million shares of common stock that are either subject to outstanding options or reserved for future issuance under our equity incentive plans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the holders of approximately 43.5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ability to utilize our net operating loss carryforwards and certain other tax attributes may be limited.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2021 and determined there was an ownership change that resulted in Section 382 limitations. The ownership change limited our ability to utilize NOLs against future taxable income but will not result in the expiration of any NOLs. We may have</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in taxable years beginning after December 31, 2020, may only be used to offset 80% of our taxable income. For these reasons, our ability to utilize our NOL carryforwards and other tax attributes to reduce future tax liabilities may be limited.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securities analysts do not publish research or reports about our business or if they publish negative evaluations of our stock, the price of our stock could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Pursuant to Section 404 of Sarbanes-Oxley, our management is required to report upon the effectiveness of our internal control over financial reporting for our fiscal year ended December 31, 2022.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Provisions in our charter documents and under Delaware law could discourage a takeover that stockholders may consider favorable and may lead to entrenchment of management.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no cumulative voting in the election of directors, which limits the ability of minority stockholders to elect director candidates;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ability of our board of directors to alter our amended and restated bylaws without obtaining stockholder approval;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 prohibition on stockholder action by written consent, which forces stockholder action to be taken at an annual or special meeting of our stockholders;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240" w:after="0"/>
        <w:jc w:val="left"/>
        <w:rPr>
          <w:rFonts w:ascii="Times New Roman" w:hAnsi="Times New Roman"/>
          <w:sz w:val="20"/>
        </w:rPr>
      </w:pPr>
      <w:r>
        <w:rPr>
          <w:rFonts w:ascii="Times New Roman;serif" w:hAnsi="Times New Roman;serif"/>
          <w:b w:val="false"/>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Claims for indemnification by our directors and officers may reduce our available funds to satisfy successful third-party claims against us and may reduce the amount of money available to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and amended and restated bylaws provide that we will indemnify our directors and officers, in each case to the fullest extent permitted by Delaware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addition, as permitted by Section 145 of the Delaware General Corporation Law, our amended and restated bylaws and our indemnification agreements that we have entered into with our directors and officers provide that:</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may, in our discretion, indemnify employees and agents in those circumstances where indemnification is permitted by applicable law;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we may not retroactively amend our amended and restated bylaw provisions to reduce our indemnification obligations to directors, officers, employees and agents. </w:t>
      </w:r>
    </w:p>
    <w:p>
      <w:pPr>
        <w:pStyle w:val="TextBody"/>
        <w:bidi w:val="0"/>
        <w:spacing w:before="360" w:after="0"/>
        <w:jc w:val="left"/>
        <w:rPr>
          <w:rFonts w:ascii="Times New Roman" w:hAnsi="Times New Roman"/>
          <w:sz w:val="20"/>
        </w:rPr>
      </w:pPr>
      <w:r>
        <w:rPr>
          <w:rFonts w:ascii="Times New Roman;serif" w:hAnsi="Times New Roman;serif"/>
          <w:b/>
          <w:i/>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r>
        <w:rPr>
          <w:rFonts w:ascii="Times New Roman" w:hAnsi="Times New Roman"/>
          <w:sz w:val="20"/>
        </w:rPr>
        <w:t xml:space="preserve"> </w:t>
      </w:r>
    </w:p>
    <w:p>
      <w:pPr>
        <w:pStyle w:val="TextBody"/>
        <w:bidi w:val="0"/>
        <w:spacing w:before="360" w:after="0"/>
        <w:jc w:val="left"/>
        <w:rPr>
          <w:rFonts w:ascii="Times New Roman;serif" w:hAnsi="Times New Roman;serif"/>
          <w:b/>
          <w:sz w:val="20"/>
        </w:rPr>
      </w:pPr>
      <w:r>
        <w:rPr>
          <w:rFonts w:ascii="Times New Roman;serif" w:hAnsi="Times New Roman;serif"/>
          <w:b/>
          <w:sz w:val="20"/>
        </w:rPr>
        <w:t>General risk factors</w:t>
      </w:r>
    </w:p>
    <w:p>
      <w:pPr>
        <w:pStyle w:val="TextBody"/>
        <w:bidi w:val="0"/>
        <w:spacing w:before="120" w:after="0"/>
        <w:jc w:val="left"/>
        <w:rPr>
          <w:rFonts w:ascii="Times New Roman" w:hAnsi="Times New Roman"/>
          <w:sz w:val="20"/>
        </w:rPr>
      </w:pPr>
      <w:r>
        <w:rPr>
          <w:rFonts w:ascii="Times New Roman;serif" w:hAnsi="Times New Roman;serif"/>
          <w:b/>
          <w:i/>
          <w:sz w:val="20"/>
        </w:rPr>
        <w:t>Raising additional capital may cause dilution to our stockholders, restrict our operations or require us to relinquish rights to our technologies.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To date, we have primarily financed our operations through the sale of common stock, preferred stock and convertible notes.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Unfavorable global economic conditions could adversely affect our business, financial condition, stock price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results of operations could be adversely affected by general conditions in the global economy and in the global financial markets, including due to the current inflationary economic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bidi w:val="0"/>
        <w:spacing w:before="120" w:after="0"/>
        <w:jc w:val="left"/>
        <w:rPr>
          <w:rFonts w:ascii="Times New Roman" w:hAnsi="Times New Roman"/>
          <w:sz w:val="20"/>
        </w:rPr>
      </w:pPr>
      <w:r>
        <w:rPr>
          <w:rFonts w:ascii="Times New Roman;serif" w:hAnsi="Times New Roman;serif"/>
          <w:b w:val="false"/>
          <w:sz w:val="20"/>
        </w:rPr>
        <w:t>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market conditions could adversely impact our business. Furthermore, our stock price may decline due in part to the volatility of the stock market and any general economic downturn.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Our insurance policies are expensive and protect us only from some business risks, which leaves us exposed to significant uninsured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The continuing impact of "Brexit" may have a negative effect on our business.</w:t>
      </w:r>
    </w:p>
    <w:p>
      <w:pPr>
        <w:pStyle w:val="TextBody"/>
        <w:bidi w:val="0"/>
        <w:spacing w:before="240" w:after="0"/>
        <w:jc w:val="left"/>
        <w:rPr>
          <w:rFonts w:ascii="Times New Roman" w:hAnsi="Times New Roman"/>
          <w:sz w:val="20"/>
        </w:rPr>
      </w:pPr>
      <w:r>
        <w:rPr>
          <w:rFonts w:ascii="Times New Roman;serif" w:hAnsi="Times New Roman;serif"/>
          <w:b w:val="false"/>
          <w:sz w:val="20"/>
        </w:rPr>
        <w:t>Following a national referendum and subsequent legislation, the United Kingdom formally withdrew from the European Union, commonly referred to as “Brexit,” and ratified a trade and cooperation agreement governing its future relationship with the European Union. Among other things, the agreement, which became effective in 2021, addresses trade, economic arrangements, law enforcement, judicial cooperation and governance. Because the agreement merely sets forth a framework in many respects that requires complex additional bilateral negotiations between the United Kingdom and the European Union, significant uncertainty remains about how the precise terms of the relationship between the parties will differ from the terms before withdrawal.</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We cannot yet predict the full implications of Brexit, including whether it will increase our operational costs or otherwise have a negative effect on our business, financial condition or results of operations, which could reduce the price of our common stock.</w:t>
      </w:r>
    </w:p>
    <w:p>
      <w:pPr>
        <w:pStyle w:val="TextBody"/>
        <w:bidi w:val="0"/>
        <w:spacing w:before="360" w:after="0"/>
        <w:jc w:val="left"/>
        <w:rPr>
          <w:rFonts w:ascii="Times New Roman" w:hAnsi="Times New Roman"/>
          <w:sz w:val="20"/>
        </w:rPr>
      </w:pPr>
      <w:r>
        <w:rPr>
          <w:rFonts w:ascii="Times New Roman;serif" w:hAnsi="Times New Roman;serif"/>
          <w:b/>
          <w:i/>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candidates, our competitors might be able to enter the market with similar or identical products or technology, which would harm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Intellectual property litigation could cause us to spend substantial resources and distract our personnel from their normal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are unable to protect the confidentiality of our trade secrets, our business and competitive position would be harmed.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our trademarks and trade names are not adequately protected, then we may not be able to build name recognition in our markets of interest and our business may be adversely affected.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360" w:after="0"/>
        <w:jc w:val="left"/>
        <w:rPr>
          <w:rFonts w:ascii="Times New Roman" w:hAnsi="Times New Roman"/>
          <w:sz w:val="20"/>
        </w:rPr>
      </w:pPr>
      <w:r>
        <w:rPr>
          <w:rFonts w:ascii="Times New Roman;serif" w:hAnsi="Times New Roman;serif"/>
          <w:b/>
          <w:i/>
          <w:sz w:val="20"/>
        </w:rPr>
        <w:t>We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may consider strategic transactions, such as acquisitions of companies, asset purchases and out-licensing or in-licensing of intellectual property, products or technologies.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Public health pandemics or epidemics, political instability, terrorist attacks, other acts of violence or war, or other unexpected events could materially and adversely impact 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Current or future litigation or administrative proceedings could have a material adverse effect on our business, our financial condition and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incur significantly increased costs as a result of operating as a public company, and our management is required to devote substantial time to new compliance initiatives and corporate governance practices.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serif" w:hAnsi="Times New Roman;serif"/>
          <w:b w:val="false"/>
          <w:sz w:val="20"/>
        </w:rPr>
        <w:t>additional costs we may incur to respond to these requirements. The impact of these requirements could also make it more difficult for us to attract and retain qualified persons to serve on our board of directors, our board committees or as executive officers.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We may experience fluctuations in our tax obligations and effective tax rate, which could materially and adversely affect our results of operations.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we sell shares of our common stock in future financings, stockholders may experience immediate dilution and, as a result, our stock price may decline.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r>
        <w:rPr>
          <w:rFonts w:ascii="Times New Roman" w:hAnsi="Times New Roman"/>
          <w:sz w:val="20"/>
        </w:rPr>
        <w:t xml:space="preserve"> </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360" w:after="0"/>
        <w:jc w:val="left"/>
        <w:rPr>
          <w:rFonts w:ascii="Times New Roman" w:hAnsi="Times New Roman"/>
          <w:sz w:val="20"/>
        </w:rPr>
      </w:pPr>
      <w:bookmarkStart w:id="19" w:name="item_2_unregistered_sales_equity_securit"/>
      <w:bookmarkEnd w:id="19"/>
      <w:r>
        <w:rPr>
          <w:rFonts w:ascii="Times New Roman;serif" w:hAnsi="Times New Roman;serif"/>
          <w:b/>
          <w:sz w:val="20"/>
        </w:rPr>
        <w:t>Item 2. Unregistered Sales of Equity Securities and Use of Proceeds.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Unregistered sales of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Use of proceeds from our IPO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15, 2020, our registration statement on Form S-1 (File No. 333-249077) relating to our IPO of Common Stock became effective. The IPO closed on October 20, 2020 at which time we issued 10,000,000 shares of common stock at a public offering price of $15.00 per share. We received net proceeds from the IPO of approximately $135.4 million, after deducting the underwriting discounts and commissions of $10.5 million and expenses of $4.1 million. None of the expenses associated with the IPO were paid to directors, officers, persons owning 10% or more of any class of equity securities, or to our affiliates. On November 5, 2020 the underwriters of the IPO partially exercised their overallotment option by purchasing an additional 1,150,000 shares from us at the IPO price, resulting in an additional $16.0 million in net proceeds after deducting the underwriting discounts and commissions. J.P. Morgan Securities LLC, Jefferies LLC, Piper Sandler &amp; Co. acted as joint book-running managers for the 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There has been no material change in the planned use of proceeds from the IPO from that described in the prospectus filed with the SEC pursuant to Rule 424(b)(4) under the Securities Act on October 19, 2020.</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i/>
          <w:sz w:val="20"/>
        </w:rPr>
        <w:t>Issuer purchasers of equity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None.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0" w:name="item_3_defaults_upon_senior_securities"/>
      <w:bookmarkEnd w:id="20"/>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21" w:name="item_4_mine_safety_disclosures"/>
      <w:bookmarkEnd w:id="21"/>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360" w:after="0"/>
        <w:jc w:val="left"/>
        <w:rPr>
          <w:rFonts w:ascii="Times New Roman" w:hAnsi="Times New Roman"/>
          <w:sz w:val="20"/>
        </w:rPr>
      </w:pPr>
      <w:bookmarkStart w:id="22" w:name="item_5_or_information"/>
      <w:bookmarkEnd w:id="22"/>
      <w:r>
        <w:rPr>
          <w:rFonts w:ascii="Times New Roman;serif" w:hAnsi="Times New Roman;serif"/>
          <w:b/>
          <w:sz w:val="20"/>
        </w:rPr>
        <w:t>Item 5. Other Information.</w:t>
      </w:r>
      <w:r>
        <w:rPr>
          <w:rFonts w:ascii="Times New Roman" w:hAnsi="Times New Roman"/>
          <w:sz w:val="20"/>
        </w:rPr>
        <w:t xml:space="preserve"> </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3" w:name="exhibits"/>
      <w:bookmarkEnd w:id="23"/>
      <w:r>
        <w:rPr>
          <w:rFonts w:ascii="Times New Roman;serif" w:hAnsi="Times New Roman;serif"/>
          <w:b/>
          <w:sz w:val="20"/>
        </w:rPr>
        <w:t>Item 6. 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49"/>
        <w:gridCol w:w="146"/>
        <w:gridCol w:w="5358"/>
        <w:gridCol w:w="146"/>
        <w:gridCol w:w="427"/>
        <w:gridCol w:w="146"/>
        <w:gridCol w:w="668"/>
        <w:gridCol w:w="146"/>
        <w:gridCol w:w="451"/>
        <w:gridCol w:w="146"/>
        <w:gridCol w:w="793"/>
        <w:gridCol w:w="691"/>
        <w:gridCol w:w="146"/>
        <w:gridCol w:w="192"/>
      </w:tblGrid>
      <w:tr>
        <w:trPr/>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749" w:type="dxa"/>
            <w:vMerge w:val="restart"/>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358" w:type="dxa"/>
            <w:vMerge w:val="restart"/>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38" w:type="dxa"/>
            <w:gridSpan w:val="5"/>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3" w:type="dxa"/>
            <w:vMerge w:val="restart"/>
            <w:tcBorders>
              <w:bottom w:val="single" w:sz="4" w:space="0" w:color="000000"/>
            </w:tcBorders>
            <w:tcMar>
              <w:top w:w="0" w:type="dxa"/>
              <w:left w:w="0" w:type="dxa"/>
              <w:right w:w="0" w:type="dxa"/>
            </w:tcMar>
            <w:vAlign w:val="center"/>
          </w:tcPr>
          <w:p>
            <w:pPr>
              <w:pStyle w:val="TableContents"/>
              <w:bidi w:val="0"/>
              <w:spacing w:before="0" w:after="0"/>
              <w:ind w:left="0" w:right="0" w:firstLine="12"/>
              <w:jc w:val="center"/>
              <w:rPr>
                <w:rFonts w:ascii="Times New Roman;serif" w:hAnsi="Times New Roman;serif"/>
                <w:b/>
                <w:sz w:val="16"/>
              </w:rPr>
            </w:pPr>
            <w:r>
              <w:rPr>
                <w:rFonts w:ascii="Times New Roman;serif" w:hAnsi="Times New Roman;serif"/>
                <w:b/>
                <w:sz w:val="16"/>
              </w:rPr>
              <w:t>Provided</w:t>
            </w:r>
          </w:p>
          <w:p>
            <w:pPr>
              <w:pStyle w:val="TableContents"/>
              <w:bidi w:val="0"/>
              <w:spacing w:before="0" w:after="0"/>
              <w:ind w:left="0" w:right="0" w:firstLine="12"/>
              <w:jc w:val="center"/>
              <w:rPr>
                <w:rFonts w:ascii="Times New Roman;serif" w:hAnsi="Times New Roman;serif"/>
                <w:b/>
                <w:sz w:val="16"/>
              </w:rPr>
            </w:pPr>
            <w:r>
              <w:rPr>
                <w:rFonts w:ascii="Times New Roman;serif" w:hAnsi="Times New Roman;serif"/>
                <w:b/>
                <w:sz w:val="16"/>
              </w:rPr>
              <w:t>Herewith</w:t>
            </w:r>
          </w:p>
        </w:tc>
        <w:tc>
          <w:tcPr>
            <w:tcW w:w="69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74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5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3"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2"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firstLine="12"/>
              <w:jc w:val="left"/>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20"/>
                  <w:u w:val="single"/>
                </w:rPr>
                <w:t>Amended and Restated Certificate of Incorporation.</w:t>
              </w:r>
            </w:hyperlink>
            <w:hyperlink r:id="rId3">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10/20/2020</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20"/>
                  <w:u w:val="single"/>
                </w:rPr>
                <w:t>Amended and Restated Bylaws.</w:t>
              </w:r>
            </w:hyperlink>
            <w:hyperlink r:id="rId5">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8-K</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10/20/2020</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rFonts w:ascii="Times New Roman;serif" w:hAnsi="Times New Roman;serif"/>
                <w:b w:val="false"/>
                <w:sz w:val="20"/>
              </w:rPr>
              <w:t xml:space="preserve">Reference is made to Exhibits </w:t>
            </w:r>
            <w:hyperlink r:id="rId6">
              <w:r>
                <w:rPr>
                  <w:rStyle w:val="InternetLink"/>
                  <w:rFonts w:ascii="Times New Roman;serif" w:hAnsi="Times New Roman;serif"/>
                  <w:b w:val="false"/>
                  <w:sz w:val="20"/>
                  <w:u w:val="single"/>
                </w:rPr>
                <w:t>3.1</w:t>
              </w:r>
            </w:hyperlink>
            <w:r>
              <w:rPr>
                <w:rFonts w:ascii="Times New Roman" w:hAnsi="Times New Roman"/>
                <w:sz w:val="20"/>
              </w:rPr>
              <w:t> </w:t>
            </w:r>
            <w:r>
              <w:rPr>
                <w:rFonts w:ascii="Times New Roman;serif" w:hAnsi="Times New Roman;serif"/>
                <w:b w:val="false"/>
                <w:sz w:val="20"/>
              </w:rPr>
              <w:t xml:space="preserve">and </w:t>
            </w:r>
            <w:hyperlink r:id="rId7">
              <w:r>
                <w:rPr>
                  <w:rStyle w:val="InternetLink"/>
                  <w:rFonts w:ascii="Times New Roman;serif" w:hAnsi="Times New Roman;serif"/>
                  <w:b w:val="false"/>
                  <w:sz w:val="20"/>
                  <w:u w:val="single"/>
                </w:rPr>
                <w:t>3.2</w:t>
              </w:r>
            </w:hyperlink>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r:id="rId8">
              <w:r>
                <w:rPr>
                  <w:rStyle w:val="InternetLink"/>
                  <w:rFonts w:ascii="Times New Roman;serif" w:hAnsi="Times New Roman;serif"/>
                  <w:b w:val="false"/>
                  <w:sz w:val="20"/>
                  <w:u w:val="single"/>
                </w:rPr>
                <w:t>Form of Common Stock Certificate.</w:t>
              </w:r>
            </w:hyperlink>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S-1/A</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10/9/2020</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r:id="rId9">
              <w:r>
                <w:rPr>
                  <w:rStyle w:val="InternetLink"/>
                  <w:rFonts w:ascii="Times New Roman;serif" w:hAnsi="Times New Roman;serif"/>
                  <w:b w:val="false"/>
                  <w:sz w:val="20"/>
                  <w:u w:val="single"/>
                </w:rPr>
                <w:t>Non-Employee Director Compensation Policy.</w:t>
              </w:r>
            </w:hyperlink>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10-Q</w:t>
            </w:r>
          </w:p>
        </w:tc>
        <w:tc>
          <w:tcPr>
            <w:tcW w:w="146" w:type="dxa"/>
            <w:tcBorders/>
            <w:vAlign w:val="center"/>
          </w:tcPr>
          <w:p>
            <w:pPr>
              <w:pStyle w:val="TableContents"/>
              <w:bidi w:val="0"/>
              <w:spacing w:before="0" w:after="0"/>
              <w:ind w:left="0" w:right="0" w:hanging="0"/>
              <w:jc w:val="left"/>
              <w:rPr/>
            </w:pPr>
            <w:r>
              <w:rPr/>
              <w:t> </w:t>
            </w:r>
          </w:p>
        </w:tc>
        <w:tc>
          <w:tcPr>
            <w:tcW w:w="668"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5/4/2023</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w:anchor="algs-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sz w:val="20"/>
              </w:rPr>
              <w:t xml:space="preserve"> </w:t>
            </w:r>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w:anchor="algs-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w:anchor="algs-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hyperlink w:anchor="algs-ex32_1.htm">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hyperlink w:anchor="algs-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hyperlink w:anchor="algs-ex32_2.htm">
              <w:r>
                <w:rPr>
                  <w:rStyle w:val="InternetLink"/>
                  <w:rFonts w:ascii="Times New Roman" w:hAnsi="Times New Roman"/>
                  <w:sz w:val="20"/>
                </w:rPr>
                <w:t xml:space="preserve"> </w:t>
              </w:r>
            </w:hyperlink>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vAlign w:val="center"/>
          </w:tcPr>
          <w:p>
            <w:pPr>
              <w:pStyle w:val="TableContents"/>
              <w:bidi w:val="0"/>
              <w:spacing w:before="0" w:after="0"/>
              <w:ind w:left="0" w:right="0" w:hanging="0"/>
              <w:jc w:val="left"/>
              <w:rPr/>
            </w:pPr>
            <w:r>
              <w:rPr/>
              <w:t> </w:t>
            </w:r>
          </w:p>
        </w:tc>
        <w:tc>
          <w:tcPr>
            <w:tcW w:w="535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the Company’s Quarterly Report on Form 10-Q for the quarter ended June 30, 2023 has been formatted in Inline XBRL.</w:t>
            </w:r>
          </w:p>
        </w:tc>
        <w:tc>
          <w:tcPr>
            <w:tcW w:w="146" w:type="dxa"/>
            <w:tcBorders/>
            <w:vAlign w:val="center"/>
          </w:tcPr>
          <w:p>
            <w:pPr>
              <w:pStyle w:val="TableContents"/>
              <w:bidi w:val="0"/>
              <w:spacing w:before="0" w:after="0"/>
              <w:ind w:left="0" w:right="0" w:hanging="0"/>
              <w:jc w:val="left"/>
              <w:rPr/>
            </w:pPr>
            <w:r>
              <w:rPr/>
              <w:t> </w:t>
            </w:r>
          </w:p>
        </w:tc>
        <w:tc>
          <w:tcPr>
            <w:tcW w:w="42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3"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X</w:t>
            </w:r>
          </w:p>
        </w:tc>
        <w:tc>
          <w:tcPr>
            <w:tcW w:w="1029" w:type="dxa"/>
            <w:gridSpan w:val="3"/>
            <w:tcBorders/>
          </w:tcPr>
          <w:p>
            <w:pPr>
              <w:pStyle w:val="TableContents"/>
              <w:bidi w:val="0"/>
              <w:spacing w:before="0" w:after="283"/>
              <w:jc w:val="left"/>
              <w:rPr>
                <w:sz w:val="4"/>
                <w:szCs w:val="4"/>
              </w:rPr>
            </w:pPr>
            <w:r>
              <w:rPr>
                <w:sz w:val="4"/>
                <w:szCs w:val="4"/>
              </w:rPr>
            </w:r>
          </w:p>
        </w:tc>
      </w:tr>
      <w:tr>
        <w:trPr/>
        <w:tc>
          <w:tcPr>
            <w:tcW w:w="74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9" w:type="dxa"/>
            <w:gridSpan w:val="3"/>
            <w:tcBorders/>
          </w:tcPr>
          <w:p>
            <w:pPr>
              <w:pStyle w:val="TableContents"/>
              <w:bidi w:val="0"/>
              <w:spacing w:before="0" w:after="283"/>
              <w:jc w:val="left"/>
              <w:rPr>
                <w:sz w:val="4"/>
                <w:szCs w:val="4"/>
              </w:rPr>
            </w:pPr>
            <w:r>
              <w:rPr>
                <w:sz w:val="4"/>
                <w:szCs w:val="4"/>
              </w:rPr>
            </w:r>
          </w:p>
        </w:tc>
      </w:tr>
    </w:tbl>
    <w:p>
      <w:pPr>
        <w:pStyle w:val="TextBody"/>
        <w:pBdr>
          <w:bottom w:val="single" w:sz="6" w:space="1" w:color="000000"/>
        </w:pBdr>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 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bookmarkStart w:id="24" w:name="signatures"/>
      <w:bookmarkEnd w:id="24"/>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5984" w:type="dxa"/>
        <w:jc w:val="left"/>
        <w:tblInd w:w="0" w:type="dxa"/>
        <w:tblLayout w:type="fixed"/>
        <w:tblCellMar>
          <w:top w:w="28" w:type="dxa"/>
          <w:left w:w="28" w:type="dxa"/>
          <w:bottom w:w="28" w:type="dxa"/>
          <w:right w:w="28" w:type="dxa"/>
        </w:tblCellMar>
      </w:tblPr>
      <w:tblGrid>
        <w:gridCol w:w="1846"/>
        <w:gridCol w:w="326"/>
        <w:gridCol w:w="406"/>
        <w:gridCol w:w="3406"/>
      </w:tblGrid>
      <w:tr>
        <w:trPr/>
        <w:tc>
          <w:tcPr>
            <w:tcW w:w="18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3812" w:type="dxa"/>
            <w:gridSpan w:val="2"/>
            <w:tcBorders/>
            <w:vAlign w:val="center"/>
          </w:tcPr>
          <w:p>
            <w:pPr>
              <w:pStyle w:val="TableContents"/>
              <w:pBdr/>
              <w:bidi w:val="0"/>
              <w:spacing w:before="0" w:after="0"/>
              <w:ind w:left="0" w:right="0" w:hanging="240"/>
              <w:jc w:val="left"/>
              <w:rPr>
                <w:rFonts w:ascii="Times New Roman;serif" w:hAnsi="Times New Roman;serif"/>
                <w:b w:val="false"/>
                <w:sz w:val="20"/>
              </w:rPr>
            </w:pPr>
            <w:r>
              <w:rPr>
                <w:rFonts w:ascii="Times New Roman;serif" w:hAnsi="Times New Roman;serif"/>
                <w:b w:val="false"/>
                <w:sz w:val="20"/>
              </w:rPr>
              <w:t>ALIGOS THERAPEUTICS, INC.</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06"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3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Lawrence Blatt</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Chairman and Chief Executive Officer</w:t>
            </w:r>
          </w:p>
        </w:tc>
      </w:tr>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406"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3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Lesley Ann Calhoun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0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Chief Financial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83</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algs-ex31_1.htm"/>
      <w:bookmarkStart w:id="26" w:name="ksalgsex31_1"/>
      <w:bookmarkEnd w:id="25"/>
      <w:bookmarkEnd w:id="26"/>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Lawrence Blatt,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Aligos Therapeutics,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5812" w:type="dxa"/>
        <w:jc w:val="left"/>
        <w:tblInd w:w="0" w:type="dxa"/>
        <w:tblLayout w:type="fixed"/>
        <w:tblCellMar>
          <w:top w:w="28" w:type="dxa"/>
          <w:left w:w="28" w:type="dxa"/>
          <w:bottom w:w="28" w:type="dxa"/>
          <w:right w:w="28" w:type="dxa"/>
        </w:tblCellMar>
      </w:tblPr>
      <w:tblGrid>
        <w:gridCol w:w="1846"/>
        <w:gridCol w:w="109"/>
        <w:gridCol w:w="406"/>
        <w:gridCol w:w="34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5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Lawrence Blatt</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Chairman and Chief Executive Officer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7" w:name="algs-ex31_2.htm"/>
      <w:bookmarkStart w:id="28" w:name="ksalgsex31_2"/>
      <w:bookmarkEnd w:id="27"/>
      <w:bookmarkEnd w:id="28"/>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RULES 13a-14(a) AND 15d-14(a) UNDER THE SECURITIES EXCHANGE ACT OF 1934,</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AS ADOPTED PURSUANT TO SECTION 302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 Lesley Ann Calhoun, certify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I have reviewed this Quarterly Report on Form 10-Q of Aligos Therapeutics, Inc.;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0"/>
        <w:jc w:val="left"/>
        <w:rPr>
          <w:rFonts w:ascii="Times New Roman" w:hAnsi="Times New Roman"/>
          <w:b w:val="false"/>
          <w:sz w:val="20"/>
        </w:rPr>
      </w:pPr>
      <w:r>
        <w:rPr>
          <w:rFonts w:ascii="Times New Roman" w:hAnsi="Times New Roman"/>
          <w:b w:val="false"/>
          <w:sz w:val="20"/>
        </w:rPr>
        <w:t>(c)</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b w:val="false"/>
          <w:sz w:val="20"/>
        </w:rPr>
      </w:pPr>
      <w:r>
        <w:rPr>
          <w:rFonts w:ascii="Times New Roman" w:hAnsi="Times New Roman"/>
          <w:b w:val="false"/>
          <w:sz w:val="20"/>
        </w:rPr>
        <w:t>(b)</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4507" w:type="dxa"/>
        <w:jc w:val="left"/>
        <w:tblInd w:w="0" w:type="dxa"/>
        <w:tblLayout w:type="fixed"/>
        <w:tblCellMar>
          <w:top w:w="28" w:type="dxa"/>
          <w:left w:w="28" w:type="dxa"/>
          <w:bottom w:w="28" w:type="dxa"/>
          <w:right w:w="28" w:type="dxa"/>
        </w:tblCellMar>
      </w:tblPr>
      <w:tblGrid>
        <w:gridCol w:w="1846"/>
        <w:gridCol w:w="109"/>
        <w:gridCol w:w="406"/>
        <w:gridCol w:w="2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Lesley Ann Calhoun</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9" w:name="algs-ex32_1.htm"/>
      <w:bookmarkStart w:id="30" w:name="ksalgsex32_1"/>
      <w:bookmarkEnd w:id="29"/>
      <w:bookmarkEnd w:id="30"/>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32.1</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 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of Aligos Therapeutics, Inc. (the “Company”) on Form 10-Q for the period ending June 30, 2023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 of operations of the Company. </w:t>
      </w:r>
    </w:p>
    <w:p>
      <w:pPr>
        <w:pStyle w:val="TextBody"/>
        <w:bidi w:val="0"/>
        <w:spacing w:before="0" w:after="0"/>
        <w:jc w:val="left"/>
        <w:rPr/>
      </w:pPr>
      <w:r>
        <w:rPr/>
        <w:t> </w:t>
      </w:r>
    </w:p>
    <w:tbl>
      <w:tblPr>
        <w:tblW w:w="5812" w:type="dxa"/>
        <w:jc w:val="left"/>
        <w:tblInd w:w="0" w:type="dxa"/>
        <w:tblLayout w:type="fixed"/>
        <w:tblCellMar>
          <w:top w:w="28" w:type="dxa"/>
          <w:left w:w="28" w:type="dxa"/>
          <w:bottom w:w="28" w:type="dxa"/>
          <w:right w:w="28" w:type="dxa"/>
        </w:tblCellMar>
      </w:tblPr>
      <w:tblGrid>
        <w:gridCol w:w="1846"/>
        <w:gridCol w:w="109"/>
        <w:gridCol w:w="406"/>
        <w:gridCol w:w="345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45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Lawrence Blatt</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45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Chairman and Chief Executive Officer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31" w:name="algs-ex32_2.htm"/>
      <w:bookmarkStart w:id="32" w:name="ksalgsex32_2"/>
      <w:bookmarkEnd w:id="31"/>
      <w:bookmarkEnd w:id="32"/>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32.2</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serif" w:hAnsi="Times New Roman;serif"/>
          <w:b/>
          <w:sz w:val="20"/>
        </w:rPr>
        <w:t>CERTIFICATION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18 U.S.C. SECTION 1350, AS ADOPTED PURSUANT TO</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SECTION 906 OF THE SARBANES-OXLEY ACT OF 2002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In connection with the Quarterly Report of Aligos Therapeutics, Inc. (the “Company”) on Form 10-Q for the period ending June 30, 2023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bidi w:val="0"/>
        <w:spacing w:before="120" w:after="0"/>
        <w:jc w:val="left"/>
        <w:rPr>
          <w:rFonts w:ascii="Times New Roman" w:hAnsi="Times New Roman"/>
          <w:b w:val="false"/>
          <w:sz w:val="20"/>
        </w:rPr>
      </w:pPr>
      <w:r>
        <w:rPr>
          <w:rFonts w:ascii="Times New Roman" w:hAnsi="Times New Roman"/>
          <w:b w:val="false"/>
          <w:sz w:val="20"/>
        </w:rPr>
        <w:t>(1)</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The Report fully complies with the requirements of section 13(a) or 15(d) of the Securities Exchange Act of 1934; and </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The information contained in the Report fairly presents, in all material respects, the financial condition and result of operations of the Company. </w:t>
      </w:r>
    </w:p>
    <w:p>
      <w:pPr>
        <w:pStyle w:val="TextBody"/>
        <w:bidi w:val="0"/>
        <w:spacing w:before="0" w:after="0"/>
        <w:jc w:val="left"/>
        <w:rPr/>
      </w:pPr>
      <w:r>
        <w:rPr/>
        <w:t> </w:t>
      </w:r>
    </w:p>
    <w:tbl>
      <w:tblPr>
        <w:tblW w:w="4507" w:type="dxa"/>
        <w:jc w:val="left"/>
        <w:tblInd w:w="0" w:type="dxa"/>
        <w:tblLayout w:type="fixed"/>
        <w:tblCellMar>
          <w:top w:w="28" w:type="dxa"/>
          <w:left w:w="28" w:type="dxa"/>
          <w:bottom w:w="28" w:type="dxa"/>
          <w:right w:w="28" w:type="dxa"/>
        </w:tblCellMar>
      </w:tblPr>
      <w:tblGrid>
        <w:gridCol w:w="1846"/>
        <w:gridCol w:w="109"/>
        <w:gridCol w:w="406"/>
        <w:gridCol w:w="2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3, 2023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Lesley Ann Calhoun</w:t>
            </w:r>
            <w:r>
              <w:rPr>
                <w:rFonts w:ascii="Times New Roman" w:hAnsi="Times New Roman"/>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46"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Chief Financial Officer</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120" w:after="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448/000119312520272852/d46540dex31.htm" TargetMode="External"/><Relationship Id="rId3" Type="http://schemas.openxmlformats.org/officeDocument/2006/relationships/hyperlink" Target="https://www.sec.gov/Archives/edgar/data/1799448/000119312520272852/d46540dex31.htm" TargetMode="External"/><Relationship Id="rId4" Type="http://schemas.openxmlformats.org/officeDocument/2006/relationships/hyperlink" Target="https://www.sec.gov/Archives/edgar/data/1799448/000119312520272852/d46540dex32.htm" TargetMode="External"/><Relationship Id="rId5" Type="http://schemas.openxmlformats.org/officeDocument/2006/relationships/hyperlink" Target="https://www.sec.gov/Archives/edgar/data/1799448/000119312520272852/d46540dex32.htm" TargetMode="External"/><Relationship Id="rId6" Type="http://schemas.openxmlformats.org/officeDocument/2006/relationships/hyperlink" Target="https://www.sec.gov/Archives/edgar/data/1799448/000119312520272852/d46540dex31.htm" TargetMode="External"/><Relationship Id="rId7" Type="http://schemas.openxmlformats.org/officeDocument/2006/relationships/hyperlink" Target="https://www.sec.gov/Archives/edgar/data/1799448/000119312520272852/d46540dex32.htm" TargetMode="External"/><Relationship Id="rId8" Type="http://schemas.openxmlformats.org/officeDocument/2006/relationships/hyperlink" Target="https://www.sec.gov/Archives/edgar/data/1799448/000119312520267346/d31402dex42.htm" TargetMode="External"/><Relationship Id="rId9" Type="http://schemas.openxmlformats.org/officeDocument/2006/relationships/hyperlink" Target="https://www.sec.gov/Archives/edgar/data/1799448/000095017023017890/algs-ex4_3.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64934</Words>
  <Characters>360202</Characters>
  <CharactersWithSpaces>426298</CharactersWithSpaces>
  <Paragraphs>5836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