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34"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ind w:left="2380" w:right="820" w:hanging="2375"/>
        <w:spacing w:after="0" w:line="336"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jc w:val="center"/>
        <w:ind w:right="80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2140"/>
        <w:spacing w:after="0"/>
        <w:tabs>
          <w:tab w:leader="none" w:pos="5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7"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1884045</wp:posOffset>
            </wp:positionH>
            <wp:positionV relativeFrom="paragraph">
              <wp:posOffset>74295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31" w:lineRule="exact"/>
        <w:rPr>
          <w:sz w:val="24"/>
          <w:szCs w:val="24"/>
          <w:color w:val="auto"/>
        </w:rPr>
      </w:pPr>
    </w:p>
    <w:p>
      <w:pPr>
        <w:jc w:val="center"/>
        <w:ind w:right="1260"/>
        <w:spacing w:after="0"/>
        <w:rPr>
          <w:sz w:val="20"/>
          <w:szCs w:val="20"/>
          <w:color w:val="auto"/>
        </w:rPr>
      </w:pPr>
      <w:r>
        <w:rPr>
          <w:rFonts w:ascii="Arial" w:cs="Arial" w:eastAsia="Arial" w:hAnsi="Arial"/>
          <w:sz w:val="42"/>
          <w:szCs w:val="42"/>
          <w:b w:val="1"/>
          <w:bCs w:val="1"/>
          <w:color w:val="auto"/>
        </w:rPr>
        <w:t>Aligos Therapeutics, Inc.</w:t>
      </w:r>
    </w:p>
    <w:p>
      <w:pPr>
        <w:spacing w:after="0" w:line="52"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44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82-4724808</w:t>
            </w:r>
          </w:p>
        </w:tc>
      </w:tr>
      <w:tr>
        <w:trPr>
          <w:trHeight w:val="135"/>
        </w:trPr>
        <w:tc>
          <w:tcPr>
            <w:tcW w:w="4420" w:type="dxa"/>
            <w:vAlign w:val="bottom"/>
          </w:tcPr>
          <w:p>
            <w:pPr>
              <w:jc w:val="center"/>
              <w:ind w:right="18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20" w:type="dxa"/>
            <w:vAlign w:val="bottom"/>
          </w:tcPr>
          <w:p>
            <w:pPr>
              <w:jc w:val="center"/>
              <w:ind w:left="18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420" w:type="dxa"/>
            <w:vAlign w:val="bottom"/>
          </w:tcPr>
          <w:p>
            <w:pPr>
              <w:jc w:val="center"/>
              <w:ind w:right="1864"/>
              <w:spacing w:after="0"/>
              <w:rPr>
                <w:sz w:val="20"/>
                <w:szCs w:val="20"/>
                <w:color w:val="auto"/>
              </w:rPr>
            </w:pPr>
            <w:r>
              <w:rPr>
                <w:rFonts w:ascii="Arial" w:cs="Arial" w:eastAsia="Arial" w:hAnsi="Arial"/>
                <w:sz w:val="13"/>
                <w:szCs w:val="13"/>
                <w:b w:val="1"/>
                <w:bCs w:val="1"/>
                <w:color w:val="auto"/>
                <w:w w:val="88"/>
              </w:rPr>
              <w:t>incorporation or organization)</w:t>
            </w:r>
          </w:p>
        </w:tc>
        <w:tc>
          <w:tcPr>
            <w:tcW w:w="2920" w:type="dxa"/>
            <w:vAlign w:val="bottom"/>
          </w:tcPr>
          <w:p>
            <w:pPr>
              <w:jc w:val="center"/>
              <w:ind w:left="1866"/>
              <w:spacing w:after="0"/>
              <w:rPr>
                <w:sz w:val="20"/>
                <w:szCs w:val="20"/>
                <w:color w:val="auto"/>
              </w:rPr>
            </w:pPr>
            <w:r>
              <w:rPr>
                <w:rFonts w:ascii="Arial" w:cs="Arial" w:eastAsia="Arial" w:hAnsi="Arial"/>
                <w:sz w:val="13"/>
                <w:szCs w:val="13"/>
                <w:b w:val="1"/>
                <w:bCs w:val="1"/>
                <w:color w:val="auto"/>
                <w:w w:val="89"/>
              </w:rPr>
              <w:t>Identification No.)</w:t>
            </w:r>
          </w:p>
        </w:tc>
      </w:tr>
      <w:tr>
        <w:trPr>
          <w:trHeight w:val="268"/>
        </w:trPr>
        <w:tc>
          <w:tcPr>
            <w:tcW w:w="44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2"/>
              </w:rPr>
              <w:t>One Corporate Drive, 2nd Floor</w:t>
            </w:r>
          </w:p>
        </w:tc>
        <w:tc>
          <w:tcPr>
            <w:tcW w:w="2920" w:type="dxa"/>
            <w:vAlign w:val="bottom"/>
          </w:tcPr>
          <w:p>
            <w:pPr>
              <w:spacing w:after="0"/>
              <w:rPr>
                <w:sz w:val="23"/>
                <w:szCs w:val="23"/>
                <w:color w:val="auto"/>
              </w:rPr>
            </w:pPr>
          </w:p>
        </w:tc>
      </w:tr>
      <w:tr>
        <w:trPr>
          <w:trHeight w:val="230"/>
        </w:trPr>
        <w:tc>
          <w:tcPr>
            <w:tcW w:w="4420" w:type="dxa"/>
            <w:vAlign w:val="bottom"/>
          </w:tcPr>
          <w:p>
            <w:pPr>
              <w:jc w:val="center"/>
              <w:ind w:right="1884"/>
              <w:spacing w:after="0"/>
              <w:rPr>
                <w:sz w:val="20"/>
                <w:szCs w:val="20"/>
                <w:color w:val="auto"/>
              </w:rPr>
            </w:pPr>
            <w:r>
              <w:rPr>
                <w:rFonts w:ascii="Arial" w:cs="Arial" w:eastAsia="Arial" w:hAnsi="Arial"/>
                <w:sz w:val="18"/>
                <w:szCs w:val="18"/>
                <w:b w:val="1"/>
                <w:bCs w:val="1"/>
                <w:color w:val="auto"/>
                <w:w w:val="90"/>
              </w:rPr>
              <w:t>South San Francisco, California</w:t>
            </w:r>
          </w:p>
        </w:tc>
        <w:tc>
          <w:tcPr>
            <w:tcW w:w="2920" w:type="dxa"/>
            <w:vAlign w:val="bottom"/>
          </w:tcPr>
          <w:p>
            <w:pPr>
              <w:jc w:val="right"/>
              <w:ind w:right="186"/>
              <w:spacing w:after="0"/>
              <w:rPr>
                <w:sz w:val="20"/>
                <w:szCs w:val="20"/>
                <w:color w:val="auto"/>
              </w:rPr>
            </w:pPr>
            <w:r>
              <w:rPr>
                <w:rFonts w:ascii="Arial" w:cs="Arial" w:eastAsia="Arial" w:hAnsi="Arial"/>
                <w:sz w:val="18"/>
                <w:szCs w:val="18"/>
                <w:b w:val="1"/>
                <w:bCs w:val="1"/>
                <w:color w:val="auto"/>
              </w:rPr>
              <w:t>94080</w:t>
            </w:r>
          </w:p>
        </w:tc>
      </w:tr>
      <w:tr>
        <w:trPr>
          <w:trHeight w:val="164"/>
        </w:trPr>
        <w:tc>
          <w:tcPr>
            <w:tcW w:w="4420" w:type="dxa"/>
            <w:vAlign w:val="bottom"/>
          </w:tcPr>
          <w:p>
            <w:pPr>
              <w:jc w:val="center"/>
              <w:ind w:right="18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20" w:type="dxa"/>
            <w:vAlign w:val="bottom"/>
          </w:tcPr>
          <w:p>
            <w:pPr>
              <w:jc w:val="center"/>
              <w:ind w:left="186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1884045</wp:posOffset>
            </wp:positionH>
            <wp:positionV relativeFrom="paragraph">
              <wp:posOffset>102870</wp:posOffset>
            </wp:positionV>
            <wp:extent cx="175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5"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0" w:lineRule="exact"/>
        <w:rPr>
          <w:sz w:val="24"/>
          <w:szCs w:val="24"/>
          <w:color w:val="auto"/>
        </w:rPr>
      </w:pPr>
    </w:p>
    <w:p>
      <w:pPr>
        <w:sectPr>
          <w:pgSz w:w="11900" w:h="16838" w:orient="portrait"/>
          <w:cols w:equalWidth="0" w:num="2">
            <w:col w:w="940" w:space="340"/>
            <w:col w:w="9960"/>
          </w:cols>
          <w:pgMar w:left="320" w:top="336" w:right="33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4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Title of each class</w:t>
            </w:r>
          </w:p>
        </w:tc>
        <w:tc>
          <w:tcPr>
            <w:tcW w:w="2360" w:type="dxa"/>
            <w:vAlign w:val="bottom"/>
            <w:gridSpan w:val="2"/>
          </w:tcPr>
          <w:p>
            <w:pPr>
              <w:ind w:left="680"/>
              <w:spacing w:after="0"/>
              <w:rPr>
                <w:sz w:val="20"/>
                <w:szCs w:val="20"/>
                <w:color w:val="auto"/>
              </w:rPr>
            </w:pPr>
            <w:r>
              <w:rPr>
                <w:rFonts w:ascii="Arial" w:cs="Arial" w:eastAsia="Arial" w:hAnsi="Arial"/>
                <w:sz w:val="13"/>
                <w:szCs w:val="13"/>
                <w:b w:val="1"/>
                <w:bCs w:val="1"/>
                <w:color w:val="auto"/>
              </w:rPr>
              <w:t>Trading Symbol(s)</w:t>
            </w:r>
          </w:p>
        </w:tc>
        <w:tc>
          <w:tcPr>
            <w:tcW w:w="4360" w:type="dxa"/>
            <w:vAlign w:val="bottom"/>
          </w:tcPr>
          <w:p>
            <w:pPr>
              <w:jc w:val="right"/>
              <w:ind w:right="879"/>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91"/>
        </w:trPr>
        <w:tc>
          <w:tcPr>
            <w:tcW w:w="44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6"/>
                <w:szCs w:val="16"/>
                <w:color w:val="auto"/>
              </w:rPr>
            </w:pPr>
          </w:p>
        </w:tc>
        <w:tc>
          <w:tcPr>
            <w:tcW w:w="2260" w:type="dxa"/>
            <w:vAlign w:val="bottom"/>
            <w:tcBorders>
              <w:top w:val="single" w:sz="8" w:color="auto"/>
            </w:tcBorders>
          </w:tcPr>
          <w:p>
            <w:pPr>
              <w:ind w:left="880"/>
              <w:spacing w:after="0" w:line="191" w:lineRule="exact"/>
              <w:rPr>
                <w:sz w:val="20"/>
                <w:szCs w:val="20"/>
                <w:color w:val="auto"/>
              </w:rPr>
            </w:pPr>
            <w:r>
              <w:rPr>
                <w:rFonts w:ascii="Arial" w:cs="Arial" w:eastAsia="Arial" w:hAnsi="Arial"/>
                <w:sz w:val="18"/>
                <w:szCs w:val="18"/>
                <w:b w:val="1"/>
                <w:bCs w:val="1"/>
                <w:color w:val="auto"/>
              </w:rPr>
              <w:t>ALGS</w:t>
            </w:r>
          </w:p>
        </w:tc>
        <w:tc>
          <w:tcPr>
            <w:tcW w:w="100" w:type="dxa"/>
            <w:vAlign w:val="bottom"/>
          </w:tcPr>
          <w:p>
            <w:pPr>
              <w:spacing w:after="0"/>
              <w:rPr>
                <w:sz w:val="16"/>
                <w:szCs w:val="16"/>
                <w:color w:val="auto"/>
              </w:rPr>
            </w:pPr>
          </w:p>
        </w:tc>
        <w:tc>
          <w:tcPr>
            <w:tcW w:w="4360" w:type="dxa"/>
            <w:vAlign w:val="bottom"/>
            <w:tcBorders>
              <w:top w:val="single" w:sz="8" w:color="auto"/>
            </w:tcBorders>
          </w:tcPr>
          <w:p>
            <w:pPr>
              <w:jc w:val="right"/>
              <w:ind w:right="879"/>
              <w:spacing w:after="0" w:line="191" w:lineRule="exact"/>
              <w:rPr>
                <w:sz w:val="20"/>
                <w:szCs w:val="20"/>
                <w:color w:val="auto"/>
              </w:rPr>
            </w:pPr>
            <w:r>
              <w:rPr>
                <w:rFonts w:ascii="Arial" w:cs="Arial" w:eastAsia="Arial" w:hAnsi="Arial"/>
                <w:sz w:val="18"/>
                <w:szCs w:val="18"/>
                <w:b w:val="1"/>
                <w:bCs w:val="1"/>
                <w:color w:val="auto"/>
              </w:rPr>
              <w:t>The Nasdaq Stock Market LLC</w:t>
            </w:r>
          </w:p>
        </w:tc>
      </w:t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right"/>
              <w:ind w:right="899"/>
              <w:spacing w:after="0"/>
              <w:rPr>
                <w:sz w:val="20"/>
                <w:szCs w:val="20"/>
                <w:color w:val="auto"/>
              </w:rPr>
            </w:pPr>
            <w:r>
              <w:rPr>
                <w:rFonts w:ascii="Arial" w:cs="Arial" w:eastAsia="Arial" w:hAnsi="Arial"/>
                <w:sz w:val="18"/>
                <w:szCs w:val="18"/>
                <w:b w:val="1"/>
                <w:bCs w:val="1"/>
                <w:color w:val="auto"/>
              </w:rPr>
              <w:t>(Nasdaq Global Select Market)</w:t>
            </w:r>
          </w:p>
        </w:tc>
      </w:tr>
    </w:tbl>
    <w:p>
      <w:pPr>
        <w:spacing w:after="0" w:line="67"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80" w:type="dxa"/>
            <w:vAlign w:val="bottom"/>
          </w:tcPr>
          <w:p>
            <w:pPr>
              <w:ind w:left="302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jc w:val="both"/>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spacing w:after="0" w:line="207" w:lineRule="exact"/>
        <w:tabs>
          <w:tab w:leader="none" w:pos="8900" w:val="left"/>
          <w:tab w:leader="none" w:pos="95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9" w:lineRule="exact"/>
        <w:rPr>
          <w:sz w:val="24"/>
          <w:szCs w:val="24"/>
          <w:color w:val="auto"/>
        </w:rPr>
      </w:pPr>
    </w:p>
    <w:p>
      <w:pPr>
        <w:ind w:right="60" w:firstLine="510"/>
        <w:spacing w:after="0" w:line="342" w:lineRule="auto"/>
        <w:rPr>
          <w:sz w:val="20"/>
          <w:szCs w:val="20"/>
          <w:color w:val="auto"/>
        </w:rPr>
      </w:pPr>
      <w:r>
        <w:rPr>
          <w:rFonts w:ascii="Arial" w:cs="Arial" w:eastAsia="Arial" w:hAnsi="Arial"/>
          <w:sz w:val="16"/>
          <w:szCs w:val="16"/>
          <w:color w:val="auto"/>
        </w:rPr>
        <w:t>As of November 1, 2021, the registrant had 42,616,191 shares of common stock, $0.0001 par value per share, outstanding, comprised of 39,523,853 shares of voting common stock, $0.0001 par value per share and 3,092,338 shares of non-voting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63" w:lineRule="exact"/>
        <w:rPr>
          <w:sz w:val="20"/>
          <w:szCs w:val="20"/>
          <w:color w:val="auto"/>
        </w:rPr>
      </w:pPr>
    </w:p>
    <w:p>
      <w:pPr>
        <w:ind w:left="1000" w:right="460" w:hanging="493"/>
        <w:spacing w:after="0" w:line="223" w:lineRule="exact"/>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drug candidates or any other future drug candidates, and conducting nonclinical studies and clinical trials, including our ALG</w:t>
      </w:r>
      <w:r>
        <w:rPr>
          <w:rFonts w:ascii="MS PGothic" w:cs="MS PGothic" w:eastAsia="MS PGothic" w:hAnsi="MS PGothic"/>
          <w:sz w:val="18"/>
          <w:szCs w:val="18"/>
          <w:color w:val="auto"/>
        </w:rPr>
        <w:t>‑</w:t>
      </w:r>
      <w:r>
        <w:rPr>
          <w:rFonts w:ascii="Arial" w:cs="Arial" w:eastAsia="Arial" w:hAnsi="Arial"/>
          <w:sz w:val="18"/>
          <w:szCs w:val="18"/>
          <w:color w:val="auto"/>
        </w:rPr>
        <w:t>010133, ALG</w:t>
      </w:r>
      <w:r>
        <w:rPr>
          <w:rFonts w:ascii="MS PGothic" w:cs="MS PGothic" w:eastAsia="MS PGothic" w:hAnsi="MS PGothic"/>
          <w:sz w:val="18"/>
          <w:szCs w:val="18"/>
          <w:color w:val="auto"/>
        </w:rPr>
        <w:t>‑</w:t>
      </w:r>
      <w:r>
        <w:rPr>
          <w:rFonts w:ascii="Arial" w:cs="Arial" w:eastAsia="Arial" w:hAnsi="Arial"/>
          <w:sz w:val="18"/>
          <w:szCs w:val="18"/>
          <w:color w:val="auto"/>
        </w:rPr>
        <w:t>000184 and ALG-020572 clinical trials;</w:t>
      </w:r>
    </w:p>
    <w:p>
      <w:pPr>
        <w:spacing w:after="0" w:line="94"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44"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our current or future drug candidates, and any related restrictions or limitations;</w:t>
      </w:r>
    </w:p>
    <w:p>
      <w:pPr>
        <w:spacing w:after="0" w:line="62"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developments related to COVID-19 on our business and operations, including clinical trials, manufacturing suppliers, collaborators, use of contract research organizations and employees;</w:t>
      </w:r>
    </w:p>
    <w:p>
      <w:pPr>
        <w:spacing w:after="0" w:line="62" w:lineRule="exact"/>
        <w:rPr>
          <w:rFonts w:ascii="Arial" w:cs="Arial" w:eastAsia="Arial" w:hAnsi="Arial"/>
          <w:sz w:val="18"/>
          <w:szCs w:val="18"/>
          <w:color w:val="auto"/>
        </w:rPr>
      </w:pPr>
    </w:p>
    <w:p>
      <w:pPr>
        <w:ind w:left="1000" w:right="380" w:hanging="493"/>
        <w:spacing w:after="0" w:line="223" w:lineRule="exact"/>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ALG</w:t>
      </w:r>
      <w:r>
        <w:rPr>
          <w:rFonts w:ascii="MS PGothic" w:cs="MS PGothic" w:eastAsia="MS PGothic" w:hAnsi="MS PGothic"/>
          <w:sz w:val="18"/>
          <w:szCs w:val="18"/>
          <w:color w:val="auto"/>
        </w:rPr>
        <w:t>‑</w:t>
      </w:r>
      <w:r>
        <w:rPr>
          <w:rFonts w:ascii="Arial" w:cs="Arial" w:eastAsia="Arial" w:hAnsi="Arial"/>
          <w:sz w:val="18"/>
          <w:szCs w:val="18"/>
          <w:color w:val="auto"/>
        </w:rPr>
        <w:t>010133 and ALG</w:t>
      </w:r>
      <w:r>
        <w:rPr>
          <w:rFonts w:ascii="MS PGothic" w:cs="MS PGothic" w:eastAsia="MS PGothic" w:hAnsi="MS PGothic"/>
          <w:sz w:val="18"/>
          <w:szCs w:val="18"/>
          <w:color w:val="auto"/>
        </w:rPr>
        <w:t>‑</w:t>
      </w:r>
      <w:r>
        <w:rPr>
          <w:rFonts w:ascii="Arial" w:cs="Arial" w:eastAsia="Arial" w:hAnsi="Arial"/>
          <w:sz w:val="18"/>
          <w:szCs w:val="18"/>
          <w:color w:val="auto"/>
        </w:rPr>
        <w:t>000184, our other drug candidates and any future drug candidates, if approved for commercial use;</w:t>
      </w:r>
    </w:p>
    <w:p>
      <w:pPr>
        <w:spacing w:after="0" w:line="94"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licensing or other arrangements and the financial terms of any such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44"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rate and degree of market acceptance of our drug candidates, as well as the pricing and reimbursement of our drug candidates, if approved;</w:t>
      </w:r>
    </w:p>
    <w:p>
      <w:pPr>
        <w:spacing w:after="0" w:line="62"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 candidates and technology, including additional indications for which we may pursue;</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including the projected term of patent protection;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key management, scientific and medical personnel;</w:t>
      </w:r>
    </w:p>
    <w:p>
      <w:pPr>
        <w:spacing w:after="0" w:line="144"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expectations regarding our ability to obtain, maintain, enforce and defend our intellectual property protection for our drug candidates; and</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52"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ind w:right="600"/>
        <w:spacing w:after="0" w:line="277" w:lineRule="auto"/>
        <w:rPr>
          <w:sz w:val="20"/>
          <w:szCs w:val="20"/>
          <w:color w:val="auto"/>
        </w:rPr>
      </w:pPr>
      <w:r>
        <w:rPr>
          <w:rFonts w:ascii="Arial" w:cs="Arial" w:eastAsia="Arial" w:hAnsi="Arial"/>
          <w:sz w:val="18"/>
          <w:szCs w:val="18"/>
          <w:color w:val="auto"/>
        </w:rPr>
        <w:t>obligation to publicly update or revise any forward-looking statements contained herein for any reason after the date of this report to conform these statements to new information, actual results or changes in our expectations, except as required by applicable law.</w:t>
      </w:r>
    </w:p>
    <w:p>
      <w:pPr>
        <w:spacing w:after="0" w:line="170"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225" w:lineRule="exact"/>
        <w:rPr>
          <w:sz w:val="20"/>
          <w:szCs w:val="20"/>
          <w:color w:val="auto"/>
        </w:rPr>
      </w:pPr>
    </w:p>
    <w:p>
      <w:pPr>
        <w:ind w:left="1500" w:hanging="750"/>
        <w:spacing w:after="0" w:line="311" w:lineRule="auto"/>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148" w:lineRule="exact"/>
        <w:rPr>
          <w:rFonts w:ascii="Arial" w:cs="Arial" w:eastAsia="Arial" w:hAnsi="Arial"/>
          <w:sz w:val="16"/>
          <w:szCs w:val="16"/>
          <w:color w:val="auto"/>
        </w:rPr>
      </w:pPr>
    </w:p>
    <w:p>
      <w:pPr>
        <w:ind w:left="1500" w:hanging="750"/>
        <w:spacing w:after="0"/>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252" w:lineRule="exact"/>
        <w:rPr>
          <w:rFonts w:ascii="Arial" w:cs="Arial" w:eastAsia="Arial" w:hAnsi="Arial"/>
          <w:sz w:val="18"/>
          <w:szCs w:val="18"/>
          <w:color w:val="auto"/>
        </w:rPr>
      </w:pPr>
    </w:p>
    <w:p>
      <w:pPr>
        <w:jc w:val="both"/>
        <w:ind w:left="1500" w:right="380" w:hanging="750"/>
        <w:spacing w:after="0" w:line="263"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83" w:lineRule="exact"/>
        <w:rPr>
          <w:rFonts w:ascii="Arial" w:cs="Arial" w:eastAsia="Arial" w:hAnsi="Arial"/>
          <w:sz w:val="18"/>
          <w:szCs w:val="18"/>
          <w:color w:val="auto"/>
        </w:rPr>
      </w:pPr>
    </w:p>
    <w:p>
      <w:pPr>
        <w:ind w:left="1500" w:right="20" w:hanging="750"/>
        <w:spacing w:after="0" w:line="259"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186" w:lineRule="exact"/>
        <w:rPr>
          <w:rFonts w:ascii="Arial" w:cs="Arial" w:eastAsia="Arial" w:hAnsi="Arial"/>
          <w:sz w:val="18"/>
          <w:szCs w:val="18"/>
          <w:color w:val="auto"/>
        </w:rPr>
      </w:pPr>
    </w:p>
    <w:p>
      <w:pPr>
        <w:ind w:left="1500" w:right="120" w:hanging="750"/>
        <w:spacing w:after="0" w:line="286" w:lineRule="auto"/>
        <w:tabs>
          <w:tab w:leader="none" w:pos="1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165" w:lineRule="exact"/>
        <w:rPr>
          <w:rFonts w:ascii="Arial" w:cs="Arial" w:eastAsia="Arial" w:hAnsi="Arial"/>
          <w:sz w:val="17"/>
          <w:szCs w:val="17"/>
          <w:color w:val="auto"/>
        </w:rPr>
      </w:pPr>
    </w:p>
    <w:p>
      <w:pPr>
        <w:ind w:left="1500" w:right="60" w:hanging="750"/>
        <w:spacing w:after="0" w:line="311" w:lineRule="auto"/>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148" w:lineRule="exact"/>
        <w:rPr>
          <w:rFonts w:ascii="Arial" w:cs="Arial" w:eastAsia="Arial" w:hAnsi="Arial"/>
          <w:sz w:val="16"/>
          <w:szCs w:val="16"/>
          <w:color w:val="auto"/>
        </w:rPr>
      </w:pPr>
    </w:p>
    <w:p>
      <w:pPr>
        <w:ind w:left="1500" w:right="500" w:hanging="750"/>
        <w:spacing w:after="0" w:line="277"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intend to develop our current drug candidates, and expect to develop other future drug candidates, in combination with other therapies, which exposes us to additional risks.</w:t>
      </w:r>
    </w:p>
    <w:p>
      <w:pPr>
        <w:spacing w:after="0" w:line="170" w:lineRule="exact"/>
        <w:rPr>
          <w:rFonts w:ascii="Arial" w:cs="Arial" w:eastAsia="Arial" w:hAnsi="Arial"/>
          <w:sz w:val="18"/>
          <w:szCs w:val="18"/>
          <w:color w:val="auto"/>
        </w:rPr>
      </w:pPr>
    </w:p>
    <w:p>
      <w:pPr>
        <w:ind w:left="1500" w:right="240" w:hanging="750"/>
        <w:spacing w:after="0" w:line="277"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170" w:lineRule="exact"/>
        <w:rPr>
          <w:rFonts w:ascii="Arial" w:cs="Arial" w:eastAsia="Arial" w:hAnsi="Arial"/>
          <w:sz w:val="18"/>
          <w:szCs w:val="18"/>
          <w:color w:val="auto"/>
        </w:rPr>
      </w:pPr>
    </w:p>
    <w:p>
      <w:pPr>
        <w:ind w:left="1500" w:right="100" w:hanging="750"/>
        <w:spacing w:after="0" w:line="259"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186" w:lineRule="exact"/>
        <w:rPr>
          <w:rFonts w:ascii="Arial" w:cs="Arial" w:eastAsia="Arial" w:hAnsi="Arial"/>
          <w:sz w:val="18"/>
          <w:szCs w:val="18"/>
          <w:color w:val="auto"/>
        </w:rPr>
      </w:pPr>
    </w:p>
    <w:p>
      <w:pPr>
        <w:ind w:left="1500" w:right="200" w:hanging="750"/>
        <w:spacing w:after="0" w:line="308" w:lineRule="auto"/>
        <w:tabs>
          <w:tab w:leader="none" w:pos="1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 w:name="page4"/>
    <w:bookmarkEnd w:id="3"/>
    <w:p>
      <w:pPr>
        <w:ind w:left="1500" w:right="380" w:hanging="750"/>
        <w:spacing w:after="0" w:line="279" w:lineRule="auto"/>
        <w:tabs>
          <w:tab w:leader="none" w:pos="1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171" w:lineRule="exact"/>
        <w:rPr>
          <w:rFonts w:ascii="Arial" w:cs="Arial" w:eastAsia="Arial" w:hAnsi="Arial"/>
          <w:sz w:val="17"/>
          <w:szCs w:val="17"/>
          <w:color w:val="auto"/>
        </w:rPr>
      </w:pPr>
    </w:p>
    <w:p>
      <w:pPr>
        <w:ind w:left="1500" w:right="280" w:hanging="750"/>
        <w:spacing w:after="0" w:line="277"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p>
        </w:tc>
        <w:tc>
          <w:tcPr>
            <w:tcW w:w="226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FINANCIAL INFORMATION</w:t>
              </w:r>
            </w:hyperlink>
          </w:p>
        </w:tc>
        <w:tc>
          <w:tcPr>
            <w:tcW w:w="7120" w:type="dxa"/>
            <w:vAlign w:val="bottom"/>
            <w:gridSpan w:val="12"/>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8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Balance Sheets as of September 30, 2021 and December 31, 2020</w:t>
              </w:r>
            </w:hyperlink>
          </w:p>
        </w:tc>
        <w:tc>
          <w:tcPr>
            <w:tcW w:w="280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8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Operations and Comprehensive Loss for the Three and Nine Months Ended</w:t>
              </w:r>
            </w:hyperlink>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September 30, 2021 and 2020</w:t>
              </w:r>
            </w:hyperlink>
          </w:p>
        </w:tc>
        <w:tc>
          <w:tcPr>
            <w:tcW w:w="5880" w:type="dxa"/>
            <w:vAlign w:val="bottom"/>
            <w:tcBorders>
              <w:top w:val="single" w:sz="8" w:color="0000EE"/>
            </w:tcBorders>
            <w:gridSpan w:val="8"/>
          </w:tcPr>
          <w:p>
            <w:pPr>
              <w:spacing w:after="0"/>
              <w:rPr>
                <w:sz w:val="17"/>
                <w:szCs w:val="17"/>
                <w:color w:val="auto"/>
              </w:rPr>
            </w:pPr>
          </w:p>
        </w:tc>
        <w:tc>
          <w:tcPr>
            <w:tcW w:w="1080" w:type="dxa"/>
            <w:vAlign w:val="bottom"/>
            <w:gridSpan w:val="2"/>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80" w:type="dxa"/>
            <w:vAlign w:val="bottom"/>
            <w:gridSpan w:val="21"/>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Consolidated Statements of Redeemable Convertible Preferred Stock and Stockholders’ Equity (Deficit) for the Three and Nine</w:t>
              </w:r>
            </w:hyperlink>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Months Ended September 30, 2021 and 2020</w:t>
              </w:r>
            </w:hyperlink>
          </w:p>
        </w:tc>
        <w:tc>
          <w:tcPr>
            <w:tcW w:w="5720" w:type="dxa"/>
            <w:vAlign w:val="bottom"/>
            <w:tcBorders>
              <w:top w:val="single" w:sz="8" w:color="0000EE"/>
            </w:tcBorders>
            <w:gridSpan w:val="8"/>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8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 for the Nine Months Ended September 30, 2021 and 2020</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920" w:type="dxa"/>
            <w:vAlign w:val="bottom"/>
            <w:tcBorders>
              <w:top w:val="single" w:sz="8" w:color="0000EE"/>
            </w:tcBorders>
            <w:gridSpan w:val="1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Unaudited Condensed Consolidated Financial Statements</w:t>
              </w:r>
            </w:hyperlink>
          </w:p>
        </w:tc>
        <w:tc>
          <w:tcPr>
            <w:tcW w:w="146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92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502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Controls and Procedures</w:t>
              </w:r>
            </w:hyperlink>
          </w:p>
        </w:tc>
        <w:tc>
          <w:tcPr>
            <w:tcW w:w="7580" w:type="dxa"/>
            <w:vAlign w:val="bottom"/>
            <w:gridSpan w:val="1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8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7500" w:type="dxa"/>
            <w:vAlign w:val="bottom"/>
            <w:gridSpan w:val="1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8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80" w:type="dxa"/>
            <w:vAlign w:val="bottom"/>
            <w:gridSpan w:val="2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Defaults Upon Senior Securities</w:t>
              </w:r>
            </w:hyperlink>
          </w:p>
        </w:tc>
        <w:tc>
          <w:tcPr>
            <w:tcW w:w="504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24"/>
                <w:szCs w:val="24"/>
                <w:color w:val="auto"/>
              </w:rPr>
            </w:pPr>
          </w:p>
        </w:tc>
        <w:tc>
          <w:tcPr>
            <w:tcW w:w="706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Other Information</w:t>
              </w:r>
            </w:hyperlink>
          </w:p>
        </w:tc>
        <w:tc>
          <w:tcPr>
            <w:tcW w:w="8060" w:type="dxa"/>
            <w:vAlign w:val="bottom"/>
            <w:gridSpan w:val="1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80" w:type="dxa"/>
            <w:vAlign w:val="bottom"/>
            <w:gridSpan w:val="21"/>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Exhibits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17"/>
        </w:trPr>
        <w:tc>
          <w:tcPr>
            <w:tcW w:w="1140" w:type="dxa"/>
            <w:vAlign w:val="bottom"/>
            <w:gridSpan w:val="2"/>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ALIGOS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56"/>
        </w:trPr>
        <w:tc>
          <w:tcPr>
            <w:tcW w:w="7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w w:val="97"/>
              </w:rPr>
              <w:t>(Unaudited)</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239,734</w:t>
            </w:r>
          </w:p>
        </w:tc>
        <w:tc>
          <w:tcPr>
            <w:tcW w:w="2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220,383</w:t>
            </w:r>
          </w:p>
        </w:tc>
        <w:tc>
          <w:tcPr>
            <w:tcW w:w="120" w:type="dxa"/>
            <w:vAlign w:val="bottom"/>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r>
      <w:tr>
        <w:trPr>
          <w:trHeight w:val="229"/>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23,130</w:t>
            </w:r>
          </w:p>
        </w:tc>
        <w:tc>
          <w:tcPr>
            <w:tcW w:w="120" w:type="dxa"/>
            <w:vAlign w:val="bottom"/>
            <w:shd w:val="clear" w:color="auto" w:fill="CFF0FC"/>
          </w:tcPr>
          <w:p>
            <w:pPr>
              <w:spacing w:after="0"/>
              <w:rPr>
                <w:sz w:val="19"/>
                <w:szCs w:val="19"/>
                <w:color w:val="auto"/>
              </w:rPr>
            </w:pPr>
          </w:p>
        </w:tc>
      </w:tr>
      <w:tr>
        <w:trPr>
          <w:trHeight w:val="229"/>
        </w:trPr>
        <w:tc>
          <w:tcPr>
            <w:tcW w:w="7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w:t>
            </w:r>
          </w:p>
        </w:tc>
        <w:tc>
          <w:tcPr>
            <w:tcW w:w="120" w:type="dxa"/>
            <w:vAlign w:val="bottom"/>
            <w:tcBorders>
              <w:bottom w:val="single" w:sz="8" w:color="CFF0FC"/>
            </w:tcBorders>
          </w:tcPr>
          <w:p>
            <w:pPr>
              <w:spacing w:after="0"/>
              <w:rPr>
                <w:sz w:val="19"/>
                <w:szCs w:val="19"/>
                <w:color w:val="auto"/>
              </w:rPr>
            </w:pPr>
          </w:p>
        </w:tc>
      </w:tr>
      <w:tr>
        <w:trPr>
          <w:trHeight w:val="223"/>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248,670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250,017</w:t>
            </w:r>
          </w:p>
        </w:tc>
        <w:tc>
          <w:tcPr>
            <w:tcW w:w="120" w:type="dxa"/>
            <w:vAlign w:val="bottom"/>
            <w:shd w:val="clear" w:color="auto" w:fill="CFF0FC"/>
          </w:tcPr>
          <w:p>
            <w:pPr>
              <w:spacing w:after="0"/>
              <w:rPr>
                <w:sz w:val="19"/>
                <w:szCs w:val="19"/>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6,886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6,901</w:t>
            </w:r>
          </w:p>
        </w:tc>
        <w:tc>
          <w:tcPr>
            <w:tcW w:w="12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8,007</w:t>
            </w:r>
          </w:p>
        </w:tc>
        <w:tc>
          <w:tcPr>
            <w:tcW w:w="120" w:type="dxa"/>
            <w:vAlign w:val="bottom"/>
            <w:shd w:val="clear" w:color="auto" w:fill="CFF0FC"/>
          </w:tcPr>
          <w:p>
            <w:pPr>
              <w:spacing w:after="0"/>
              <w:rPr>
                <w:sz w:val="19"/>
                <w:szCs w:val="19"/>
                <w:color w:val="auto"/>
              </w:rPr>
            </w:pP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FF0FC"/>
          </w:tcPr>
          <w:p>
            <w:pPr>
              <w:spacing w:after="0"/>
              <w:rPr>
                <w:sz w:val="19"/>
                <w:szCs w:val="19"/>
                <w:color w:val="auto"/>
              </w:rPr>
            </w:pPr>
          </w:p>
        </w:tc>
      </w:tr>
      <w:tr>
        <w:trPr>
          <w:trHeight w:val="263"/>
        </w:trPr>
        <w:tc>
          <w:tcPr>
            <w:tcW w:w="7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263,068</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265,302</w:t>
            </w:r>
          </w:p>
        </w:tc>
        <w:tc>
          <w:tcPr>
            <w:tcW w:w="120" w:type="dxa"/>
            <w:vAlign w:val="bottom"/>
            <w:tcBorders>
              <w:bottom w:val="single" w:sz="8" w:color="CFF0FC"/>
            </w:tcBorders>
          </w:tcPr>
          <w:p>
            <w:pPr>
              <w:spacing w:after="0"/>
              <w:rPr>
                <w:sz w:val="22"/>
                <w:szCs w:val="22"/>
                <w:color w:val="auto"/>
              </w:rPr>
            </w:pPr>
          </w:p>
        </w:tc>
      </w:tr>
      <w:tr>
        <w:trPr>
          <w:trHeight w:val="210"/>
        </w:trPr>
        <w:tc>
          <w:tcPr>
            <w:tcW w:w="7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840" w:type="dxa"/>
            <w:vAlign w:val="bottom"/>
          </w:tcPr>
          <w:p>
            <w:pPr>
              <w:spacing w:after="0"/>
              <w:rPr>
                <w:sz w:val="20"/>
                <w:szCs w:val="20"/>
                <w:color w:val="auto"/>
              </w:rPr>
            </w:pPr>
            <w:r>
              <w:rPr>
                <w:rFonts w:ascii="Arial" w:cs="Arial" w:eastAsia="Arial" w:hAnsi="Arial"/>
                <w:sz w:val="18"/>
                <w:szCs w:val="18"/>
                <w:b w:val="1"/>
                <w:bCs w:val="1"/>
                <w:color w:val="auto"/>
              </w:rPr>
              <w:t>LIABILITIES, PREFERRED STOCK,</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AND STOCKHOLDERS’ EQUITY</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w:t>
            </w:r>
          </w:p>
        </w:tc>
        <w:tc>
          <w:tcPr>
            <w:tcW w:w="120" w:type="dxa"/>
            <w:vAlign w:val="bottom"/>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16,564</w:t>
            </w:r>
          </w:p>
        </w:tc>
        <w:tc>
          <w:tcPr>
            <w:tcW w:w="120" w:type="dxa"/>
            <w:vAlign w:val="bottom"/>
          </w:tcPr>
          <w:p>
            <w:pPr>
              <w:spacing w:after="0"/>
              <w:rPr>
                <w:sz w:val="19"/>
                <w:szCs w:val="19"/>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120" w:type="dxa"/>
            <w:vAlign w:val="bottom"/>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Finance lease liabilities, current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r>
      <w:tr>
        <w:trPr>
          <w:trHeight w:val="229"/>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from collaborations, current</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7,891</w:t>
            </w:r>
          </w:p>
        </w:tc>
        <w:tc>
          <w:tcPr>
            <w:tcW w:w="120" w:type="dxa"/>
            <w:vAlign w:val="bottom"/>
            <w:shd w:val="clear" w:color="auto" w:fill="CFF0FC"/>
          </w:tcPr>
          <w:p>
            <w:pPr>
              <w:spacing w:after="0"/>
              <w:rPr>
                <w:sz w:val="19"/>
                <w:szCs w:val="19"/>
                <w:color w:val="auto"/>
              </w:rPr>
            </w:pPr>
          </w:p>
        </w:tc>
      </w:tr>
      <w:tr>
        <w:trPr>
          <w:trHeight w:val="223"/>
        </w:trPr>
        <w:tc>
          <w:tcPr>
            <w:tcW w:w="7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30,274</w:t>
            </w:r>
          </w:p>
        </w:tc>
        <w:tc>
          <w:tcPr>
            <w:tcW w:w="120" w:type="dxa"/>
            <w:vAlign w:val="bottom"/>
            <w:tcBorders>
              <w:bottom w:val="single" w:sz="8" w:color="CFF0FC"/>
            </w:tcBorders>
          </w:tcPr>
          <w:p>
            <w:pPr>
              <w:spacing w:after="0"/>
              <w:rPr>
                <w:sz w:val="19"/>
                <w:szCs w:val="19"/>
                <w:color w:val="auto"/>
              </w:rPr>
            </w:pP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10,371</w:t>
            </w:r>
          </w:p>
        </w:tc>
        <w:tc>
          <w:tcPr>
            <w:tcW w:w="120" w:type="dxa"/>
            <w:vAlign w:val="bottom"/>
            <w:shd w:val="clear" w:color="auto" w:fill="CFF0FC"/>
          </w:tcPr>
          <w:p>
            <w:pPr>
              <w:spacing w:after="0"/>
              <w:rPr>
                <w:sz w:val="19"/>
                <w:szCs w:val="19"/>
                <w:color w:val="auto"/>
              </w:rPr>
            </w:pP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Finance lease liabilities, net of current portion</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FF0FC"/>
          </w:tcPr>
          <w:p>
            <w:pPr>
              <w:spacing w:after="0"/>
              <w:rPr>
                <w:sz w:val="19"/>
                <w:szCs w:val="19"/>
                <w:color w:val="auto"/>
              </w:rPr>
            </w:pPr>
          </w:p>
        </w:tc>
      </w:tr>
      <w:tr>
        <w:trPr>
          <w:trHeight w:val="230"/>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revenue from collaborations, net of current portion</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Borders>
              <w:bottom w:val="single" w:sz="8" w:color="CFF0FC"/>
            </w:tcBorders>
          </w:tcPr>
          <w:p>
            <w:pPr>
              <w:spacing w:after="0"/>
              <w:rPr>
                <w:sz w:val="19"/>
                <w:szCs w:val="19"/>
                <w:color w:val="auto"/>
              </w:rPr>
            </w:pPr>
          </w:p>
        </w:tc>
      </w:tr>
      <w:tr>
        <w:trPr>
          <w:trHeight w:val="223"/>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46,057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45,263</w:t>
            </w:r>
          </w:p>
        </w:tc>
        <w:tc>
          <w:tcPr>
            <w:tcW w:w="120" w:type="dxa"/>
            <w:vAlign w:val="bottom"/>
            <w:shd w:val="clear" w:color="auto" w:fill="CFF0FC"/>
          </w:tcPr>
          <w:p>
            <w:pPr>
              <w:spacing w:after="0"/>
              <w:rPr>
                <w:sz w:val="19"/>
                <w:szCs w:val="19"/>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840" w:type="dxa"/>
            <w:vAlign w:val="bottom"/>
          </w:tcPr>
          <w:p>
            <w:pPr>
              <w:ind w:left="260"/>
              <w:spacing w:after="0"/>
              <w:rPr>
                <w:sz w:val="20"/>
                <w:szCs w:val="20"/>
                <w:color w:val="auto"/>
              </w:rPr>
            </w:pPr>
            <w:r>
              <w:rPr>
                <w:rFonts w:ascii="Arial" w:cs="Arial" w:eastAsia="Arial" w:hAnsi="Arial"/>
                <w:sz w:val="18"/>
                <w:szCs w:val="18"/>
                <w:color w:val="auto"/>
              </w:rPr>
              <w:t>Preferred Stock, $0.0001 par value; 10,000,000 shares authorized as of September 30, 2021</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tcPr>
          <w:p>
            <w:pPr>
              <w:ind w:left="260"/>
              <w:spacing w:after="0"/>
              <w:rPr>
                <w:sz w:val="20"/>
                <w:szCs w:val="20"/>
                <w:color w:val="auto"/>
              </w:rPr>
            </w:pPr>
            <w:r>
              <w:rPr>
                <w:rFonts w:ascii="Arial" w:cs="Arial" w:eastAsia="Arial" w:hAnsi="Arial"/>
                <w:sz w:val="18"/>
                <w:szCs w:val="18"/>
                <w:color w:val="auto"/>
                <w:w w:val="93"/>
              </w:rPr>
              <w:t>(unaudited) and December 31, 2020, respectively; no shares issued and outstanding as of September</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30, 2021 (unaudited) and December 31, 2020</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15"/>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320,000,000 shares authorized as of September 30, 2021</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(unaudited) and December 31, 2020, respectively; 42,611,847 and 38,120,606 shares issued and</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as of September 30, 2021 (unaudited) and December 31, 2020</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482,615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394,963</w:t>
            </w:r>
          </w:p>
        </w:tc>
        <w:tc>
          <w:tcPr>
            <w:tcW w:w="120" w:type="dxa"/>
            <w:vAlign w:val="bottom"/>
          </w:tcPr>
          <w:p>
            <w:pPr>
              <w:spacing w:after="0"/>
              <w:rPr>
                <w:sz w:val="19"/>
                <w:szCs w:val="19"/>
                <w:color w:val="auto"/>
              </w:rPr>
            </w:pPr>
          </w:p>
        </w:tc>
      </w:tr>
      <w:tr>
        <w:trPr>
          <w:trHeight w:val="229"/>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(265,358)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(174,740)</w:t>
            </w: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r>
      <w:tr>
        <w:trPr>
          <w:trHeight w:val="223"/>
        </w:trPr>
        <w:tc>
          <w:tcPr>
            <w:tcW w:w="7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217,011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220,039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84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263,068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265,302</w:t>
            </w:r>
          </w:p>
        </w:tc>
        <w:tc>
          <w:tcPr>
            <w:tcW w:w="12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6"/>
          </w:tcPr>
          <w:p>
            <w:pPr>
              <w:ind w:lef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Revenue from collaborations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Loss from operations</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(90,373)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(expense), net</w:t>
            </w:r>
          </w:p>
        </w:tc>
        <w:tc>
          <w:tcPr>
            <w:tcW w:w="7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500"/>
              <w:spacing w:after="0"/>
              <w:rPr>
                <w:sz w:val="20"/>
                <w:szCs w:val="20"/>
                <w:color w:val="auto"/>
              </w:rPr>
            </w:pPr>
            <w:r>
              <w:rPr>
                <w:rFonts w:ascii="Arial" w:cs="Arial" w:eastAsia="Arial" w:hAnsi="Arial"/>
                <w:sz w:val="18"/>
                <w:szCs w:val="18"/>
                <w:color w:val="auto"/>
              </w:rPr>
              <w:t>Loss before income tax expense</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(90,417)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Income tax income (expense)</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loss</w:t>
            </w:r>
          </w:p>
        </w:tc>
        <w:tc>
          <w:tcPr>
            <w:tcW w:w="7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(33,124)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(33,297)</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(90,618)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60"/>
              <w:spacing w:after="0"/>
              <w:rPr>
                <w:sz w:val="20"/>
                <w:szCs w:val="20"/>
                <w:color w:val="auto"/>
              </w:rPr>
            </w:pPr>
            <w:r>
              <w:rPr>
                <w:rFonts w:ascii="Arial" w:cs="Arial" w:eastAsia="Arial" w:hAnsi="Arial"/>
                <w:sz w:val="18"/>
                <w:szCs w:val="18"/>
                <w:color w:val="auto"/>
              </w:rPr>
              <w:t>Unrealized gain (loss) on available-for-sale securities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pension plans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Comprehensive loss</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(90,680)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 basic and diluted</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42,399,984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3,027,825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39,151,095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2,829,160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CHANGES IN REDEEMABLE CONVERTIBLE PREFERRED STOCK AND STOCKHOLDERS’ EQUITY (DEFICIT)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89"/>
              </w:rPr>
              <w:t>Three Months Ended September 30, 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23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2"/>
        </w:trPr>
        <w:tc>
          <w:tcPr>
            <w:tcW w:w="2740" w:type="dxa"/>
            <w:vAlign w:val="bottom"/>
            <w:tcBorders>
              <w:bottom w:val="single" w:sz="8" w:color="CFF0FC"/>
            </w:tcBorders>
          </w:tcPr>
          <w:p>
            <w:pPr>
              <w:spacing w:after="0"/>
              <w:rPr>
                <w:sz w:val="12"/>
                <w:szCs w:val="12"/>
                <w:color w:val="auto"/>
              </w:rPr>
            </w:pPr>
          </w:p>
        </w:tc>
        <w:tc>
          <w:tcPr>
            <w:tcW w:w="118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3"/>
                <w:szCs w:val="13"/>
                <w:b w:val="1"/>
                <w:bCs w:val="1"/>
                <w:color w:val="auto"/>
              </w:rPr>
              <w:t>Shares</w:t>
            </w:r>
          </w:p>
        </w:tc>
        <w:tc>
          <w:tcPr>
            <w:tcW w:w="24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85"/>
              <w:spacing w:after="0" w:line="142" w:lineRule="exact"/>
              <w:rPr>
                <w:sz w:val="20"/>
                <w:szCs w:val="20"/>
                <w:color w:val="auto"/>
              </w:rPr>
            </w:pPr>
            <w:r>
              <w:rPr>
                <w:rFonts w:ascii="Arial" w:cs="Arial" w:eastAsia="Arial" w:hAnsi="Arial"/>
                <w:sz w:val="13"/>
                <w:szCs w:val="13"/>
                <w:b w:val="1"/>
                <w:bCs w:val="1"/>
                <w:color w:val="auto"/>
                <w:w w:val="92"/>
              </w:rPr>
              <w:t>Capital</w:t>
            </w:r>
          </w:p>
        </w:tc>
        <w:tc>
          <w:tcPr>
            <w:tcW w:w="2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82"/>
              <w:spacing w:after="0" w:line="142" w:lineRule="exact"/>
              <w:rPr>
                <w:sz w:val="20"/>
                <w:szCs w:val="20"/>
                <w:color w:val="auto"/>
              </w:rPr>
            </w:pPr>
            <w:r>
              <w:rPr>
                <w:rFonts w:ascii="Arial" w:cs="Arial" w:eastAsia="Arial" w:hAnsi="Arial"/>
                <w:sz w:val="13"/>
                <w:szCs w:val="13"/>
                <w:b w:val="1"/>
                <w:bCs w:val="1"/>
                <w:color w:val="auto"/>
                <w:w w:val="90"/>
              </w:rPr>
              <w:t>Deficit</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4"/>
              <w:spacing w:after="0" w:line="142" w:lineRule="exact"/>
              <w:rPr>
                <w:sz w:val="20"/>
                <w:szCs w:val="20"/>
                <w:color w:val="auto"/>
              </w:rPr>
            </w:pPr>
            <w:r>
              <w:rPr>
                <w:rFonts w:ascii="Arial" w:cs="Arial" w:eastAsia="Arial" w:hAnsi="Arial"/>
                <w:sz w:val="13"/>
                <w:szCs w:val="13"/>
                <w:b w:val="1"/>
                <w:bCs w:val="1"/>
                <w:color w:val="auto"/>
                <w:w w:val="86"/>
              </w:rPr>
              <w:t>Income (Loss)</w:t>
            </w:r>
          </w:p>
        </w:tc>
        <w:tc>
          <w:tcPr>
            <w:tcW w:w="2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04"/>
              <w:spacing w:after="0" w:line="142"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Balance as of June 30, 2021</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38,200,121</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401,363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(232,234)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(251)</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Issuance of common stock upon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exercise of</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11,726</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in</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connection with</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Follow-on Offering, net of offering</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costs</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4,400,000</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78,584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w w:val="99"/>
              </w:rPr>
              <w:t>Costs related to the Follow-on Offering</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(727)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1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Vesting of early exercised common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rPr>
              <w:t>Net loss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(33,124)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(33,124)</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as of September 30, 2021</w:t>
            </w: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40" w:type="dxa"/>
            <w:vAlign w:val="bottom"/>
            <w:vMerge w:val="continue"/>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42,611,847</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482,615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(265,358)</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(250)</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217,011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w w:val="90"/>
              </w:rPr>
              <w:t>Nine Months Ended September 30, 2021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23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2"/>
        </w:trPr>
        <w:tc>
          <w:tcPr>
            <w:tcW w:w="2740" w:type="dxa"/>
            <w:vAlign w:val="bottom"/>
            <w:tcBorders>
              <w:bottom w:val="single" w:sz="8" w:color="CFF0FC"/>
            </w:tcBorders>
          </w:tcPr>
          <w:p>
            <w:pPr>
              <w:spacing w:after="0"/>
              <w:rPr>
                <w:sz w:val="12"/>
                <w:szCs w:val="12"/>
                <w:color w:val="auto"/>
              </w:rPr>
            </w:pPr>
          </w:p>
        </w:tc>
        <w:tc>
          <w:tcPr>
            <w:tcW w:w="118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3"/>
                <w:szCs w:val="13"/>
                <w:b w:val="1"/>
                <w:bCs w:val="1"/>
                <w:color w:val="auto"/>
              </w:rPr>
              <w:t>Shares</w:t>
            </w:r>
          </w:p>
        </w:tc>
        <w:tc>
          <w:tcPr>
            <w:tcW w:w="24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85"/>
              <w:spacing w:after="0" w:line="142" w:lineRule="exact"/>
              <w:rPr>
                <w:sz w:val="20"/>
                <w:szCs w:val="20"/>
                <w:color w:val="auto"/>
              </w:rPr>
            </w:pPr>
            <w:r>
              <w:rPr>
                <w:rFonts w:ascii="Arial" w:cs="Arial" w:eastAsia="Arial" w:hAnsi="Arial"/>
                <w:sz w:val="13"/>
                <w:szCs w:val="13"/>
                <w:b w:val="1"/>
                <w:bCs w:val="1"/>
                <w:color w:val="auto"/>
                <w:w w:val="92"/>
              </w:rPr>
              <w:t>Capital</w:t>
            </w:r>
          </w:p>
        </w:tc>
        <w:tc>
          <w:tcPr>
            <w:tcW w:w="2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82"/>
              <w:spacing w:after="0" w:line="142" w:lineRule="exact"/>
              <w:rPr>
                <w:sz w:val="20"/>
                <w:szCs w:val="20"/>
                <w:color w:val="auto"/>
              </w:rPr>
            </w:pPr>
            <w:r>
              <w:rPr>
                <w:rFonts w:ascii="Arial" w:cs="Arial" w:eastAsia="Arial" w:hAnsi="Arial"/>
                <w:sz w:val="13"/>
                <w:szCs w:val="13"/>
                <w:b w:val="1"/>
                <w:bCs w:val="1"/>
                <w:color w:val="auto"/>
                <w:w w:val="90"/>
              </w:rPr>
              <w:t>Deficit</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4"/>
              <w:spacing w:after="0" w:line="142" w:lineRule="exact"/>
              <w:rPr>
                <w:sz w:val="20"/>
                <w:szCs w:val="20"/>
                <w:color w:val="auto"/>
              </w:rPr>
            </w:pPr>
            <w:r>
              <w:rPr>
                <w:rFonts w:ascii="Arial" w:cs="Arial" w:eastAsia="Arial" w:hAnsi="Arial"/>
                <w:sz w:val="13"/>
                <w:szCs w:val="13"/>
                <w:b w:val="1"/>
                <w:bCs w:val="1"/>
                <w:color w:val="auto"/>
                <w:w w:val="78"/>
              </w:rPr>
              <w:t>Loss</w:t>
            </w:r>
          </w:p>
        </w:tc>
        <w:tc>
          <w:tcPr>
            <w:tcW w:w="2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04"/>
              <w:spacing w:after="0" w:line="142"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Balance as of December 31, 2020</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38,120,606</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394,963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(174,740)</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(188)</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220,039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Issuance of common stock upon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exercise of</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91,241</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in</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connection with</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Follow-on Offering, net of offering</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costs</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4,400,000</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78,584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w w:val="99"/>
              </w:rPr>
              <w:t>Costs related to the Follow-on Offering</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(727)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1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Vesting of early exercised common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rPr>
              <w:t>Net loss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(90,618)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(90,618)</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as of September 30, 2021</w:t>
            </w: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40" w:type="dxa"/>
            <w:vAlign w:val="bottom"/>
            <w:vMerge w:val="continue"/>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42,611,847</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482,615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(265,358)</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(250)</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217,011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4"/>
        </w:trPr>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9"/>
          </w:tcPr>
          <w:p>
            <w:pPr>
              <w:jc w:val="right"/>
              <w:spacing w:after="0"/>
              <w:rPr>
                <w:sz w:val="20"/>
                <w:szCs w:val="20"/>
                <w:color w:val="auto"/>
              </w:rPr>
            </w:pPr>
            <w:r>
              <w:rPr>
                <w:rFonts w:ascii="Arial" w:cs="Arial" w:eastAsia="Arial" w:hAnsi="Arial"/>
                <w:sz w:val="13"/>
                <w:szCs w:val="13"/>
                <w:b w:val="1"/>
                <w:bCs w:val="1"/>
                <w:color w:val="auto"/>
              </w:rPr>
              <w:t>Three Months Ended September 30, 2020</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2000" w:type="dxa"/>
            <w:vAlign w:val="bottom"/>
            <w:gridSpan w:val="5"/>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Series A Redeemable</w:t>
            </w:r>
          </w:p>
        </w:tc>
        <w:tc>
          <w:tcPr>
            <w:tcW w:w="1900" w:type="dxa"/>
            <w:vAlign w:val="bottom"/>
            <w:gridSpan w:val="6"/>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Series B-1 Redeemable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8"/>
              </w:rPr>
              <w:t>Convertible Preferred Stock</w:t>
            </w:r>
          </w:p>
        </w:tc>
        <w:tc>
          <w:tcPr>
            <w:tcW w:w="19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88"/>
              </w:rPr>
              <w:t>Convertible Preferred Stock</w:t>
            </w:r>
          </w:p>
        </w:tc>
        <w:tc>
          <w:tcPr>
            <w:tcW w:w="1700" w:type="dxa"/>
            <w:vAlign w:val="bottom"/>
            <w:gridSpan w:val="4"/>
          </w:tcPr>
          <w:p>
            <w:pPr>
              <w:jc w:val="right"/>
              <w:ind w:right="365"/>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7"/>
              <w:spacing w:after="0"/>
              <w:rPr>
                <w:sz w:val="20"/>
                <w:szCs w:val="20"/>
                <w:color w:val="auto"/>
              </w:rPr>
            </w:pPr>
            <w:r>
              <w:rPr>
                <w:rFonts w:ascii="Arial" w:cs="Arial" w:eastAsia="Arial" w:hAnsi="Arial"/>
                <w:sz w:val="13"/>
                <w:szCs w:val="13"/>
                <w:b w:val="1"/>
                <w:bCs w:val="1"/>
                <w:color w:val="auto"/>
                <w:w w:val="92"/>
              </w:rPr>
              <w:t>Paid-in</w:t>
            </w:r>
          </w:p>
        </w:tc>
        <w:tc>
          <w:tcPr>
            <w:tcW w:w="2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4"/>
          </w:tcPr>
          <w:p>
            <w:pPr>
              <w:ind w:left="80"/>
              <w:spacing w:after="0"/>
              <w:rPr>
                <w:sz w:val="20"/>
                <w:szCs w:val="20"/>
                <w:color w:val="auto"/>
              </w:rPr>
            </w:pPr>
            <w:r>
              <w:rPr>
                <w:rFonts w:ascii="Arial" w:cs="Arial" w:eastAsia="Arial" w:hAnsi="Arial"/>
                <w:sz w:val="13"/>
                <w:szCs w:val="13"/>
                <w:b w:val="1"/>
                <w:bCs w:val="1"/>
                <w:color w:val="auto"/>
              </w:rPr>
              <w:t>Comprehensive</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100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2"/>
                <w:szCs w:val="12"/>
                <w:color w:val="auto"/>
              </w:rPr>
            </w:pPr>
          </w:p>
        </w:tc>
        <w:tc>
          <w:tcPr>
            <w:tcW w:w="9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6"/>
              <w:spacing w:after="0" w:line="142" w:lineRule="exact"/>
              <w:rPr>
                <w:sz w:val="20"/>
                <w:szCs w:val="20"/>
                <w:color w:val="auto"/>
              </w:rPr>
            </w:pPr>
            <w:r>
              <w:rPr>
                <w:rFonts w:ascii="Arial" w:cs="Arial" w:eastAsia="Arial" w:hAnsi="Arial"/>
                <w:sz w:val="13"/>
                <w:szCs w:val="13"/>
                <w:b w:val="1"/>
                <w:bCs w:val="1"/>
                <w:color w:val="auto"/>
                <w:w w:val="93"/>
              </w:rPr>
              <w:t>Amount</w:t>
            </w:r>
          </w:p>
        </w:tc>
        <w:tc>
          <w:tcPr>
            <w:tcW w:w="220" w:type="dxa"/>
            <w:vAlign w:val="bottom"/>
            <w:gridSpan w:val="2"/>
          </w:tcPr>
          <w:p>
            <w:pPr>
              <w:spacing w:after="0"/>
              <w:rPr>
                <w:sz w:val="12"/>
                <w:szCs w:val="12"/>
                <w:color w:val="auto"/>
              </w:rPr>
            </w:pPr>
          </w:p>
        </w:tc>
        <w:tc>
          <w:tcPr>
            <w:tcW w:w="96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7"/>
              <w:spacing w:after="0" w:line="142" w:lineRule="exact"/>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2" w:lineRule="exact"/>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2"/>
                <w:szCs w:val="12"/>
                <w:color w:val="auto"/>
              </w:rPr>
            </w:pPr>
          </w:p>
        </w:tc>
        <w:tc>
          <w:tcPr>
            <w:tcW w:w="72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56"/>
        </w:trPr>
        <w:tc>
          <w:tcPr>
            <w:tcW w:w="16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Balance as of June 30,</w:t>
            </w: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right w:val="single" w:sz="8" w:color="auto"/>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2020</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10,857,395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101,182</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8,344,034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81,384</w:t>
            </w:r>
          </w:p>
        </w:tc>
        <w:tc>
          <w:tcPr>
            <w:tcW w:w="18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4,035,978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2,300</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(107,023)</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99"/>
              </w:rPr>
              <w:t>(104,573)</w:t>
            </w: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Stock-based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20"/>
                <w:szCs w:val="20"/>
                <w:color w:val="auto"/>
              </w:rPr>
            </w:pPr>
            <w:r>
              <w:rPr>
                <w:rFonts w:ascii="Arial" w:cs="Arial" w:eastAsia="Arial" w:hAnsi="Arial"/>
                <w:sz w:val="15"/>
                <w:szCs w:val="15"/>
                <w:color w:val="auto"/>
              </w:rPr>
              <w:t>compensation</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1,016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Vesting of early</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exercised</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common stock</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156</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Issuance of common</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stock</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ind w:left="120"/>
              <w:spacing w:after="0" w:line="162" w:lineRule="exact"/>
              <w:rPr>
                <w:sz w:val="20"/>
                <w:szCs w:val="20"/>
                <w:color w:val="auto"/>
              </w:rPr>
            </w:pPr>
            <w:r>
              <w:rPr>
                <w:rFonts w:ascii="Arial" w:cs="Arial" w:eastAsia="Arial" w:hAnsi="Arial"/>
                <w:sz w:val="15"/>
                <w:szCs w:val="15"/>
                <w:color w:val="auto"/>
              </w:rPr>
              <w:t>upon exercise of stock</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20"/>
                <w:szCs w:val="20"/>
                <w:color w:val="auto"/>
              </w:rPr>
            </w:pPr>
            <w:r>
              <w:rPr>
                <w:rFonts w:ascii="Arial" w:cs="Arial" w:eastAsia="Arial" w:hAnsi="Arial"/>
                <w:sz w:val="15"/>
                <w:szCs w:val="15"/>
                <w:color w:val="auto"/>
              </w:rPr>
              <w:t>options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68,607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Other comprehensive</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loss</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(118)</w:t>
            </w: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76"/>
        </w:trPr>
        <w:tc>
          <w:tcPr>
            <w:tcW w:w="1660" w:type="dxa"/>
            <w:vAlign w:val="bottom"/>
          </w:tcPr>
          <w:p>
            <w:pPr>
              <w:spacing w:after="0"/>
              <w:rPr>
                <w:sz w:val="20"/>
                <w:szCs w:val="20"/>
                <w:color w:val="auto"/>
              </w:rPr>
            </w:pPr>
            <w:r>
              <w:rPr>
                <w:rFonts w:ascii="Arial" w:cs="Arial" w:eastAsia="Arial" w:hAnsi="Arial"/>
                <w:sz w:val="15"/>
                <w:szCs w:val="15"/>
                <w:color w:val="auto"/>
              </w:rPr>
              <w:t>Net loss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(33,297)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(33,297)</w:t>
            </w:r>
          </w:p>
        </w:tc>
        <w:tc>
          <w:tcPr>
            <w:tcW w:w="0" w:type="dxa"/>
            <w:vAlign w:val="bottom"/>
          </w:tcPr>
          <w:p>
            <w:pPr>
              <w:spacing w:after="0"/>
              <w:rPr>
                <w:sz w:val="1"/>
                <w:szCs w:val="1"/>
                <w:color w:val="auto"/>
              </w:rPr>
            </w:pPr>
          </w:p>
        </w:tc>
      </w:tr>
      <w:tr>
        <w:trPr>
          <w:trHeight w:val="156"/>
        </w:trPr>
        <w:tc>
          <w:tcPr>
            <w:tcW w:w="16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w w:val="97"/>
              </w:rPr>
              <w:t>Balance as of September</w:t>
            </w: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right w:val="single" w:sz="8" w:color="auto"/>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30, 2020</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10,857,395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101,182</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8,344,034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81,384</w:t>
            </w:r>
          </w:p>
        </w:tc>
        <w:tc>
          <w:tcPr>
            <w:tcW w:w="18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4,104,585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3,620</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(140,320)</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99"/>
              </w:rPr>
              <w:t>(136,668)</w:t>
            </w:r>
          </w:p>
        </w:tc>
        <w:tc>
          <w:tcPr>
            <w:tcW w:w="0" w:type="dxa"/>
            <w:vAlign w:val="bottom"/>
          </w:tcPr>
          <w:p>
            <w:pPr>
              <w:spacing w:after="0"/>
              <w:rPr>
                <w:sz w:val="1"/>
                <w:szCs w:val="1"/>
                <w:color w:val="auto"/>
              </w:rPr>
            </w:pPr>
          </w:p>
        </w:tc>
      </w:tr>
      <w:tr>
        <w:trPr>
          <w:trHeight w:val="20"/>
        </w:trPr>
        <w:tc>
          <w:tcPr>
            <w:tcW w:w="16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9"/>
          </w:tcPr>
          <w:p>
            <w:pPr>
              <w:jc w:val="right"/>
              <w:spacing w:after="0"/>
              <w:rPr>
                <w:sz w:val="20"/>
                <w:szCs w:val="20"/>
                <w:color w:val="auto"/>
              </w:rPr>
            </w:pPr>
            <w:r>
              <w:rPr>
                <w:rFonts w:ascii="Arial" w:cs="Arial" w:eastAsia="Arial" w:hAnsi="Arial"/>
                <w:sz w:val="13"/>
                <w:szCs w:val="13"/>
                <w:b w:val="1"/>
                <w:bCs w:val="1"/>
                <w:color w:val="auto"/>
              </w:rPr>
              <w:t>Nine Months Ended September 30, 2020</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2000" w:type="dxa"/>
            <w:vAlign w:val="bottom"/>
            <w:gridSpan w:val="5"/>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Series A Redeemable</w:t>
            </w:r>
          </w:p>
        </w:tc>
        <w:tc>
          <w:tcPr>
            <w:tcW w:w="1900" w:type="dxa"/>
            <w:vAlign w:val="bottom"/>
            <w:gridSpan w:val="6"/>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Series B-1 Redeemable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8"/>
              </w:rPr>
              <w:t>Convertible Preferred Stock</w:t>
            </w:r>
          </w:p>
        </w:tc>
        <w:tc>
          <w:tcPr>
            <w:tcW w:w="19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88"/>
              </w:rPr>
              <w:t>Convertible Preferred Stock</w:t>
            </w:r>
          </w:p>
        </w:tc>
        <w:tc>
          <w:tcPr>
            <w:tcW w:w="1700" w:type="dxa"/>
            <w:vAlign w:val="bottom"/>
            <w:gridSpan w:val="4"/>
          </w:tcPr>
          <w:p>
            <w:pPr>
              <w:jc w:val="right"/>
              <w:ind w:right="365"/>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7"/>
              <w:spacing w:after="0"/>
              <w:rPr>
                <w:sz w:val="20"/>
                <w:szCs w:val="20"/>
                <w:color w:val="auto"/>
              </w:rPr>
            </w:pPr>
            <w:r>
              <w:rPr>
                <w:rFonts w:ascii="Arial" w:cs="Arial" w:eastAsia="Arial" w:hAnsi="Arial"/>
                <w:sz w:val="13"/>
                <w:szCs w:val="13"/>
                <w:b w:val="1"/>
                <w:bCs w:val="1"/>
                <w:color w:val="auto"/>
                <w:w w:val="92"/>
              </w:rPr>
              <w:t>Paid-in</w:t>
            </w:r>
          </w:p>
        </w:tc>
        <w:tc>
          <w:tcPr>
            <w:tcW w:w="2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4"/>
          </w:tcPr>
          <w:p>
            <w:pPr>
              <w:ind w:left="80"/>
              <w:spacing w:after="0"/>
              <w:rPr>
                <w:sz w:val="20"/>
                <w:szCs w:val="20"/>
                <w:color w:val="auto"/>
              </w:rPr>
            </w:pPr>
            <w:r>
              <w:rPr>
                <w:rFonts w:ascii="Arial" w:cs="Arial" w:eastAsia="Arial" w:hAnsi="Arial"/>
                <w:sz w:val="13"/>
                <w:szCs w:val="13"/>
                <w:b w:val="1"/>
                <w:bCs w:val="1"/>
                <w:color w:val="auto"/>
              </w:rPr>
              <w:t>Comprehensive</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100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2"/>
                <w:szCs w:val="12"/>
                <w:color w:val="auto"/>
              </w:rPr>
            </w:pPr>
          </w:p>
        </w:tc>
        <w:tc>
          <w:tcPr>
            <w:tcW w:w="9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6"/>
              <w:spacing w:after="0" w:line="142" w:lineRule="exact"/>
              <w:rPr>
                <w:sz w:val="20"/>
                <w:szCs w:val="20"/>
                <w:color w:val="auto"/>
              </w:rPr>
            </w:pPr>
            <w:r>
              <w:rPr>
                <w:rFonts w:ascii="Arial" w:cs="Arial" w:eastAsia="Arial" w:hAnsi="Arial"/>
                <w:sz w:val="13"/>
                <w:szCs w:val="13"/>
                <w:b w:val="1"/>
                <w:bCs w:val="1"/>
                <w:color w:val="auto"/>
                <w:w w:val="93"/>
              </w:rPr>
              <w:t>Amount</w:t>
            </w:r>
          </w:p>
        </w:tc>
        <w:tc>
          <w:tcPr>
            <w:tcW w:w="220" w:type="dxa"/>
            <w:vAlign w:val="bottom"/>
            <w:gridSpan w:val="2"/>
          </w:tcPr>
          <w:p>
            <w:pPr>
              <w:spacing w:after="0"/>
              <w:rPr>
                <w:sz w:val="12"/>
                <w:szCs w:val="12"/>
                <w:color w:val="auto"/>
              </w:rPr>
            </w:pPr>
          </w:p>
        </w:tc>
        <w:tc>
          <w:tcPr>
            <w:tcW w:w="96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7"/>
              <w:spacing w:after="0" w:line="142" w:lineRule="exact"/>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2" w:lineRule="exact"/>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2"/>
                <w:szCs w:val="12"/>
                <w:color w:val="auto"/>
              </w:rPr>
            </w:pPr>
          </w:p>
        </w:tc>
        <w:tc>
          <w:tcPr>
            <w:tcW w:w="72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56"/>
        </w:trPr>
        <w:tc>
          <w:tcPr>
            <w:tcW w:w="16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w w:val="99"/>
              </w:rPr>
              <w:t>Balance as of December</w:t>
            </w: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right w:val="single" w:sz="8" w:color="auto"/>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31, 2019</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10,819,843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100,695</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8,344,034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81,384</w:t>
            </w:r>
          </w:p>
        </w:tc>
        <w:tc>
          <w:tcPr>
            <w:tcW w:w="18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3,927,803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1,421</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(66,197)</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(115)</w:t>
            </w:r>
          </w:p>
        </w:tc>
        <w:tc>
          <w:tcPr>
            <w:tcW w:w="14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(64,891)</w:t>
            </w: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Issuance of Series A</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stock</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ind w:left="120"/>
              <w:spacing w:after="0" w:line="162" w:lineRule="exact"/>
              <w:rPr>
                <w:sz w:val="20"/>
                <w:szCs w:val="20"/>
                <w:color w:val="auto"/>
              </w:rPr>
            </w:pPr>
            <w:r>
              <w:rPr>
                <w:rFonts w:ascii="Arial" w:cs="Arial" w:eastAsia="Arial" w:hAnsi="Arial"/>
                <w:sz w:val="15"/>
                <w:szCs w:val="15"/>
                <w:color w:val="auto"/>
                <w:w w:val="96"/>
              </w:rPr>
              <w:t>upon exercise of Series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A</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120"/>
              <w:spacing w:after="0"/>
              <w:rPr>
                <w:sz w:val="20"/>
                <w:szCs w:val="20"/>
                <w:color w:val="auto"/>
              </w:rPr>
            </w:pPr>
            <w:r>
              <w:rPr>
                <w:rFonts w:ascii="Arial" w:cs="Arial" w:eastAsia="Arial" w:hAnsi="Arial"/>
                <w:sz w:val="15"/>
                <w:szCs w:val="15"/>
                <w:color w:val="auto"/>
              </w:rPr>
              <w:t>warrants</w:t>
            </w:r>
          </w:p>
        </w:tc>
        <w:tc>
          <w:tcPr>
            <w:tcW w:w="800" w:type="dxa"/>
            <w:vAlign w:val="bottom"/>
          </w:tcPr>
          <w:p>
            <w:pPr>
              <w:jc w:val="right"/>
              <w:spacing w:after="0"/>
              <w:rPr>
                <w:sz w:val="20"/>
                <w:szCs w:val="20"/>
                <w:color w:val="auto"/>
              </w:rPr>
            </w:pPr>
            <w:r>
              <w:rPr>
                <w:rFonts w:ascii="Arial" w:cs="Arial" w:eastAsia="Arial" w:hAnsi="Arial"/>
                <w:sz w:val="15"/>
                <w:szCs w:val="15"/>
                <w:color w:val="auto"/>
              </w:rPr>
              <w:t>37,552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487</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compensation</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Vesting of early</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exercised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120"/>
              <w:spacing w:after="0"/>
              <w:rPr>
                <w:sz w:val="20"/>
                <w:szCs w:val="20"/>
                <w:color w:val="auto"/>
              </w:rPr>
            </w:pPr>
            <w:r>
              <w:rPr>
                <w:rFonts w:ascii="Arial" w:cs="Arial" w:eastAsia="Arial" w:hAnsi="Arial"/>
                <w:sz w:val="15"/>
                <w:szCs w:val="15"/>
                <w:color w:val="auto"/>
              </w:rPr>
              <w:t>common stock</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Issuance of common</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upon exercise of stock</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options</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176,782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Other comprehensive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20"/>
                <w:szCs w:val="20"/>
                <w:color w:val="auto"/>
              </w:rPr>
            </w:pPr>
            <w:r>
              <w:rPr>
                <w:rFonts w:ascii="Arial" w:cs="Arial" w:eastAsia="Arial" w:hAnsi="Arial"/>
                <w:sz w:val="15"/>
                <w:szCs w:val="15"/>
                <w:color w:val="auto"/>
              </w:rPr>
              <w:t>income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(74,123)</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(74,123)</w:t>
            </w:r>
          </w:p>
        </w:tc>
        <w:tc>
          <w:tcPr>
            <w:tcW w:w="0" w:type="dxa"/>
            <w:vAlign w:val="bottom"/>
          </w:tcPr>
          <w:p>
            <w:pPr>
              <w:spacing w:after="0"/>
              <w:rPr>
                <w:sz w:val="1"/>
                <w:szCs w:val="1"/>
                <w:color w:val="auto"/>
              </w:rPr>
            </w:pPr>
          </w:p>
        </w:tc>
      </w:tr>
      <w:tr>
        <w:trPr>
          <w:trHeight w:val="156"/>
        </w:trPr>
        <w:tc>
          <w:tcPr>
            <w:tcW w:w="1660" w:type="dxa"/>
            <w:vAlign w:val="bottom"/>
          </w:tcPr>
          <w:p>
            <w:pPr>
              <w:spacing w:after="0" w:line="156" w:lineRule="exact"/>
              <w:rPr>
                <w:sz w:val="20"/>
                <w:szCs w:val="20"/>
                <w:color w:val="auto"/>
              </w:rPr>
            </w:pPr>
            <w:r>
              <w:rPr>
                <w:rFonts w:ascii="Arial" w:cs="Arial" w:eastAsia="Arial" w:hAnsi="Arial"/>
                <w:sz w:val="15"/>
                <w:szCs w:val="15"/>
                <w:color w:val="auto"/>
                <w:w w:val="97"/>
              </w:rPr>
              <w:t>Balance as of September</w:t>
            </w: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20"/>
                <w:szCs w:val="20"/>
                <w:color w:val="auto"/>
              </w:rPr>
            </w:pPr>
            <w:r>
              <w:rPr>
                <w:rFonts w:ascii="Arial" w:cs="Arial" w:eastAsia="Arial" w:hAnsi="Arial"/>
                <w:sz w:val="15"/>
                <w:szCs w:val="15"/>
                <w:color w:val="auto"/>
              </w:rPr>
              <w:t>30, 2020</w:t>
            </w:r>
          </w:p>
        </w:tc>
        <w:tc>
          <w:tcPr>
            <w:tcW w:w="800" w:type="dxa"/>
            <w:vAlign w:val="bottom"/>
          </w:tcPr>
          <w:p>
            <w:pPr>
              <w:jc w:val="right"/>
              <w:spacing w:after="0"/>
              <w:rPr>
                <w:sz w:val="20"/>
                <w:szCs w:val="20"/>
                <w:color w:val="auto"/>
              </w:rPr>
            </w:pPr>
            <w:r>
              <w:rPr>
                <w:rFonts w:ascii="Arial" w:cs="Arial" w:eastAsia="Arial" w:hAnsi="Arial"/>
                <w:sz w:val="15"/>
                <w:szCs w:val="15"/>
                <w:color w:val="auto"/>
              </w:rPr>
              <w:t>10,857,395</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101,182</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8,344,034</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81,384</w:t>
            </w:r>
          </w:p>
        </w:tc>
        <w:tc>
          <w:tcPr>
            <w:tcW w:w="1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4,104,585</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3,620</w:t>
            </w:r>
          </w:p>
        </w:tc>
        <w:tc>
          <w:tcPr>
            <w:tcW w:w="32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(140,320)</w:t>
            </w:r>
          </w:p>
        </w:tc>
        <w:tc>
          <w:tcPr>
            <w:tcW w:w="24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32</w:t>
            </w:r>
          </w:p>
        </w:tc>
        <w:tc>
          <w:tcPr>
            <w:tcW w:w="2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w w:val="99"/>
              </w:rPr>
              <w:t>(136,668)</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3"/>
              </w:rPr>
              <w:t>Nine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ind w:left="620"/>
              <w:spacing w:after="0" w:line="155" w:lineRule="exact"/>
              <w:rPr>
                <w:sz w:val="20"/>
                <w:szCs w:val="20"/>
                <w:color w:val="auto"/>
              </w:rPr>
            </w:pPr>
            <w:r>
              <w:rPr>
                <w:rFonts w:ascii="Arial" w:cs="Arial" w:eastAsia="Arial" w:hAnsi="Arial"/>
                <w:sz w:val="14"/>
                <w:szCs w:val="14"/>
                <w:b w:val="1"/>
                <w:bCs w:val="1"/>
                <w:color w:val="auto"/>
                <w:w w:val="96"/>
              </w:rPr>
              <w:t>2021</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(90,618)</w:t>
            </w:r>
          </w:p>
        </w:tc>
        <w:tc>
          <w:tcPr>
            <w:tcW w:w="960" w:type="dxa"/>
            <w:vAlign w:val="bottom"/>
            <w:gridSpan w:val="2"/>
          </w:tcPr>
          <w:p>
            <w:pPr>
              <w:jc w:val="right"/>
              <w:ind w:right="829"/>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(74,123)</w:t>
            </w: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ind w:left="500"/>
              <w:spacing w:after="0"/>
              <w:rPr>
                <w:sz w:val="20"/>
                <w:szCs w:val="20"/>
                <w:color w:val="auto"/>
              </w:rPr>
            </w:pPr>
            <w:r>
              <w:rPr>
                <w:rFonts w:ascii="Arial" w:cs="Arial" w:eastAsia="Arial" w:hAnsi="Arial"/>
                <w:sz w:val="18"/>
                <w:szCs w:val="18"/>
                <w:color w:val="auto"/>
              </w:rPr>
              <w:t>Accretion of discount on investments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right of use assets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ind w:left="500"/>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including ESPP</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500"/>
              <w:spacing w:after="0"/>
              <w:rPr>
                <w:sz w:val="20"/>
                <w:szCs w:val="20"/>
                <w:color w:val="auto"/>
              </w:rPr>
            </w:pPr>
            <w:r>
              <w:rPr>
                <w:rFonts w:ascii="Arial" w:cs="Arial" w:eastAsia="Arial" w:hAnsi="Arial"/>
                <w:sz w:val="18"/>
                <w:szCs w:val="18"/>
                <w:color w:val="auto"/>
              </w:rPr>
              <w:t>Change in fair value of derivative liability</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redeemable convertible preferred stock liabilities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11,387</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(259)</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(1,049)</w:t>
            </w:r>
          </w:p>
        </w:tc>
      </w:tr>
      <w:tr>
        <w:trPr>
          <w:trHeight w:val="230"/>
        </w:trPr>
        <w:tc>
          <w:tcPr>
            <w:tcW w:w="754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3,677</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(939)</w:t>
            </w:r>
          </w:p>
        </w:tc>
      </w:tr>
      <w:tr>
        <w:trPr>
          <w:trHeight w:val="229"/>
        </w:trPr>
        <w:tc>
          <w:tcPr>
            <w:tcW w:w="7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740"/>
              <w:spacing w:after="0"/>
              <w:rPr>
                <w:sz w:val="20"/>
                <w:szCs w:val="20"/>
                <w:color w:val="auto"/>
              </w:rPr>
            </w:pPr>
            <w:r>
              <w:rPr>
                <w:rFonts w:ascii="Arial" w:cs="Arial" w:eastAsia="Arial" w:hAnsi="Arial"/>
                <w:sz w:val="18"/>
                <w:szCs w:val="18"/>
                <w:color w:val="auto"/>
              </w:rPr>
              <w:t>Deferred revenue from collaborations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(3,992)</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75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and cash equivalents used in operating activities</w:t>
            </w: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(78,182)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(54,579)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Activities in available-for-sale investments: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520"/>
              <w:spacing w:after="0"/>
              <w:rPr>
                <w:sz w:val="20"/>
                <w:szCs w:val="20"/>
                <w:color w:val="auto"/>
              </w:rPr>
            </w:pPr>
            <w:r>
              <w:rPr>
                <w:rFonts w:ascii="Arial" w:cs="Arial" w:eastAsia="Arial" w:hAnsi="Arial"/>
                <w:sz w:val="18"/>
                <w:szCs w:val="18"/>
                <w:color w:val="auto"/>
              </w:rPr>
              <w:t>Maturities of investments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22,000</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 of short-term investments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(1,961)</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(45,279)</w:t>
            </w:r>
          </w:p>
        </w:tc>
      </w:tr>
      <w:tr>
        <w:trPr>
          <w:trHeight w:val="230"/>
        </w:trPr>
        <w:tc>
          <w:tcPr>
            <w:tcW w:w="7540" w:type="dxa"/>
            <w:vAlign w:val="bottom"/>
          </w:tcPr>
          <w:p>
            <w:pPr>
              <w:ind w:left="500"/>
              <w:spacing w:after="0"/>
              <w:rPr>
                <w:sz w:val="20"/>
                <w:szCs w:val="20"/>
                <w:color w:val="auto"/>
              </w:rPr>
            </w:pPr>
            <w:r>
              <w:rPr>
                <w:rFonts w:ascii="Arial" w:cs="Arial" w:eastAsia="Arial" w:hAnsi="Arial"/>
                <w:sz w:val="18"/>
                <w:szCs w:val="18"/>
                <w:color w:val="auto"/>
              </w:rPr>
              <w:t>Purchase of long-term investments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Activities in held-to-maturity investments: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500"/>
              <w:spacing w:after="0"/>
              <w:rPr>
                <w:sz w:val="20"/>
                <w:szCs w:val="20"/>
                <w:color w:val="auto"/>
              </w:rPr>
            </w:pPr>
            <w:r>
              <w:rPr>
                <w:rFonts w:ascii="Arial" w:cs="Arial" w:eastAsia="Arial" w:hAnsi="Arial"/>
                <w:sz w:val="18"/>
                <w:szCs w:val="18"/>
                <w:color w:val="auto"/>
              </w:rPr>
              <w:t>Maturities of investments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43,100</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(556)</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(2,003)</w:t>
            </w:r>
          </w:p>
        </w:tc>
      </w:tr>
      <w:tr>
        <w:trPr>
          <w:trHeight w:val="223"/>
        </w:trPr>
        <w:tc>
          <w:tcPr>
            <w:tcW w:w="75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and cash equivalents provided by investing activities</w:t>
            </w:r>
          </w:p>
        </w:tc>
        <w:tc>
          <w:tcPr>
            <w:tcW w:w="1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17,818</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Proceeds from issuance of common stock in connection with Follow-on Offering, net of costs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Proceeds from exercise of warrants for series A convertible preferred stock</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Series B-1 redeemable convertible preferred stock issuance cost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(405)</w:t>
            </w: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Payments of deferred offering costs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(1,066)</w:t>
            </w: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finance lease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w:t>
            </w:r>
          </w:p>
        </w:tc>
      </w:tr>
      <w:tr>
        <w:trPr>
          <w:trHeight w:val="230"/>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the exercise of common stock option</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and cash equivalents provided by (used in) financing activities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ind w:left="10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19,444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(37,731)</w:t>
            </w: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220,943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tcPr>
          <w:p>
            <w:pPr>
              <w:spacing w:after="0"/>
              <w:rPr>
                <w:sz w:val="19"/>
                <w:szCs w:val="19"/>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240,387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32,372</w:t>
            </w:r>
          </w:p>
        </w:tc>
        <w:tc>
          <w:tcPr>
            <w:tcW w:w="120" w:type="dxa"/>
            <w:vAlign w:val="bottom"/>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4"/>
              </w:rPr>
              <w:t>Nine Months Ended September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ind w:left="620"/>
              <w:spacing w:after="0" w:line="155" w:lineRule="exact"/>
              <w:rPr>
                <w:sz w:val="20"/>
                <w:szCs w:val="20"/>
                <w:color w:val="auto"/>
              </w:rPr>
            </w:pPr>
            <w:r>
              <w:rPr>
                <w:rFonts w:ascii="Arial" w:cs="Arial" w:eastAsia="Arial" w:hAnsi="Arial"/>
                <w:sz w:val="14"/>
                <w:szCs w:val="14"/>
                <w:b w:val="1"/>
                <w:bCs w:val="1"/>
                <w:color w:val="auto"/>
                <w:w w:val="96"/>
              </w:rPr>
              <w:t>2021</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Reconciliation to amounts on the consolidated balance sheet:</w:t>
            </w:r>
          </w:p>
        </w:tc>
        <w:tc>
          <w:tcPr>
            <w:tcW w:w="1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239,734</w:t>
            </w:r>
          </w:p>
        </w:tc>
        <w:tc>
          <w:tcPr>
            <w:tcW w:w="180" w:type="dxa"/>
            <w:vAlign w:val="bottom"/>
          </w:tcPr>
          <w:p>
            <w:pPr>
              <w:spacing w:after="0"/>
              <w:rPr>
                <w:sz w:val="19"/>
                <w:szCs w:val="19"/>
                <w:color w:val="auto"/>
              </w:rPr>
            </w:pPr>
          </w:p>
        </w:tc>
        <w:tc>
          <w:tcPr>
            <w:tcW w:w="110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31,816</w:t>
            </w:r>
          </w:p>
        </w:tc>
        <w:tc>
          <w:tcPr>
            <w:tcW w:w="1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280" w:type="dxa"/>
            <w:vAlign w:val="bottom"/>
          </w:tcPr>
          <w:p>
            <w:pPr>
              <w:spacing w:after="0"/>
              <w:rPr>
                <w:sz w:val="19"/>
                <w:szCs w:val="19"/>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240,387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32,372</w:t>
            </w:r>
          </w:p>
        </w:tc>
        <w:tc>
          <w:tcPr>
            <w:tcW w:w="120" w:type="dxa"/>
            <w:vAlign w:val="bottom"/>
          </w:tcPr>
          <w:p>
            <w:pPr>
              <w:spacing w:after="0"/>
              <w:rPr>
                <w:sz w:val="19"/>
                <w:szCs w:val="19"/>
                <w:color w:val="auto"/>
              </w:rPr>
            </w:pPr>
          </w:p>
        </w:tc>
      </w:tr>
      <w:tr>
        <w:trPr>
          <w:trHeight w:val="223"/>
        </w:trPr>
        <w:tc>
          <w:tcPr>
            <w:tcW w:w="6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1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Interest paid</w:t>
            </w:r>
          </w:p>
        </w:tc>
        <w:tc>
          <w:tcPr>
            <w:tcW w:w="1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23"/>
        </w:trPr>
        <w:tc>
          <w:tcPr>
            <w:tcW w:w="6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noncash financing and investing activities:</w:t>
            </w:r>
          </w:p>
        </w:tc>
        <w:tc>
          <w:tcPr>
            <w:tcW w:w="1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Leasehold improvement directly paid by landlord</w:t>
            </w:r>
          </w:p>
        </w:tc>
        <w:tc>
          <w:tcPr>
            <w:tcW w:w="22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Mark to market adjustment for available-for-sale investments</w:t>
            </w:r>
          </w:p>
        </w:tc>
        <w:tc>
          <w:tcPr>
            <w:tcW w:w="222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w:t>
            </w:r>
          </w:p>
        </w:tc>
        <w:tc>
          <w:tcPr>
            <w:tcW w:w="1100" w:type="dxa"/>
            <w:vAlign w:val="bottom"/>
            <w:gridSpan w:val="2"/>
            <w:shd w:val="clear" w:color="auto" w:fill="CFF0FC"/>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Acquisition of right of use asset through operating lease obligation</w:t>
            </w:r>
          </w:p>
        </w:tc>
        <w:tc>
          <w:tcPr>
            <w:tcW w:w="22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9"/>
                <w:szCs w:val="19"/>
                <w:color w:val="auto"/>
              </w:rPr>
            </w:pPr>
          </w:p>
        </w:tc>
        <w:tc>
          <w:tcPr>
            <w:tcW w:w="110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 upon exercise of warrants</w:t>
            </w:r>
          </w:p>
        </w:tc>
        <w:tc>
          <w:tcPr>
            <w:tcW w:w="222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Vesting of early exercised options</w:t>
            </w:r>
          </w:p>
        </w:tc>
        <w:tc>
          <w:tcPr>
            <w:tcW w:w="22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110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Receivable from exercise of common stock options</w:t>
            </w:r>
          </w:p>
        </w:tc>
        <w:tc>
          <w:tcPr>
            <w:tcW w:w="222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Change in pension obligation</w:t>
            </w:r>
          </w:p>
        </w:tc>
        <w:tc>
          <w:tcPr>
            <w:tcW w:w="22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10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 in AP and accrued liabilities</w:t>
            </w:r>
          </w:p>
        </w:tc>
        <w:tc>
          <w:tcPr>
            <w:tcW w:w="222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ALIGOS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271780</wp:posOffset>
            </wp:positionV>
            <wp:extent cx="28460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right="9120" w:hanging="372"/>
        <w:spacing w:after="0" w:line="453" w:lineRule="auto"/>
        <w:tabs>
          <w:tab w:leader="none" w:pos="3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Organization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188" w:lineRule="exact"/>
        <w:rPr>
          <w:sz w:val="20"/>
          <w:szCs w:val="20"/>
          <w:color w:val="auto"/>
        </w:rPr>
      </w:pPr>
    </w:p>
    <w:p>
      <w:pPr>
        <w:ind w:right="540" w:firstLine="382"/>
        <w:spacing w:after="0" w:line="277" w:lineRule="auto"/>
        <w:rPr>
          <w:sz w:val="20"/>
          <w:szCs w:val="20"/>
          <w:color w:val="auto"/>
        </w:rPr>
      </w:pPr>
      <w:r>
        <w:rPr>
          <w:rFonts w:ascii="Arial" w:cs="Arial" w:eastAsia="Arial" w:hAnsi="Arial"/>
          <w:sz w:val="18"/>
          <w:szCs w:val="18"/>
          <w:color w:val="auto"/>
        </w:rPr>
        <w:t>Aligos is a clinical-stage biopharmaceutical company developing novel therapeutics to address unmet medical needs in viral and liver diseases, including for chronic hepatitis B, coronaviruses and non-alcoholic steatohepatitis (NASH).</w:t>
      </w:r>
    </w:p>
    <w:p>
      <w:pPr>
        <w:spacing w:after="0" w:line="170" w:lineRule="exact"/>
        <w:rPr>
          <w:sz w:val="20"/>
          <w:szCs w:val="20"/>
          <w:color w:val="auto"/>
        </w:rPr>
      </w:pPr>
    </w:p>
    <w:p>
      <w:pPr>
        <w:ind w:right="80" w:firstLine="382"/>
        <w:spacing w:after="0" w:line="275" w:lineRule="auto"/>
        <w:rPr>
          <w:sz w:val="20"/>
          <w:szCs w:val="20"/>
          <w:color w:val="auto"/>
        </w:rPr>
      </w:pPr>
      <w:r>
        <w:rPr>
          <w:rFonts w:ascii="Arial" w:cs="Arial" w:eastAsia="Arial" w:hAnsi="Arial"/>
          <w:sz w:val="17"/>
          <w:szCs w:val="17"/>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On October 9, 2020, the Company effected a 1-for-9.3197 reverse stock split (the Reverse Stock Split) of the Company’s common stock and redeemable convertible preferred stock to be consummated prior to the effectiveness of the Company’s initial public offering (IPO). The par value and authorized shares of the common stock and redeemable convertible preferred stock were not adjusted as a result of the Reverse Stock Split. All issued and outstanding common stock, options to purchase common stock and per share amounts contained in the financial statements have been retroactively adjusted to give effect to the Reverse Stock Split for all periods presented.</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On October 20, 2020, the Company closed its IPO and issued 10,000,000 shares of its common stock at a public offering price of $15.00 per share for net proceeds of $135.4 million, after deducting underwriting discounts and commissions of $10.5 million and expenses of $4.1 million. In connection with the IPO, all shares of Series A redeemable convertible preferred stock (Series A), Series B-1 redeemable convertible preferred stock (Series B-1) and Series B-2 redeemable convertible preferred stock (Series B-2) converted into 19,761,870 shares of voting common stock and 3,092,338 shares of non-voting common stock. On November 5, 2020, the underwriters of the IPO partially exercised their overallotment option by purchasing an additional 1,150,000 shares from the Company, resulting in an additional $16.0 million in net proceeds, after deducting underwriting discounts and commissions of $1.2 million.</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The Company has incurred losses and negative cash flows from operations since its inception. As of September 30, 2021 and December 31, 2020, the Company had an accumulated deficit of $265.4 million and $174.7 million, respectively. Management expects to continue to incur additional substantial losses in the foreseeable future as a result of expanded research and development activities.</w:t>
      </w:r>
    </w:p>
    <w:p>
      <w:pPr>
        <w:spacing w:after="0" w:line="184"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As of September 30, 2021, the Company has unrestricted cash, cash equivalents and investments of approximately $242.7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firstLine="382"/>
        <w:spacing w:after="0" w:line="271" w:lineRule="auto"/>
        <w:rPr>
          <w:sz w:val="20"/>
          <w:szCs w:val="20"/>
          <w:color w:val="auto"/>
        </w:rPr>
      </w:pPr>
      <w:r>
        <w:rPr>
          <w:rFonts w:ascii="Arial" w:cs="Arial" w:eastAsia="Arial" w:hAnsi="Arial"/>
          <w:sz w:val="17"/>
          <w:szCs w:val="17"/>
          <w:color w:val="auto"/>
        </w:rPr>
        <w:t>The Company expects to finance its cash needs through a combination of public or private equity offerings, debt financings, collaborations, strategic alliances, licensing arrangements and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it is expected that the Company’s existing cash, cash equivalents and investments, will enable the Company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the COVID-19 pandemic and the macro-economic environment generally.</w:t>
      </w:r>
    </w:p>
    <w:p>
      <w:pPr>
        <w:spacing w:after="0" w:line="70"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The Company’s ability to raise additional funds will depend on financial, economic and other factors, many of which are beyond its control. In particular, the COVID-19 pandemic continues to rapidly evolve and has resulted in a significant disruption of global financial markets. If the disruption persists or deepens,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spacing w:after="0" w:line="282"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jc w:val="both"/>
        <w:ind w:right="60" w:firstLine="382"/>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a basis consistent with that used to prepare the audited annual consolidated financial statements and contemplates the continuity of operations, realization of assets and the satisfaction of liabilities and commitments in the normal course of business.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200" w:firstLine="382"/>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As a result, the Company is unable to predict the timing or amount of increased expenses or when or if the Company will be able to achieve or maintain profitability. Drug candidates currently under development will require significant additional research and development efforts, including extensive nonclinical and clinical testing and regulatory approval.</w:t>
      </w:r>
    </w:p>
    <w:p>
      <w:pPr>
        <w:spacing w:after="0" w:line="188"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Moreover, it is particularly difficult to estimate with certainty the Company’s future expenses given the dynamic nature of its business, the COVID-19 pandemic and the macro-economic environment generally.</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382"/>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(GAAP) and applicable rules and regulations of the Securities and Exchange Commission (SEC) regarding interim financial reporting. Accordingly, they do not include all of the information and footnotes required by U.S. GAAP for complete financial statements.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6"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The condensed consolidated balance sheet as of December 31, 2020 included herein was derived from the audited consolidated financial statements as of that date but does not include all of the information and notes required by U.S. GAAP for complete financial statements. Certain information and note disclosures normally included in the financial statements prepared in accordance with U.S. GAAP have been condensed or omitted pursuant to requirements for interim financial statements. As such, the information included in this Quarterly Report on Form 10-Q should be read in conjunction with the audited consolidated financial statements and the related notes thereto as of and for the year ended December 31, 2020, included in the Company’s Annual Report on Form 10-K filed with the SEC on March 23, 2021.</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left="38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520" w:firstLine="382"/>
        <w:spacing w:after="0" w:line="277" w:lineRule="auto"/>
        <w:rPr>
          <w:sz w:val="20"/>
          <w:szCs w:val="20"/>
          <w:color w:val="auto"/>
        </w:rPr>
      </w:pPr>
      <w:r>
        <w:rPr>
          <w:rFonts w:ascii="Arial" w:cs="Arial" w:eastAsia="Arial" w:hAnsi="Arial"/>
          <w:sz w:val="18"/>
          <w:szCs w:val="18"/>
          <w:color w:val="auto"/>
        </w:rPr>
        <w:t>The accompanying condensed consolidated financial statements include Aligos-US and its wholly owned subsidiaries Aligos-Belgium, Aligos-Australia and Aligos-Shanghai. All intercompany balances and transactions have been eliminated.</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certain estimates and assumptions that affect the reported amounts in the condensed consolidated financial statements and accompanying notes. The Company regularly evaluates estimates and assumptions related to assets and liabilities, and disclosures of contingent assets and liabilities at the dates of the condensed consolidated financial statements and the reported amounts of expenses during the reporting period. Areas where management uses subjective judgments include but are not limited to right-of-use assets, lease obligations, impairment of long-lived assets, stock-based compensation, accrued research and development costs, pension liabilities, revenue from collaborations and deferred revenue in the accompanying condensed consolidated financial statements.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The accompanying consolidated balance sheet as of September 30, 2021, the consolidated statements of operations and comprehensive loss for the three and nine months ended September 30, 2021 and 2020, the consolidated statements of redeemable convertible preferred stock and stockholders’ equity (deficit) for the three and nine months ended September 30, 2021 and 2020, and the consolidated statements of cash flows for the nine months ended September 30, 2021 and 2020 are unaudited. The unaudited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consolidated financial position as of September 30, 2021 and the consolidated results of its operations and cash flows for the three and nine months ended September 30, 2021 and 2020. The consolidated financial data and other information disclosed in these notes related to the three and nine months ended September 30, 2021 and 2020 are unaudited. The consolidated results for the three and nine months ended September 30, 2021 are not necessarily indicative of results to be expected for the year ending December 31, 2021, any other interim periods, or any future year or period.</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including the Company’s July 2021 follow-on offering and issuance of 4,400,000 shares of the Company’s common stock at a price to the public of $19.00 per share for net proceeds of $77.9 million, after deducting underwriting discounts and commissions and estimated offering expenses payable by the Company. After consummation of the financing, these costs are recorded as a reduction of the proceeds received from the equity financing. If a planned equity financing is abandoned, the deferred offering costs are expensed immediately as a charge to operating expenses in the condensed consolidated statements of operations and comprehensive loss. There were no deferred offering costs recorded within other assets on the Company’s condensed consolidated balance sheets as at each of September 30, 2021 and December 31, 2020.</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140" w:firstLine="500"/>
        <w:spacing w:after="0" w:line="255" w:lineRule="auto"/>
        <w:rPr>
          <w:sz w:val="20"/>
          <w:szCs w:val="20"/>
          <w:color w:val="auto"/>
        </w:rPr>
      </w:pPr>
      <w:r>
        <w:rPr>
          <w:rFonts w:ascii="Arial" w:cs="Arial" w:eastAsia="Arial" w:hAnsi="Arial"/>
          <w:sz w:val="18"/>
          <w:szCs w:val="18"/>
          <w:color w:val="auto"/>
        </w:rPr>
        <w:t>The Company’s foreign subsidiaries use the U.S. dollar as their functional currency, and they initially measure the foreign currency denominated assets and liabilities at the transaction date. Monetary assets and liabilities are then re-measured at exchange rates in effect at the end of each period, and non-monetary assets and liabilities are converted at historical rates. A re-measurement gain and loss was recognized during the three and nine months ended September 30, 2021 of $69,000 and ($139,000), respectively, and a re-measurement gain was recognized during the three and nine months ended September 30, 2020 of $18,000 and $70,000, respectively. This is reflected within interest and other income (expense), net on the consolidated statements of operations and comprehensive loss.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300" w:firstLine="500"/>
        <w:spacing w:after="0" w:line="259" w:lineRule="auto"/>
        <w:rPr>
          <w:sz w:val="20"/>
          <w:szCs w:val="20"/>
          <w:color w:val="auto"/>
        </w:rPr>
      </w:pPr>
      <w:r>
        <w:rPr>
          <w:rFonts w:ascii="Arial" w:cs="Arial" w:eastAsia="Arial" w:hAnsi="Arial"/>
          <w:sz w:val="18"/>
          <w:szCs w:val="18"/>
          <w:color w:val="auto"/>
        </w:rPr>
        <w:t>The Company has determined that the Chief Executive Officer is its Chief Operating Decision Maker. The Company’s Chief Executive Officer reviews financial information presented on a consolidated basis for the purposes of assessing the performance and making decisions on how to allocate resources. Accordingly, the Company has determined that it operates in a single reportable segment. No product revenue has been generated since inception.</w:t>
      </w:r>
    </w:p>
    <w:p>
      <w:pPr>
        <w:spacing w:after="0" w:line="79" w:lineRule="exact"/>
        <w:rPr>
          <w:sz w:val="20"/>
          <w:szCs w:val="20"/>
          <w:color w:val="auto"/>
        </w:rPr>
      </w:pPr>
    </w:p>
    <w:p>
      <w:pPr>
        <w:ind w:right="160" w:firstLine="500"/>
        <w:spacing w:after="0" w:line="224" w:lineRule="exact"/>
        <w:rPr>
          <w:sz w:val="20"/>
          <w:szCs w:val="20"/>
          <w:color w:val="auto"/>
        </w:rPr>
      </w:pPr>
      <w:r>
        <w:rPr>
          <w:rFonts w:ascii="Arial" w:cs="Arial" w:eastAsia="Arial" w:hAnsi="Arial"/>
          <w:sz w:val="17"/>
          <w:szCs w:val="17"/>
          <w:color w:val="auto"/>
        </w:rPr>
        <w:t>The Company has $5.3 million and $962,000 of property and equipment, net in Aligos-US and Aligos-Belgium, respectively, as of September 30, 2021 and $6.6 million and $1.4 million of fixed assets in Aligos-US and Aligos</w:t>
      </w:r>
      <w:r>
        <w:rPr>
          <w:rFonts w:ascii="MS PGothic" w:cs="MS PGothic" w:eastAsia="MS PGothic" w:hAnsi="MS PGothic"/>
          <w:sz w:val="17"/>
          <w:szCs w:val="17"/>
          <w:color w:val="auto"/>
        </w:rPr>
        <w:t>‑</w:t>
      </w:r>
      <w:r>
        <w:rPr>
          <w:rFonts w:ascii="Arial" w:cs="Arial" w:eastAsia="Arial" w:hAnsi="Arial"/>
          <w:sz w:val="17"/>
          <w:szCs w:val="17"/>
          <w:color w:val="auto"/>
        </w:rPr>
        <w:t>Belgium, respectively as of December 31, 2020.</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considers all highly liquid investments purchased with original maturities of 90 days or less at acquisition to be cash equivalents.</w:t>
      </w:r>
    </w:p>
    <w:p>
      <w:pPr>
        <w:spacing w:after="0" w:line="3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40" w:firstLine="500"/>
        <w:spacing w:after="0" w:line="263" w:lineRule="auto"/>
        <w:rPr>
          <w:sz w:val="20"/>
          <w:szCs w:val="20"/>
          <w:color w:val="auto"/>
        </w:rPr>
      </w:pPr>
      <w:r>
        <w:rPr>
          <w:rFonts w:ascii="Arial" w:cs="Arial" w:eastAsia="Arial" w:hAnsi="Arial"/>
          <w:sz w:val="18"/>
          <w:szCs w:val="18"/>
          <w:color w:val="auto"/>
        </w:rPr>
        <w:t>As of September 30, 2021 and December 31, 2020, the restricted cash balance was $653,000 and $560,000, respectively, and includes funds to secure the letters of credit in relation to the Company’s operating leases and deposits on rental assets (Note 6), as well as employee withholdings for the employee stock purchase plan.</w:t>
      </w:r>
    </w:p>
    <w:p>
      <w:pPr>
        <w:spacing w:after="0" w:line="33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340" w:firstLine="500"/>
        <w:spacing w:after="0" w:line="263" w:lineRule="auto"/>
        <w:rPr>
          <w:sz w:val="20"/>
          <w:szCs w:val="20"/>
          <w:color w:val="auto"/>
        </w:rPr>
      </w:pPr>
      <w:r>
        <w:rPr>
          <w:rFonts w:ascii="Arial" w:cs="Arial" w:eastAsia="Arial" w:hAnsi="Arial"/>
          <w:sz w:val="18"/>
          <w:szCs w:val="18"/>
          <w:color w:val="auto"/>
        </w:rPr>
        <w:t>The Company determines if an arrangement is a lease at the inception of the lease. Operating leases are included in operating lease right-of-use (ROU) assets and operating lease liabilities in the consolidated balance sheet. Finance leases are included in property and equipment and finance lease liabilities in the consolidated balance sheet.</w:t>
      </w:r>
    </w:p>
    <w:p>
      <w:pPr>
        <w:spacing w:after="0" w:line="184" w:lineRule="exact"/>
        <w:rPr>
          <w:sz w:val="20"/>
          <w:szCs w:val="20"/>
          <w:color w:val="auto"/>
        </w:rPr>
      </w:pPr>
    </w:p>
    <w:p>
      <w:pPr>
        <w:ind w:right="80" w:firstLine="500"/>
        <w:spacing w:after="0" w:line="291"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obligation to make lease payments arising from the lease. Operating lease ROU assets and liabilities are recognized at the lease commencement date based on the present value of lease payments over the lease term. When the Company’s leases do not provide an implicit rate, an incremental borrowing rate is used based on the information available at the commencement dates in determining the present value of lease payments. The Company uses the implicit rate when readily determinable. The operating lease ROU assets also include any lease payments made and excludes lease incentives when paid by the Company or on the Company’s behalf. The Company’s lease terms may include the period covered by options to extend or terminate the lease when it is reasonably certain that the Company will exercise that option. Lease expense for operating leases is recognized on a straight-line basis over the lease term.</w:t>
      </w:r>
    </w:p>
    <w:p>
      <w:pPr>
        <w:spacing w:after="0" w:line="166"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The Company has lease agreements with lease and non-lease components. The Company elected to not separate lease and non-lease components for all of its building leases. For vehicle leases, lease and non-lease components are accounted for separately. The Company also made an accounting policy election to recognize lease expense for leases with a term of 12 months or less on a straight-line basis over the lease term and not recognize ROU assets or lease liabilities for such leases.</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60" w:firstLine="500"/>
        <w:spacing w:after="0" w:line="277" w:lineRule="auto"/>
        <w:rPr>
          <w:sz w:val="20"/>
          <w:szCs w:val="20"/>
          <w:color w:val="auto"/>
        </w:rPr>
      </w:pPr>
      <w:r>
        <w:rPr>
          <w:rFonts w:ascii="Arial" w:cs="Arial" w:eastAsia="Arial" w:hAnsi="Arial"/>
          <w:sz w:val="18"/>
          <w:szCs w:val="18"/>
          <w:color w:val="auto"/>
        </w:rPr>
        <w:t>Property and equipment is stated at cost less accumulated depreciation, and is depreciated using the straight-line method over the estimated useful life of the asset, which are as follows:</w:t>
      </w:r>
    </w:p>
    <w:p>
      <w:pPr>
        <w:spacing w:after="0" w:line="185" w:lineRule="exact"/>
        <w:rPr>
          <w:sz w:val="20"/>
          <w:szCs w:val="20"/>
          <w:color w:val="auto"/>
        </w:rPr>
      </w:pPr>
    </w:p>
    <w:tbl>
      <w:tblPr>
        <w:tblLayout w:type="fixed"/>
        <w:tblInd w:w="348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2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3 years</w:t>
            </w: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Computer equipment</w:t>
            </w:r>
          </w:p>
        </w:tc>
        <w:tc>
          <w:tcPr>
            <w:tcW w:w="2280" w:type="dxa"/>
            <w:vAlign w:val="bottom"/>
          </w:tcPr>
          <w:p>
            <w:pPr>
              <w:ind w:left="180"/>
              <w:spacing w:after="0"/>
              <w:rPr>
                <w:sz w:val="20"/>
                <w:szCs w:val="20"/>
                <w:color w:val="auto"/>
              </w:rPr>
            </w:pPr>
            <w:r>
              <w:rPr>
                <w:rFonts w:ascii="Arial" w:cs="Arial" w:eastAsia="Arial" w:hAnsi="Arial"/>
                <w:sz w:val="18"/>
                <w:szCs w:val="18"/>
                <w:color w:val="auto"/>
              </w:rPr>
              <w:t>3 years</w:t>
            </w:r>
          </w:p>
        </w:tc>
      </w:tr>
      <w:tr>
        <w:trPr>
          <w:trHeight w:val="215"/>
        </w:trPr>
        <w:tc>
          <w:tcPr>
            <w:tcW w:w="20" w:type="dxa"/>
            <w:vAlign w:val="bottom"/>
          </w:tcPr>
          <w:p>
            <w:pPr>
              <w:spacing w:after="0"/>
              <w:rPr>
                <w:sz w:val="18"/>
                <w:szCs w:val="18"/>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w:t>
            </w:r>
          </w:p>
        </w:tc>
        <w:tc>
          <w:tcPr>
            <w:tcW w:w="22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3-8 years</w:t>
            </w: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Vehicles</w:t>
            </w:r>
          </w:p>
        </w:tc>
        <w:tc>
          <w:tcPr>
            <w:tcW w:w="2280" w:type="dxa"/>
            <w:vAlign w:val="bottom"/>
          </w:tcPr>
          <w:p>
            <w:pPr>
              <w:ind w:left="180"/>
              <w:spacing w:after="0"/>
              <w:rPr>
                <w:sz w:val="20"/>
                <w:szCs w:val="20"/>
                <w:color w:val="auto"/>
              </w:rPr>
            </w:pPr>
            <w:r>
              <w:rPr>
                <w:rFonts w:ascii="Arial" w:cs="Arial" w:eastAsia="Arial" w:hAnsi="Arial"/>
                <w:sz w:val="18"/>
                <w:szCs w:val="18"/>
                <w:color w:val="auto"/>
              </w:rPr>
              <w:t>4 years</w:t>
            </w:r>
          </w:p>
        </w:tc>
      </w:tr>
      <w:tr>
        <w:trPr>
          <w:trHeight w:val="215"/>
        </w:trPr>
        <w:tc>
          <w:tcPr>
            <w:tcW w:w="20" w:type="dxa"/>
            <w:vAlign w:val="bottom"/>
          </w:tcPr>
          <w:p>
            <w:pPr>
              <w:spacing w:after="0"/>
              <w:rPr>
                <w:sz w:val="18"/>
                <w:szCs w:val="18"/>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w w:val="98"/>
              </w:rPr>
              <w:t>Leasehold improvements</w:t>
            </w:r>
          </w:p>
        </w:tc>
        <w:tc>
          <w:tcPr>
            <w:tcW w:w="2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Shorter of the useful</w:t>
            </w:r>
          </w:p>
        </w:tc>
      </w:tr>
      <w:tr>
        <w:trPr>
          <w:trHeight w:val="230"/>
        </w:trPr>
        <w:tc>
          <w:tcPr>
            <w:tcW w:w="20" w:type="dxa"/>
            <w:vAlign w:val="bottom"/>
          </w:tcPr>
          <w:p>
            <w:pPr>
              <w:spacing w:after="0"/>
              <w:rPr>
                <w:sz w:val="20"/>
                <w:szCs w:val="20"/>
                <w:color w:val="auto"/>
              </w:rPr>
            </w:pPr>
          </w:p>
        </w:tc>
        <w:tc>
          <w:tcPr>
            <w:tcW w:w="2000" w:type="dxa"/>
            <w:vAlign w:val="bottom"/>
            <w:shd w:val="clear" w:color="auto" w:fill="CFF0FC"/>
          </w:tcPr>
          <w:p>
            <w:pPr>
              <w:spacing w:after="0"/>
              <w:rPr>
                <w:sz w:val="20"/>
                <w:szCs w:val="20"/>
                <w:color w:val="auto"/>
              </w:rPr>
            </w:pPr>
          </w:p>
        </w:tc>
        <w:tc>
          <w:tcPr>
            <w:tcW w:w="22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5"/>
              </w:rPr>
              <w:t>life or remaining lease term</w:t>
            </w:r>
          </w:p>
        </w:tc>
      </w:tr>
    </w:tbl>
    <w:p>
      <w:pPr>
        <w:spacing w:after="0" w:line="202" w:lineRule="exact"/>
        <w:rPr>
          <w:sz w:val="20"/>
          <w:szCs w:val="20"/>
          <w:color w:val="auto"/>
        </w:rPr>
      </w:pPr>
    </w:p>
    <w:p>
      <w:pPr>
        <w:ind w:right="260" w:firstLine="500"/>
        <w:spacing w:after="0" w:line="308" w:lineRule="auto"/>
        <w:rPr>
          <w:sz w:val="20"/>
          <w:szCs w:val="20"/>
          <w:color w:val="auto"/>
        </w:rPr>
      </w:pPr>
      <w:r>
        <w:rPr>
          <w:rFonts w:ascii="Arial" w:cs="Arial" w:eastAsia="Arial" w:hAnsi="Arial"/>
          <w:sz w:val="17"/>
          <w:szCs w:val="17"/>
          <w:color w:val="auto"/>
        </w:rPr>
        <w:t>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15" w:name="page16"/>
    <w:bookmarkEnd w:id="15"/>
    <w:p>
      <w:pPr>
        <w:ind w:left="3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The Company reviews quarterly the carrying amount of its property, equipment and intangible assets to determine whether indicators of impairment may exist which warrant adjustments to carrying values or estimated useful lives. If indications of impairment exist, projected future undiscounted cash flows associated with the asset are compared to the carrying amount to determine whether the asset’s value is recoverable. If the carrying value of the asset exceeds such projected undiscounted cash flows, the asset will be written down to its estimated fair value. No impairment charges were recorded during the three and nine months ended September 30, 2021 and 2020.</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382"/>
        <w:spacing w:after="0" w:line="308" w:lineRule="auto"/>
        <w:rPr>
          <w:sz w:val="20"/>
          <w:szCs w:val="20"/>
          <w:color w:val="auto"/>
        </w:rPr>
      </w:pPr>
      <w:r>
        <w:rPr>
          <w:rFonts w:ascii="Arial" w:cs="Arial" w:eastAsia="Arial" w:hAnsi="Arial"/>
          <w:sz w:val="17"/>
          <w:szCs w:val="17"/>
          <w:color w:val="auto"/>
        </w:rPr>
        <w:t>The Company generally invests its excess cash in money market funds and investment grade short-to-intermediate-term fixed income securities. Such investments are included in cash and cash equivalents or short-term investments on the condensed consolidated Balance Sheets.</w:t>
      </w:r>
    </w:p>
    <w:p>
      <w:pPr>
        <w:spacing w:after="0" w:line="38" w:lineRule="exact"/>
        <w:rPr>
          <w:sz w:val="20"/>
          <w:szCs w:val="20"/>
          <w:color w:val="auto"/>
        </w:rPr>
      </w:pPr>
    </w:p>
    <w:p>
      <w:pPr>
        <w:ind w:right="80" w:firstLine="382"/>
        <w:spacing w:after="0" w:line="291" w:lineRule="auto"/>
        <w:rPr>
          <w:sz w:val="20"/>
          <w:szCs w:val="20"/>
          <w:color w:val="auto"/>
        </w:rPr>
      </w:pPr>
      <w:r>
        <w:rPr>
          <w:rFonts w:ascii="Arial" w:cs="Arial" w:eastAsia="Arial" w:hAnsi="Arial"/>
          <w:sz w:val="16"/>
          <w:szCs w:val="16"/>
          <w:color w:val="auto"/>
        </w:rPr>
        <w:t>The Company determines the appropriate classification of short-term and long-term securities at the time of purchase and re-evaluates such designation as of each balance sheet date. Securities are classified as held-to-maturity when the Company has the positive intent and ability to hold the securities to maturity, otherwise securities are classified as available-for sale. Held-to-maturity securities are carried at amortized cost. Available-for-sale debt securities are measured and reported at fair value using quoted prices in active markets for similar securities. Unrealized gains and losses on available-for-sale securities are reported as a separate component of stockholders’ equity. Premiums or discounts from par value are amortized to investment income over the life of the underlying investment. The cost of securities sold is determined on a specific identification basis, and realized gains and losses are included in interest and other income (expense), net within the condensed consolidated statements of operations and comprehensive loss.</w:t>
      </w:r>
    </w:p>
    <w:p>
      <w:pPr>
        <w:spacing w:after="0" w:line="166" w:lineRule="exact"/>
        <w:rPr>
          <w:sz w:val="20"/>
          <w:szCs w:val="20"/>
          <w:color w:val="auto"/>
        </w:rPr>
      </w:pPr>
    </w:p>
    <w:p>
      <w:pPr>
        <w:ind w:right="280" w:firstLine="382"/>
        <w:spacing w:after="0" w:line="275" w:lineRule="auto"/>
        <w:rPr>
          <w:sz w:val="20"/>
          <w:szCs w:val="20"/>
          <w:color w:val="auto"/>
        </w:rPr>
      </w:pPr>
      <w:r>
        <w:rPr>
          <w:rFonts w:ascii="Arial" w:cs="Arial" w:eastAsia="Arial" w:hAnsi="Arial"/>
          <w:sz w:val="17"/>
          <w:szCs w:val="17"/>
          <w:color w:val="auto"/>
        </w:rPr>
        <w:t>For both held-to-maturity and available-for-sale investments, the Company periodically reviews each individual security position that has an unrealized loss, or impairment, to determine if that impairment is other-than-temporary. If the Company believes an impairment of a security position is other than temporary, based on available quantitative and qualitative information as of the report date, the loss will be recognized as other income (expense), net, in the Company’s condensed consolidated statements of operations and a new cost basis in the investment is established. No impairment charges were recorded during the three and nine months ended September 30, 2021 and 2020.</w:t>
      </w:r>
    </w:p>
    <w:p>
      <w:pPr>
        <w:spacing w:after="0" w:line="176" w:lineRule="exact"/>
        <w:rPr>
          <w:sz w:val="20"/>
          <w:szCs w:val="20"/>
          <w:color w:val="auto"/>
        </w:rPr>
      </w:pPr>
    </w:p>
    <w:p>
      <w:pPr>
        <w:ind w:right="820" w:firstLine="382"/>
        <w:spacing w:after="0" w:line="277" w:lineRule="auto"/>
        <w:rPr>
          <w:sz w:val="20"/>
          <w:szCs w:val="20"/>
          <w:color w:val="auto"/>
        </w:rPr>
      </w:pPr>
      <w:r>
        <w:rPr>
          <w:rFonts w:ascii="Arial" w:cs="Arial" w:eastAsia="Arial" w:hAnsi="Arial"/>
          <w:sz w:val="18"/>
          <w:szCs w:val="18"/>
          <w:color w:val="auto"/>
        </w:rPr>
        <w:t>As of September 30, 2021, short-term and long-term investments consisted of certificates of deposit, and at December 31, 2020, short-term investments consisted of U.S. Treasury securities with original maturities of less than one year.</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60" w:firstLine="382"/>
        <w:spacing w:after="0" w:line="273"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and third-party license fees. Non-refundable prepayments for goods or services that will be used or rendered for future research and development activities are expensed as incurred. In-process research and development (IPR&amp;D) expense represents the costs to acquire technologies to be used in research and development that have not reached technological feasibility or have no alternative future uses and thus are expensed as incurred. IPR&amp;D expense also includes upfront license fees and milestones paid to collaborators for technologies with no alternative use.</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17" w:lineRule="exact"/>
        <w:rPr>
          <w:sz w:val="20"/>
          <w:szCs w:val="20"/>
          <w:color w:val="auto"/>
        </w:rPr>
      </w:pPr>
    </w:p>
    <w:p>
      <w:pPr>
        <w:ind w:right="320" w:firstLine="421"/>
        <w:spacing w:after="0" w:line="259" w:lineRule="auto"/>
        <w:rPr>
          <w:sz w:val="20"/>
          <w:szCs w:val="20"/>
          <w:color w:val="auto"/>
        </w:rPr>
      </w:pPr>
      <w:r>
        <w:rPr>
          <w:rFonts w:ascii="Arial" w:cs="Arial" w:eastAsia="Arial" w:hAnsi="Arial"/>
          <w:sz w:val="18"/>
          <w:szCs w:val="18"/>
          <w:color w:val="auto"/>
        </w:rPr>
        <w:t>The Company enters into collaboration arrangements with pharmaceutical and other partners, under which the Company may grant licenses to its collaboration partners to research and develop potential drug candidates. Consideration under these contracts may include an upfront payment, development, regulatory, sales and other milestone payments. Contractual payments received for research and development activities performed are recognized on a gross basis in revenue from collaboration arrangements.</w:t>
      </w:r>
    </w:p>
    <w:p>
      <w:pPr>
        <w:spacing w:after="0" w:line="79" w:lineRule="exact"/>
        <w:rPr>
          <w:sz w:val="20"/>
          <w:szCs w:val="20"/>
          <w:color w:val="auto"/>
        </w:rPr>
      </w:pPr>
    </w:p>
    <w:p>
      <w:pPr>
        <w:jc w:val="both"/>
        <w:ind w:right="520" w:firstLine="500"/>
        <w:spacing w:after="0" w:line="286" w:lineRule="auto"/>
        <w:rPr>
          <w:sz w:val="20"/>
          <w:szCs w:val="20"/>
          <w:color w:val="auto"/>
        </w:rPr>
      </w:pPr>
      <w:r>
        <w:rPr>
          <w:rFonts w:ascii="Arial" w:cs="Arial" w:eastAsia="Arial" w:hAnsi="Arial"/>
          <w:sz w:val="17"/>
          <w:szCs w:val="17"/>
          <w:color w:val="auto"/>
        </w:rPr>
        <w:t>The Company may also perform research and development activities under the collaboration agreements where the Company may be granted licenses from its collaboration partners. Contractual payments to the other party in collaboration agreements and costs incurred by the Company are recognized on a gross basis in research and development expenses. Royalties and license payments are recorded as due.</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When the Company enters into collaboration arrangements, the Company assesses whether the arrangement falls within the scope of ASC</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based on whether the arrangement involves joint operating activities and whether both parties would be active participants and would be exposed to significant risks and rewards of the arrangement. To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6" w:name="page17"/>
    <w:bookmarkEnd w:id="16"/>
    <w:p>
      <w:pPr>
        <w:ind w:right="340"/>
        <w:spacing w:after="0" w:line="277" w:lineRule="auto"/>
        <w:rPr>
          <w:sz w:val="20"/>
          <w:szCs w:val="20"/>
          <w:color w:val="auto"/>
        </w:rPr>
      </w:pPr>
      <w:r>
        <w:rPr>
          <w:rFonts w:ascii="Arial" w:cs="Arial" w:eastAsia="Arial" w:hAnsi="Arial"/>
          <w:sz w:val="18"/>
          <w:szCs w:val="18"/>
          <w:color w:val="auto"/>
        </w:rPr>
        <w:t xml:space="preserve">extent that the arrangement falls within the scope of ASC 808, the Company assesses whether the payments between the parties fall within the scope of other accounting literature such as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w:t>
      </w:r>
    </w:p>
    <w:p>
      <w:pPr>
        <w:spacing w:after="0" w:line="62" w:lineRule="exact"/>
        <w:rPr>
          <w:sz w:val="20"/>
          <w:szCs w:val="20"/>
          <w:color w:val="auto"/>
        </w:rPr>
      </w:pPr>
    </w:p>
    <w:p>
      <w:pPr>
        <w:ind w:right="160" w:firstLine="500"/>
        <w:spacing w:after="0" w:line="277" w:lineRule="auto"/>
        <w:rPr>
          <w:sz w:val="20"/>
          <w:szCs w:val="20"/>
          <w:color w:val="auto"/>
        </w:rPr>
      </w:pPr>
      <w:r>
        <w:rPr>
          <w:rFonts w:ascii="Arial" w:cs="Arial" w:eastAsia="Arial" w:hAnsi="Arial"/>
          <w:sz w:val="18"/>
          <w:szCs w:val="18"/>
          <w:color w:val="auto"/>
        </w:rPr>
        <w:t>During the three and nine months ended September 30, 2021 and 2020, no milestones were met and no royalties were due; therefore, the Company did not pay or expense any milestone or royalties.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80" w:firstLine="382"/>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380" w:right="140"/>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Level 1 quoted prices), such as quoted prices in active markets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for identical or similar assets or liabilities, or other inputs that are observable or can be corroborated by observable market data.</w:t>
      </w:r>
    </w:p>
    <w:p>
      <w:pPr>
        <w:spacing w:after="0" w:line="76" w:lineRule="exact"/>
        <w:rPr>
          <w:sz w:val="20"/>
          <w:szCs w:val="20"/>
          <w:color w:val="auto"/>
        </w:rPr>
      </w:pPr>
    </w:p>
    <w:p>
      <w:pPr>
        <w:ind w:left="380" w:right="50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that are significant to determining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including pricing models, discounted cash flow methodologies and similar techniques.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The Company’s stock-based awards consist of restricted stock awards, stock options and the employee stock purchase plan. For stock-based awards issued to employees and nonemployees with service-based vesting, the Company measures the estimated fair value of the stock-based awards on the date of grant and recognizes compensation expense for those awards over the requisite service period, which is generally the vesting period of the respective award. The Company has granted certain options with performance-based vesting for which expense is recognized over the explicit service period when achievement of the performance-based milestones is deemed probable. The Company uses judgement to determine whether and, if so, how many awards are deemed probable of vesting at each reporting period. The fair value of stock-based awards with non-market performance conditions is estimated on the grant date. The Company records expense for awards with service-based vesting using the straight-line method and for awards with performance conditions utilizing an accelerated attribution method. The Company accounts for forfeitures as they occur.</w:t>
      </w:r>
    </w:p>
    <w:p>
      <w:pPr>
        <w:spacing w:after="0" w:line="178" w:lineRule="exact"/>
        <w:rPr>
          <w:sz w:val="20"/>
          <w:szCs w:val="20"/>
          <w:color w:val="auto"/>
        </w:rPr>
      </w:pPr>
    </w:p>
    <w:p>
      <w:pPr>
        <w:ind w:right="400" w:firstLine="382"/>
        <w:spacing w:after="0" w:line="277" w:lineRule="auto"/>
        <w:rPr>
          <w:sz w:val="20"/>
          <w:szCs w:val="20"/>
          <w:color w:val="auto"/>
        </w:rPr>
      </w:pPr>
      <w:r>
        <w:rPr>
          <w:rFonts w:ascii="Arial" w:cs="Arial" w:eastAsia="Arial" w:hAnsi="Arial"/>
          <w:sz w:val="18"/>
          <w:szCs w:val="18"/>
          <w:color w:val="auto"/>
        </w:rPr>
        <w:t>The Company classifies stock-based compensation expense in its condensed consolidated statements of operations and comprehensive loss in the same manner in which the award recipient’s cash compensation costs are classified.</w:t>
      </w:r>
    </w:p>
    <w:p>
      <w:pPr>
        <w:spacing w:after="0" w:line="170"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The fair value of each restricted stock award is determined based on the number of shares granted and the value of the Company’s common stock on the date of grant. The fair value of each stock option award is estimated on the date of grant using the Black-Scholes option pricing model. The Black-Scholes option-pricing model requires the use of a number of assumptions including the fair value of the common stock, expected volatility, risk-free interest rate, expected dividends, and expected term of the option. The Company had been a private company prior to the IPO and lacks company-specific historical and implied fair value information. Therefore, the board of directors of the Company considered numerous objective and subjective factors to determine the fair value of the Company’s common stock options at each meeting in which awards were approved. The factors considered include, but are not limited to (i) the results of contemporaneous independent third-party valuations of the Company’s common stock and the prices, rights, preferences and privileges of the Company’s redeemable convertible preferred stock relative to those of its common stock; (ii) the lack of marketability of the Company’s common stock; (iii) actual operating and financial results; (iv) current business conditions and projections; (v) the likelihood of achieving a liquidity event, such as an initial public offering or sale of the Company, given prevailing market conditions, and (vi) precedent transactions involving the Company’s shares.</w:t>
      </w:r>
    </w:p>
    <w:p>
      <w:pPr>
        <w:spacing w:after="0" w:line="182" w:lineRule="exact"/>
        <w:rPr>
          <w:sz w:val="20"/>
          <w:szCs w:val="20"/>
          <w:color w:val="auto"/>
        </w:rPr>
      </w:pPr>
    </w:p>
    <w:p>
      <w:pPr>
        <w:ind w:right="140" w:firstLine="382"/>
        <w:spacing w:after="0" w:line="273" w:lineRule="auto"/>
        <w:rPr>
          <w:sz w:val="20"/>
          <w:szCs w:val="20"/>
          <w:color w:val="auto"/>
        </w:rPr>
      </w:pPr>
      <w:r>
        <w:rPr>
          <w:rFonts w:ascii="Arial" w:cs="Arial" w:eastAsia="Arial" w:hAnsi="Arial"/>
          <w:sz w:val="17"/>
          <w:szCs w:val="17"/>
          <w:color w:val="auto"/>
        </w:rPr>
        <w:t>The Company determined the expected stock volatility using a weighted average of the historical volatility of a group of guideline companies that issued options with substantially similar terms, and expects to continue to do so until such time as the Company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80" w:firstLine="382"/>
        <w:spacing w:after="0" w:line="277" w:lineRule="auto"/>
        <w:rPr>
          <w:sz w:val="20"/>
          <w:szCs w:val="20"/>
          <w:color w:val="auto"/>
        </w:rPr>
      </w:pPr>
      <w:r>
        <w:rPr>
          <w:rFonts w:ascii="Arial" w:cs="Arial" w:eastAsia="Arial" w:hAnsi="Arial"/>
          <w:sz w:val="18"/>
          <w:szCs w:val="18"/>
          <w:color w:val="auto"/>
        </w:rPr>
        <w:t>The fair value of the employee stock purchase plan (ESPP) is determined on the date the offering period begins using a Black-Scholes option-pricing model and similar assumptions for stock options as described above.</w:t>
      </w:r>
    </w:p>
    <w:p>
      <w:pPr>
        <w:spacing w:after="0" w:line="170" w:lineRule="exact"/>
        <w:rPr>
          <w:sz w:val="20"/>
          <w:szCs w:val="20"/>
          <w:color w:val="auto"/>
        </w:rPr>
      </w:pPr>
    </w:p>
    <w:p>
      <w:pPr>
        <w:ind w:right="60" w:firstLine="382"/>
        <w:spacing w:after="0" w:line="342" w:lineRule="auto"/>
        <w:rPr>
          <w:sz w:val="20"/>
          <w:szCs w:val="20"/>
          <w:color w:val="auto"/>
        </w:rPr>
      </w:pPr>
      <w:r>
        <w:rPr>
          <w:rFonts w:ascii="Arial" w:cs="Arial" w:eastAsia="Arial" w:hAnsi="Arial"/>
          <w:sz w:val="16"/>
          <w:szCs w:val="16"/>
          <w:color w:val="auto"/>
        </w:rPr>
        <w:t>See Note 9 for the assumptions used by the Company in determining the grant date fair value of stock-based awards granted, as well as a summary of the stock-based award activity under the Company’s stock-based compensation plan, for the nine months ended September 30, 2021 and 2020.</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620" w:firstLine="382"/>
        <w:spacing w:after="0" w:line="342"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24" w:lineRule="exact"/>
        <w:rPr>
          <w:sz w:val="20"/>
          <w:szCs w:val="20"/>
          <w:color w:val="auto"/>
        </w:rPr>
      </w:pPr>
    </w:p>
    <w:p>
      <w:pPr>
        <w:ind w:right="60" w:firstLine="382"/>
        <w:spacing w:after="0" w:line="279" w:lineRule="auto"/>
        <w:rPr>
          <w:sz w:val="20"/>
          <w:szCs w:val="20"/>
          <w:color w:val="auto"/>
        </w:rPr>
      </w:pPr>
      <w:r>
        <w:rPr>
          <w:rFonts w:ascii="Arial" w:cs="Arial" w:eastAsia="Arial" w:hAnsi="Arial"/>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early exercise of stock options, unvested restricted stock subject to repurchase, warrants and convertible notes are considered to be potentially dilutive securities.</w:t>
      </w:r>
    </w:p>
    <w:p>
      <w:pPr>
        <w:spacing w:after="0" w:line="171" w:lineRule="exact"/>
        <w:rPr>
          <w:sz w:val="20"/>
          <w:szCs w:val="20"/>
          <w:color w:val="auto"/>
        </w:rPr>
      </w:pPr>
    </w:p>
    <w:p>
      <w:pPr>
        <w:ind w:right="60" w:firstLine="382"/>
        <w:spacing w:after="0" w:line="275" w:lineRule="auto"/>
        <w:rPr>
          <w:sz w:val="20"/>
          <w:szCs w:val="20"/>
          <w:color w:val="auto"/>
        </w:rPr>
      </w:pPr>
      <w:r>
        <w:rPr>
          <w:rFonts w:ascii="Arial" w:cs="Arial" w:eastAsia="Arial" w:hAnsi="Arial"/>
          <w:sz w:val="17"/>
          <w:szCs w:val="17"/>
          <w:color w:val="auto"/>
        </w:rPr>
        <w:t>The Company applies the two-class method to calculate its basic and diluted net loss per share as the Company has issued shares that meet the definition of participating securities. The two-class method is an earnings allocation formula that treats a participating security as having rights to earnings that otherwise would have been available to common stockholders. The 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w:t>
      </w:r>
    </w:p>
    <w:p>
      <w:pPr>
        <w:spacing w:after="0" w:line="176" w:lineRule="exact"/>
        <w:rPr>
          <w:sz w:val="20"/>
          <w:szCs w:val="20"/>
          <w:color w:val="auto"/>
        </w:rPr>
      </w:pPr>
    </w:p>
    <w:p>
      <w:pPr>
        <w:ind w:right="500" w:firstLine="382"/>
        <w:spacing w:after="0" w:line="277" w:lineRule="auto"/>
        <w:rPr>
          <w:sz w:val="20"/>
          <w:szCs w:val="20"/>
          <w:color w:val="auto"/>
        </w:rPr>
      </w:pPr>
      <w:r>
        <w:rPr>
          <w:rFonts w:ascii="Arial" w:cs="Arial" w:eastAsia="Arial" w:hAnsi="Arial"/>
          <w:sz w:val="18"/>
          <w:szCs w:val="18"/>
          <w:color w:val="auto"/>
        </w:rPr>
        <w:t>Accordingly, in periods in which the Company reports a net loss, diluted net loss per share is the same as basic net loss per share, since dilutive common shares are not assumed to have been issued if their effect is anti-dilutive.</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310"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components of property and equipment as of September 30, 2021 and December 31, 2020 were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Lab equipment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4,833</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 under construction</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at cost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(6,534)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(4,243)</w:t>
            </w:r>
          </w:p>
        </w:tc>
      </w:tr>
      <w:tr>
        <w:trPr>
          <w:trHeight w:val="223"/>
        </w:trPr>
        <w:tc>
          <w:tcPr>
            <w:tcW w:w="53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8,007</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42" w:lineRule="exact"/>
        <w:rPr>
          <w:sz w:val="20"/>
          <w:szCs w:val="20"/>
          <w:color w:val="auto"/>
        </w:rPr>
      </w:pPr>
    </w:p>
    <w:p>
      <w:pPr>
        <w:jc w:val="both"/>
        <w:ind w:right="180" w:firstLine="382"/>
        <w:spacing w:after="0" w:line="263" w:lineRule="auto"/>
        <w:rPr>
          <w:sz w:val="20"/>
          <w:szCs w:val="20"/>
          <w:color w:val="auto"/>
        </w:rPr>
      </w:pPr>
      <w:r>
        <w:rPr>
          <w:rFonts w:ascii="Arial" w:cs="Arial" w:eastAsia="Arial" w:hAnsi="Arial"/>
          <w:sz w:val="18"/>
          <w:szCs w:val="18"/>
          <w:color w:val="auto"/>
        </w:rPr>
        <w:t>Depreciation expense was $765,000 and $2.3 million for the three and nine months ended September 30, 2021, respectively, and $708,000 and $2.0 million for the three and nine months ended September 30, 2020, respectively. Finance leases are also included in property and equipment as vehicles on the condensed consolidated balance sheets (Note 6).</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8" w:name="page19"/>
    <w:bookmarkEnd w:id="18"/>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As of September 30, 2021 and December 31, 2020, amortized cost, gross unrealized gains and losses, and estimated fair values of total fixed-maturity securities were as follows: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FF0FC"/>
          </w:tcPr>
          <w:p>
            <w:pPr>
              <w:spacing w:after="0"/>
              <w:rPr>
                <w:sz w:val="19"/>
                <w:szCs w:val="19"/>
                <w:color w:val="auto"/>
              </w:rPr>
            </w:pPr>
          </w:p>
        </w:tc>
      </w:tr>
      <w:tr>
        <w:trPr>
          <w:trHeight w:val="466"/>
        </w:trPr>
        <w:tc>
          <w:tcPr>
            <w:tcW w:w="5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Held-to-maturity securities:</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U.S. Treasury bonds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U.S. Treasury bonds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23,144</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fair value are related to changes in market interest rates. The Company expects to collect all contractual principal and interest payments.</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maturities of securities available-for-sale as of September 30, 2021:</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Available-for-sale</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42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Amounts maturing in:</w:t>
            </w:r>
          </w:p>
        </w:tc>
        <w:tc>
          <w:tcPr>
            <w:tcW w:w="25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One year or less</w:t>
            </w:r>
          </w:p>
        </w:tc>
        <w:tc>
          <w:tcPr>
            <w:tcW w:w="2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2,450</w:t>
            </w:r>
          </w:p>
        </w:tc>
        <w:tc>
          <w:tcPr>
            <w:tcW w:w="260" w:type="dxa"/>
            <w:vAlign w:val="bottom"/>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More than one year</w:t>
            </w:r>
          </w:p>
        </w:tc>
        <w:tc>
          <w:tcPr>
            <w:tcW w:w="25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240" w:type="dxa"/>
            <w:vAlign w:val="bottom"/>
          </w:tcPr>
          <w:p>
            <w:pPr>
              <w:ind w:left="480"/>
              <w:spacing w:after="0"/>
              <w:rPr>
                <w:sz w:val="20"/>
                <w:szCs w:val="20"/>
                <w:color w:val="auto"/>
              </w:rPr>
            </w:pPr>
            <w:r>
              <w:rPr>
                <w:rFonts w:ascii="Arial" w:cs="Arial" w:eastAsia="Arial" w:hAnsi="Arial"/>
                <w:sz w:val="18"/>
                <w:szCs w:val="18"/>
                <w:color w:val="auto"/>
              </w:rPr>
              <w:t>Total investments</w:t>
            </w:r>
          </w:p>
        </w:tc>
        <w:tc>
          <w:tcPr>
            <w:tcW w:w="2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2,942</w:t>
            </w:r>
          </w:p>
        </w:tc>
        <w:tc>
          <w:tcPr>
            <w:tcW w:w="260" w:type="dxa"/>
            <w:vAlign w:val="bottom"/>
          </w:tcPr>
          <w:p>
            <w:pPr>
              <w:spacing w:after="0"/>
              <w:rPr>
                <w:sz w:val="24"/>
                <w:szCs w:val="24"/>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382"/>
        <w:spacing w:after="0" w:line="263" w:lineRule="auto"/>
        <w:rPr>
          <w:sz w:val="20"/>
          <w:szCs w:val="20"/>
          <w:color w:val="auto"/>
        </w:rPr>
      </w:pPr>
      <w:r>
        <w:rPr>
          <w:rFonts w:ascii="Arial" w:cs="Arial" w:eastAsia="Arial" w:hAnsi="Arial"/>
          <w:sz w:val="18"/>
          <w:szCs w:val="18"/>
          <w:color w:val="auto"/>
        </w:rPr>
        <w:t>The Company recorded interest income of $20,000 and $197,000 for the three and nine months ended September 30, 2021, respectively, and $234,000 and $985,000 for the three and nine months ended September 30, 2020, respectively, as a component of interest and other income (expense), net on the Company’s condensed consolidated statement of operations and comprehensive loss.</w:t>
      </w:r>
    </w:p>
    <w:p>
      <w:pPr>
        <w:spacing w:after="0" w:line="28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5.</w:t>
        <w:tab/>
        <w:t>Accrued liabilities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liabilities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5"/>
              <w:spacing w:after="0"/>
              <w:rPr>
                <w:sz w:val="20"/>
                <w:szCs w:val="20"/>
                <w:color w:val="auto"/>
              </w:rPr>
            </w:pPr>
            <w:r>
              <w:rPr>
                <w:rFonts w:ascii="Arial" w:cs="Arial" w:eastAsia="Arial" w:hAnsi="Arial"/>
                <w:sz w:val="14"/>
                <w:szCs w:val="14"/>
                <w:b w:val="1"/>
                <w:bCs w:val="1"/>
                <w:color w:val="auto"/>
                <w:w w:val="90"/>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420" w:type="dxa"/>
            <w:vAlign w:val="bottom"/>
            <w:tcBorders>
              <w:bottom w:val="single" w:sz="8" w:color="CFF0FC"/>
            </w:tcBorders>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9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7,274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Accrued payables</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8,554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Liability for early exercised stock options</w:t>
            </w:r>
          </w:p>
        </w:tc>
        <w:tc>
          <w:tcPr>
            <w:tcW w:w="1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569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16,564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bottom w:val="single" w:sz="8" w:color="CFF0FC"/>
            </w:tcBorders>
            <w:vMerge w:val="restart"/>
          </w:tcPr>
          <w:p>
            <w:pPr>
              <w:jc w:val="right"/>
              <w:ind w:right="125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firstLine="382"/>
        <w:spacing w:after="0" w:line="296" w:lineRule="auto"/>
        <w:rPr>
          <w:sz w:val="20"/>
          <w:szCs w:val="20"/>
          <w:color w:val="auto"/>
        </w:rPr>
      </w:pPr>
      <w:r>
        <w:rPr>
          <w:rFonts w:ascii="Arial" w:cs="Arial" w:eastAsia="Arial" w:hAnsi="Arial"/>
          <w:sz w:val="16"/>
          <w:szCs w:val="16"/>
          <w:color w:val="auto"/>
        </w:rPr>
        <w:t>The Company has operating and finance leases for corporate offices, research and development facilities, and certain vehicles. These leases have remaining lease terms of four to eight and a half years, some of which include options to extend the leases for five to eight years. The Company has determined that it is not reasonably certain to exercise the options under any leases. The lease of research and development facilities includes costs for utilities and common area maintenance, which have been included in the calculation of lease payments. Differences between lease payments as measured at lease inception and variations in monthly payments will be recognized as operating expenses in the period in which the obligation is incurred.</w:t>
      </w:r>
    </w:p>
    <w:p>
      <w:pPr>
        <w:spacing w:after="0" w:line="161"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Leases with an initial term of 12 months or less are not recorded on the balance sheet, and the Company recognizes lease expense for these leases on a straight-line basis over the lease terms. Leases with terms greater than 12 months are included in operating lease ROU assets and operating lease liabilities in the Company’s condensed consolidated balance sheets as of September 30, 2021 and December 31, 2020. Lease expense for lease payments is recognized on a straight-line basis over the lease term.</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Maturities of lease liabilities as of September 30, 2021 and are as follows:</w:t>
      </w: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Finance</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Lease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2860" w:type="dxa"/>
            <w:vAlign w:val="bottom"/>
          </w:tcPr>
          <w:p>
            <w:pPr>
              <w:ind w:left="240"/>
              <w:spacing w:after="0"/>
              <w:rPr>
                <w:sz w:val="20"/>
                <w:szCs w:val="20"/>
                <w:color w:val="auto"/>
              </w:rPr>
            </w:pPr>
            <w:r>
              <w:rPr>
                <w:rFonts w:ascii="Arial" w:cs="Arial" w:eastAsia="Arial" w:hAnsi="Arial"/>
                <w:sz w:val="18"/>
                <w:szCs w:val="18"/>
                <w:color w:val="auto"/>
              </w:rPr>
              <w:t>2021, remainder</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704</w:t>
            </w:r>
          </w:p>
        </w:tc>
        <w:tc>
          <w:tcPr>
            <w:tcW w:w="20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2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2860" w:type="dxa"/>
            <w:vAlign w:val="bottom"/>
          </w:tcPr>
          <w:p>
            <w:pPr>
              <w:ind w:left="2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2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2860" w:type="dxa"/>
            <w:vAlign w:val="bottom"/>
          </w:tcPr>
          <w:p>
            <w:pPr>
              <w:ind w:left="2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2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3,693</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ind w:left="132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Lease liabilities net of current portion</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lease expense were as follows:</w:t>
            </w: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8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right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1,497</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ind w:left="1320"/>
              <w:spacing w:after="0"/>
              <w:rPr>
                <w:sz w:val="20"/>
                <w:szCs w:val="20"/>
                <w:color w:val="auto"/>
              </w:rPr>
            </w:pPr>
            <w:r>
              <w:rPr>
                <w:rFonts w:ascii="Arial" w:cs="Arial" w:eastAsia="Arial" w:hAnsi="Arial"/>
                <w:sz w:val="18"/>
                <w:szCs w:val="18"/>
                <w:color w:val="auto"/>
              </w:rPr>
              <w:t>Finance lease cost:</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28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Amortization of right-of-use assets</w:t>
            </w:r>
          </w:p>
        </w:tc>
        <w:tc>
          <w:tcPr>
            <w:tcW w:w="88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28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Interest on lease liabilities</w:t>
            </w:r>
          </w:p>
        </w:tc>
        <w:tc>
          <w:tcPr>
            <w:tcW w:w="1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finance lease cost</w:t>
            </w:r>
          </w:p>
        </w:tc>
        <w:tc>
          <w:tcPr>
            <w:tcW w:w="1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right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382"/>
        <w:spacing w:after="0" w:line="263" w:lineRule="auto"/>
        <w:rPr>
          <w:sz w:val="20"/>
          <w:szCs w:val="20"/>
          <w:color w:val="auto"/>
        </w:rPr>
      </w:pPr>
      <w:r>
        <w:rPr>
          <w:rFonts w:ascii="Arial" w:cs="Arial" w:eastAsia="Arial" w:hAnsi="Arial"/>
          <w:sz w:val="18"/>
          <w:szCs w:val="18"/>
          <w:color w:val="auto"/>
        </w:rPr>
        <w:t>The Company made payments of $686,000 and $2.0 million during the three and nine months ended September 30, 2021, respectively, and $637,000 and $1.9 million during the three and nine months ended September 30, 2020, respectively, which are included as cash flow from operations on the condensed consolidated statements of cash flows.</w:t>
      </w:r>
    </w:p>
    <w:p>
      <w:pPr>
        <w:spacing w:after="0" w:line="184" w:lineRule="exact"/>
        <w:rPr>
          <w:sz w:val="20"/>
          <w:szCs w:val="20"/>
          <w:color w:val="auto"/>
        </w:rPr>
      </w:pPr>
    </w:p>
    <w:p>
      <w:pPr>
        <w:ind w:right="500" w:firstLine="382"/>
        <w:spacing w:after="0" w:line="342" w:lineRule="auto"/>
        <w:rPr>
          <w:sz w:val="20"/>
          <w:szCs w:val="20"/>
          <w:color w:val="auto"/>
        </w:rPr>
      </w:pPr>
      <w:r>
        <w:rPr>
          <w:rFonts w:ascii="Arial" w:cs="Arial" w:eastAsia="Arial" w:hAnsi="Arial"/>
          <w:sz w:val="16"/>
          <w:szCs w:val="16"/>
          <w:color w:val="auto"/>
        </w:rPr>
        <w:t>As of September 30, 2021 and December 31, 2020, $305,000 and $296,000, respectively, of finance lease ROU assets were presented as part of property and equipment on the condensed consolidated balance sheet with accumulated amortization of $176,000 and $107,000, respectively.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0" w:name="page21"/>
    <w:bookmarkEnd w:id="20"/>
    <w:p>
      <w:pPr>
        <w:ind w:left="380"/>
        <w:spacing w:after="0"/>
        <w:rPr>
          <w:sz w:val="20"/>
          <w:szCs w:val="20"/>
          <w:color w:val="auto"/>
        </w:rPr>
      </w:pPr>
      <w:r>
        <w:rPr>
          <w:rFonts w:ascii="Arial" w:cs="Arial" w:eastAsia="Arial" w:hAnsi="Arial"/>
          <w:sz w:val="18"/>
          <w:szCs w:val="18"/>
          <w:color w:val="auto"/>
        </w:rPr>
        <w:t>Additional information related to the Company’s leases was as follows as of September 30, 2021 and December 31, 2020:</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524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8"/>
                <w:szCs w:val="18"/>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Weighted-average remaining lease term (years)</w:t>
            </w:r>
          </w:p>
        </w:tc>
        <w:tc>
          <w:tcPr>
            <w:tcW w:w="1080" w:type="dxa"/>
            <w:vAlign w:val="bottom"/>
          </w:tcPr>
          <w:p>
            <w:pPr>
              <w:ind w:left="740"/>
              <w:spacing w:after="0"/>
              <w:rPr>
                <w:sz w:val="20"/>
                <w:szCs w:val="20"/>
                <w:color w:val="auto"/>
              </w:rPr>
            </w:pPr>
            <w:r>
              <w:rPr>
                <w:rFonts w:ascii="Arial" w:cs="Arial" w:eastAsia="Arial" w:hAnsi="Arial"/>
                <w:sz w:val="18"/>
                <w:szCs w:val="18"/>
                <w:color w:val="auto"/>
                <w:w w:val="91"/>
              </w:rPr>
              <w:t>5.29</w:t>
            </w:r>
          </w:p>
        </w:tc>
        <w:tc>
          <w:tcPr>
            <w:tcW w:w="300" w:type="dxa"/>
            <w:vAlign w:val="bottom"/>
          </w:tcPr>
          <w:p>
            <w:pPr>
              <w:spacing w:after="0"/>
              <w:rPr>
                <w:sz w:val="19"/>
                <w:szCs w:val="19"/>
                <w:color w:val="auto"/>
              </w:rPr>
            </w:pPr>
          </w:p>
        </w:tc>
        <w:tc>
          <w:tcPr>
            <w:tcW w:w="1060" w:type="dxa"/>
            <w:vAlign w:val="bottom"/>
          </w:tcPr>
          <w:p>
            <w:pPr>
              <w:ind w:left="720"/>
              <w:spacing w:after="0"/>
              <w:rPr>
                <w:sz w:val="20"/>
                <w:szCs w:val="20"/>
                <w:color w:val="auto"/>
              </w:rPr>
            </w:pPr>
            <w:r>
              <w:rPr>
                <w:rFonts w:ascii="Arial" w:cs="Arial" w:eastAsia="Arial" w:hAnsi="Arial"/>
                <w:sz w:val="18"/>
                <w:szCs w:val="18"/>
                <w:color w:val="auto"/>
                <w:w w:val="91"/>
              </w:rPr>
              <w:t>5.97</w:t>
            </w:r>
          </w:p>
        </w:tc>
        <w:tc>
          <w:tcPr>
            <w:tcW w:w="18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Weighted-average discount rate</w:t>
            </w:r>
          </w:p>
        </w:tc>
        <w:tc>
          <w:tcPr>
            <w:tcW w:w="13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9.41%</w:t>
            </w:r>
          </w:p>
        </w:tc>
        <w:tc>
          <w:tcPr>
            <w:tcW w:w="12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7"/>
              </w:rPr>
              <w:t>9.35%</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Finance Lease: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Weighted-average remaining lease term (years)</w:t>
            </w:r>
          </w:p>
        </w:tc>
        <w:tc>
          <w:tcPr>
            <w:tcW w:w="108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1"/>
              </w:rPr>
              <w:t>1.96</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1"/>
              </w:rPr>
              <w:t>2.68</w:t>
            </w:r>
          </w:p>
        </w:tc>
        <w:tc>
          <w:tcPr>
            <w:tcW w:w="18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Weighted-average discount rate</w:t>
            </w:r>
          </w:p>
        </w:tc>
        <w:tc>
          <w:tcPr>
            <w:tcW w:w="1380" w:type="dxa"/>
            <w:vAlign w:val="bottom"/>
            <w:gridSpan w:val="2"/>
          </w:tcPr>
          <w:p>
            <w:pPr>
              <w:ind w:left="760"/>
              <w:spacing w:after="0"/>
              <w:rPr>
                <w:sz w:val="20"/>
                <w:szCs w:val="20"/>
                <w:color w:val="auto"/>
              </w:rPr>
            </w:pPr>
            <w:r>
              <w:rPr>
                <w:rFonts w:ascii="Arial" w:cs="Arial" w:eastAsia="Arial" w:hAnsi="Arial"/>
                <w:sz w:val="18"/>
                <w:szCs w:val="18"/>
                <w:color w:val="auto"/>
              </w:rPr>
              <w:t>3.11%</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97"/>
              </w:rPr>
              <w:t>3.15%</w:t>
            </w:r>
          </w:p>
        </w:tc>
      </w:tr>
    </w:tbl>
    <w:p>
      <w:pPr>
        <w:spacing w:after="0" w:line="345" w:lineRule="exact"/>
        <w:rPr>
          <w:sz w:val="20"/>
          <w:szCs w:val="20"/>
          <w:color w:val="auto"/>
        </w:rPr>
      </w:pPr>
    </w:p>
    <w:p>
      <w:pPr>
        <w:ind w:left="380" w:right="5240" w:hanging="372"/>
        <w:spacing w:after="0" w:line="378" w:lineRule="auto"/>
        <w:tabs>
          <w:tab w:leader="none" w:pos="3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 liabilities and redeemable convertible preferred stock liability </w:t>
      </w:r>
      <w:r>
        <w:rPr>
          <w:rFonts w:ascii="Arial" w:cs="Arial" w:eastAsia="Arial" w:hAnsi="Arial"/>
          <w:sz w:val="18"/>
          <w:szCs w:val="18"/>
          <w:b w:val="1"/>
          <w:bCs w:val="1"/>
          <w:i w:val="1"/>
          <w:iCs w:val="1"/>
          <w:color w:val="auto"/>
        </w:rPr>
        <w:t>Warrants</w:t>
      </w:r>
    </w:p>
    <w:p>
      <w:pPr>
        <w:ind w:right="180" w:firstLine="382"/>
        <w:spacing w:after="0" w:line="263" w:lineRule="auto"/>
        <w:rPr>
          <w:sz w:val="20"/>
          <w:szCs w:val="20"/>
          <w:color w:val="auto"/>
        </w:rPr>
      </w:pPr>
      <w:r>
        <w:rPr>
          <w:rFonts w:ascii="Arial" w:cs="Arial" w:eastAsia="Arial" w:hAnsi="Arial"/>
          <w:sz w:val="18"/>
          <w:szCs w:val="18"/>
          <w:color w:val="auto"/>
        </w:rPr>
        <w:t>In connection with the issuance of certain notes, lenders were issued Warrants to purchase 134,112 shares of Series A. The Warrants had a coverage percentage of 25% of the principal amount of the notes and had a ten-year expiration date from the applicable closing date of April 20, 2018 or June 6, 2018.</w:t>
      </w:r>
    </w:p>
    <w:p>
      <w:pPr>
        <w:spacing w:after="0" w:line="184" w:lineRule="exact"/>
        <w:rPr>
          <w:sz w:val="20"/>
          <w:szCs w:val="20"/>
          <w:color w:val="auto"/>
        </w:rPr>
      </w:pPr>
    </w:p>
    <w:p>
      <w:pPr>
        <w:ind w:right="140" w:firstLine="382"/>
        <w:spacing w:after="0" w:line="308" w:lineRule="auto"/>
        <w:rPr>
          <w:sz w:val="20"/>
          <w:szCs w:val="20"/>
          <w:color w:val="auto"/>
        </w:rPr>
      </w:pPr>
      <w:r>
        <w:rPr>
          <w:rFonts w:ascii="Arial" w:cs="Arial" w:eastAsia="Arial" w:hAnsi="Arial"/>
          <w:sz w:val="18"/>
          <w:szCs w:val="18"/>
          <w:color w:val="auto"/>
        </w:rPr>
        <w:t>The underlying shares issuable upon the exercise of the Warrants were eligible to be exercised into the next round of equity financing. The Warrants became exercisable into shares of Series A for an exercise price of $9.32 per share.</w:t>
      </w:r>
    </w:p>
    <w:p>
      <w:pPr>
        <w:spacing w:after="0" w:line="144" w:lineRule="exact"/>
        <w:rPr>
          <w:sz w:val="20"/>
          <w:szCs w:val="20"/>
          <w:color w:val="auto"/>
        </w:rPr>
      </w:pPr>
    </w:p>
    <w:p>
      <w:pPr>
        <w:ind w:firstLine="382"/>
        <w:spacing w:after="0" w:line="269" w:lineRule="auto"/>
        <w:rPr>
          <w:sz w:val="20"/>
          <w:szCs w:val="20"/>
          <w:color w:val="auto"/>
        </w:rPr>
      </w:pPr>
      <w:r>
        <w:rPr>
          <w:rFonts w:ascii="Arial" w:cs="Arial" w:eastAsia="Arial" w:hAnsi="Arial"/>
          <w:sz w:val="18"/>
          <w:szCs w:val="18"/>
          <w:color w:val="auto"/>
        </w:rPr>
        <w:t>The Company recorded the Warrants initially at fair value as derivative liabilities on the consolidated balance sheet with the value being allocated to the notes as a debt discount. The fair value of the Warrants upon issuance on April 20, 2018 and June 6, 2018, was $0.7 million and $238,000, respectively. As of September 30, 2021 and December 31, 2020, due to the IPO in October 2020, all outstanding warrants were automatically exercised for the issuance of Common Stock, and following that exercise, such warrants were no longer outstanding.</w:t>
      </w:r>
    </w:p>
    <w:p>
      <w:pPr>
        <w:spacing w:after="0" w:line="206" w:lineRule="exact"/>
        <w:rPr>
          <w:sz w:val="20"/>
          <w:szCs w:val="20"/>
          <w:color w:val="auto"/>
        </w:rPr>
      </w:pPr>
    </w:p>
    <w:p>
      <w:pPr>
        <w:jc w:val="both"/>
        <w:ind w:right="220" w:firstLine="436"/>
        <w:spacing w:after="0" w:line="311" w:lineRule="auto"/>
        <w:rPr>
          <w:sz w:val="20"/>
          <w:szCs w:val="20"/>
          <w:color w:val="auto"/>
        </w:rPr>
      </w:pPr>
      <w:r>
        <w:rPr>
          <w:rFonts w:ascii="Arial" w:cs="Arial" w:eastAsia="Arial" w:hAnsi="Arial"/>
          <w:sz w:val="16"/>
          <w:szCs w:val="16"/>
          <w:color w:val="auto"/>
        </w:rPr>
        <w:t>As Series A contained a conditional obligation for the Company to repurchase the shares for cash consideration, the Warrants were exercised as of the IPO date, with changes in fair value being recorded on the consolidated statements of operations and comprehensive loss. The Company recorded a change in fair value of derivative liabilities of $240,000 and $296,000 for the three and nine months ended September 30, 2020, respectively.</w:t>
      </w:r>
    </w:p>
    <w:p>
      <w:pPr>
        <w:spacing w:after="0" w:line="25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Redeemable convertible preferred stock liability</w:t>
      </w:r>
    </w:p>
    <w:p>
      <w:pPr>
        <w:spacing w:after="0" w:line="225" w:lineRule="exact"/>
        <w:rPr>
          <w:sz w:val="20"/>
          <w:szCs w:val="20"/>
          <w:color w:val="auto"/>
        </w:rPr>
      </w:pPr>
    </w:p>
    <w:p>
      <w:pPr>
        <w:ind w:right="20" w:firstLine="382"/>
        <w:spacing w:after="0" w:line="257" w:lineRule="auto"/>
        <w:rPr>
          <w:sz w:val="20"/>
          <w:szCs w:val="20"/>
          <w:color w:val="auto"/>
        </w:rPr>
      </w:pPr>
      <w:r>
        <w:rPr>
          <w:rFonts w:ascii="Arial" w:cs="Arial" w:eastAsia="Arial" w:hAnsi="Arial"/>
          <w:sz w:val="18"/>
          <w:szCs w:val="18"/>
          <w:color w:val="auto"/>
        </w:rPr>
        <w:t xml:space="preserve">In connection with the issuance of shares of Series B-1 (Note 8), the Series B-1 preferred stockholders committed to purchase and the Company committed to sell 3,569,630 shares of Series B-2 at a price of $11.20563 per share in a subsequent closing, contingent upon the achievement of certain developmental milestones or a receipt of a waiver of achievement of the milestones. The Redeemable Convertible Preferred Stock Liability is considered a freestanding instrument that qualifies as a liability under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as the Company is committed to issue an instrument that ultimately may require a transfer of assets. The liability is accounted for at fair value and re-measured at each reporting date. On the date of the initial closing, the Company recorded the Redeemable Convertible Preferred Stock Liability at a fair value of $3.2 million. As of September 30, 2021 and December 31, 2020, all of the Series B-2 shares were issued and then, as a result of the IPO, converted to shares of common stock. The Company recorded a change in fair value of derivative liabilities of $11.8 million and $11.4 million for the three and nine months ended September 30, 2020, respectively.</w:t>
      </w:r>
    </w:p>
    <w:p>
      <w:pPr>
        <w:spacing w:after="0" w:line="296" w:lineRule="exact"/>
        <w:rPr>
          <w:sz w:val="20"/>
          <w:szCs w:val="20"/>
          <w:color w:val="auto"/>
        </w:rPr>
      </w:pPr>
    </w:p>
    <w:p>
      <w:pPr>
        <w:ind w:left="380" w:right="9700" w:hanging="372"/>
        <w:spacing w:after="0" w:line="453" w:lineRule="auto"/>
        <w:tabs>
          <w:tab w:leader="none" w:pos="376"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stock </w:t>
      </w:r>
      <w:r>
        <w:rPr>
          <w:rFonts w:ascii="Arial" w:cs="Arial" w:eastAsia="Arial" w:hAnsi="Arial"/>
          <w:sz w:val="15"/>
          <w:szCs w:val="15"/>
          <w:b w:val="1"/>
          <w:bCs w:val="1"/>
          <w:i w:val="1"/>
          <w:iCs w:val="1"/>
          <w:color w:val="auto"/>
        </w:rPr>
        <w:t>Common stock</w:t>
      </w:r>
    </w:p>
    <w:p>
      <w:pPr>
        <w:spacing w:after="0" w:line="1" w:lineRule="exact"/>
        <w:rPr>
          <w:sz w:val="20"/>
          <w:szCs w:val="20"/>
          <w:color w:val="auto"/>
        </w:rPr>
      </w:pPr>
    </w:p>
    <w:p>
      <w:pPr>
        <w:ind w:right="200" w:firstLine="382"/>
        <w:spacing w:after="0" w:line="259" w:lineRule="auto"/>
        <w:rPr>
          <w:sz w:val="20"/>
          <w:szCs w:val="20"/>
          <w:color w:val="auto"/>
        </w:rPr>
      </w:pPr>
      <w:r>
        <w:rPr>
          <w:rFonts w:ascii="Arial" w:cs="Arial" w:eastAsia="Arial" w:hAnsi="Arial"/>
          <w:sz w:val="18"/>
          <w:szCs w:val="18"/>
          <w:color w:val="auto"/>
        </w:rPr>
        <w:t>On October 20, 2020, the certificate of incorporation was amended to increase the total shares of Common Stock authorized for issuance to 320,000,000 and decrease the total shares of preferred stock authorized for issuance to 10,000,000 with a par value of $0.0001 per share. 300,000,000 shares of the Common Stock were designated as “Voting Common Stock” and 20,000,000 shares of the Common Stock were designated as “Non-Voting Common Stock”.</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1" w:name="page22"/>
    <w:bookmarkEnd w:id="21"/>
    <w:p>
      <w:pPr>
        <w:ind w:left="380"/>
        <w:spacing w:after="0"/>
        <w:rPr>
          <w:sz w:val="20"/>
          <w:szCs w:val="20"/>
          <w:color w:val="auto"/>
        </w:rPr>
      </w:pPr>
      <w:r>
        <w:rPr>
          <w:rFonts w:ascii="Arial" w:cs="Arial" w:eastAsia="Arial" w:hAnsi="Arial"/>
          <w:sz w:val="17"/>
          <w:szCs w:val="17"/>
          <w:color w:val="auto"/>
        </w:rPr>
        <w:t>The holders of shares of Voting Common Stock are entitled to one vote for each share of Voting Common Stock at all meetings of stockholders.</w:t>
      </w:r>
    </w:p>
    <w:p>
      <w:pPr>
        <w:spacing w:after="0" w:line="34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August 16, 2018, the Company entered into the Series A Preferred Stock Purchase Agreement for the purchase and sale of Series A for $9.32 per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 The Company received $75.0 million in cash proceeds from the initial purchasers. On September 19, 2018, the Company received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in cash proceeds from subsequent purchasers. Additionally, on the initial closing date, $5.6 million in convertible notes plus accrued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converted into shares of Series A and the notes were subsequently cancelled. The Warrants associated with the convertible notes became exercisable into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Series A. Each share of Series A is convertible into Common Stock on a one-for-one basis. In connection with the issuance of Series A,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incurred $194,000 in issuance costs which have offset amounts reported as temporary equity as of December 31, 2019.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in connection with the Company’s IPO, all shares of Series A converted into Common Stock.</w:t>
      </w:r>
    </w:p>
    <w:p>
      <w:pPr>
        <w:spacing w:after="0" w:line="211" w:lineRule="exact"/>
        <w:rPr>
          <w:sz w:val="20"/>
          <w:szCs w:val="20"/>
          <w:color w:val="auto"/>
        </w:rPr>
      </w:pPr>
    </w:p>
    <w:p>
      <w:pPr>
        <w:ind w:right="20" w:firstLine="386"/>
        <w:spacing w:after="0" w:line="272" w:lineRule="auto"/>
        <w:rPr>
          <w:sz w:val="20"/>
          <w:szCs w:val="20"/>
          <w:color w:val="auto"/>
        </w:rPr>
      </w:pPr>
      <w:r>
        <w:rPr>
          <w:rFonts w:ascii="Arial" w:cs="Arial" w:eastAsia="Arial" w:hAnsi="Arial"/>
          <w:sz w:val="17"/>
          <w:szCs w:val="17"/>
          <w:color w:val="auto"/>
        </w:rPr>
        <w:t>On December 23, 2019, the Company entered into the Series B-1 and Series B-2 Preferred Stock Purchase Agreement (the Series B Purchase Agreement), pursuant to which the investors committed to invest an aggregate amount of up to $125.0 million for the issuance and sale of shares of Series B-1 and Series B-2 (collectively, the Series B), at a price of $10.18690 and $11.20563 per share, respectively. The Company issued 8,344,034 shares of Series B-1 for cash proceeds of $85.0 million at the initial closing. The investors also committed to purchase and the Company committed to sell 3,569,630 shares of Series B-2 in a subsequent closing (the Second Closing), contingent upon achievement by the Company of certain development milestones or a receipt of a waiver of achievement of the milestones. In connection with the issuance of Series B-1, the Company incurred $442,000 in issuance costs which have offset amounts reported as temporary equity as of December 31, 2019.</w:t>
      </w:r>
    </w:p>
    <w:p>
      <w:pPr>
        <w:spacing w:after="0" w:line="177" w:lineRule="exact"/>
        <w:rPr>
          <w:sz w:val="20"/>
          <w:szCs w:val="20"/>
          <w:color w:val="auto"/>
        </w:rPr>
      </w:pPr>
    </w:p>
    <w:p>
      <w:pPr>
        <w:jc w:val="both"/>
        <w:ind w:right="60" w:firstLine="382"/>
        <w:spacing w:after="0" w:line="263" w:lineRule="auto"/>
        <w:rPr>
          <w:sz w:val="20"/>
          <w:szCs w:val="20"/>
          <w:color w:val="auto"/>
        </w:rPr>
      </w:pPr>
      <w:r>
        <w:rPr>
          <w:rFonts w:ascii="Arial" w:cs="Arial" w:eastAsia="Arial" w:hAnsi="Arial"/>
          <w:sz w:val="18"/>
          <w:szCs w:val="18"/>
          <w:color w:val="auto"/>
        </w:rPr>
        <w:t>Prior to the IPO, the Company issued 3,569,630 shares of Series B-2, which upon the closing of the IPO converted into common stock. In connection with the Company’s IPO, all shares of Series B-1 converted into common stock. As of September 30, 2021, there was 10,000,000 shares of preferred stock authorized and no preferred stock issued.</w:t>
      </w:r>
    </w:p>
    <w:p>
      <w:pPr>
        <w:spacing w:after="0" w:line="288" w:lineRule="exact"/>
        <w:rPr>
          <w:sz w:val="20"/>
          <w:szCs w:val="20"/>
          <w:color w:val="auto"/>
        </w:rPr>
      </w:pPr>
    </w:p>
    <w:p>
      <w:pPr>
        <w:ind w:left="380" w:right="8800" w:hanging="372"/>
        <w:spacing w:after="0" w:line="528" w:lineRule="auto"/>
        <w:tabs>
          <w:tab w:leader="none" w:pos="376"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options</w:t>
      </w:r>
    </w:p>
    <w:p>
      <w:pPr>
        <w:spacing w:after="0" w:line="1" w:lineRule="exact"/>
        <w:rPr>
          <w:sz w:val="20"/>
          <w:szCs w:val="20"/>
          <w:color w:val="auto"/>
        </w:rPr>
      </w:pPr>
    </w:p>
    <w:p>
      <w:pPr>
        <w:ind w:right="40" w:firstLine="382"/>
        <w:spacing w:after="0" w:line="290" w:lineRule="auto"/>
        <w:rPr>
          <w:sz w:val="20"/>
          <w:szCs w:val="20"/>
          <w:color w:val="auto"/>
        </w:rPr>
      </w:pPr>
      <w:r>
        <w:rPr>
          <w:rFonts w:ascii="Arial" w:cs="Arial" w:eastAsia="Arial" w:hAnsi="Arial"/>
          <w:sz w:val="17"/>
          <w:szCs w:val="17"/>
          <w:color w:val="auto"/>
        </w:rPr>
        <w:t>During the three and nine months ended September 30, 2021, the Company’s stock option compensation expense was approximately $3.2 million and $9.0 million, respectively. During the three and nine months ended September 30, 2020, the Company’s stock option compensation expense was approximately $926,000 and $1.4 million, respectively. There was no recognized tax benefit in either of the periods. As of September 30, 2021, unamortized expense balance was $35.5 million, to be amortized over a weighted average period of 2.76 years.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 option activity during the nine months ended September 30, 2021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subject</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to 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term (years)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5,488,148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9.57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353,380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22.47</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(90,849)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(109,397)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12.56</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30,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5,641,282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jc w:val="right"/>
              <w:ind w:right="40"/>
              <w:spacing w:after="0"/>
              <w:rPr>
                <w:sz w:val="20"/>
                <w:szCs w:val="20"/>
                <w:color w:val="auto"/>
              </w:rPr>
            </w:pPr>
            <w:r>
              <w:rPr>
                <w:rFonts w:ascii="Arial" w:cs="Arial" w:eastAsia="Arial" w:hAnsi="Arial"/>
                <w:sz w:val="18"/>
                <w:szCs w:val="18"/>
                <w:color w:val="auto"/>
              </w:rPr>
              <w:t>8.86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Options vested and expected to vest as of September 30, 2021</w:t>
            </w:r>
          </w:p>
        </w:tc>
        <w:tc>
          <w:tcPr>
            <w:tcW w:w="1020" w:type="dxa"/>
            <w:vAlign w:val="bottom"/>
          </w:tcPr>
          <w:p>
            <w:pPr>
              <w:jc w:val="right"/>
              <w:spacing w:after="0"/>
              <w:rPr>
                <w:sz w:val="20"/>
                <w:szCs w:val="20"/>
                <w:color w:val="auto"/>
              </w:rPr>
            </w:pPr>
            <w:r>
              <w:rPr>
                <w:rFonts w:ascii="Arial" w:cs="Arial" w:eastAsia="Arial" w:hAnsi="Arial"/>
                <w:sz w:val="18"/>
                <w:szCs w:val="18"/>
                <w:color w:val="auto"/>
              </w:rPr>
              <w:t>5,596,143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12.06</w:t>
            </w:r>
          </w:p>
        </w:tc>
        <w:tc>
          <w:tcPr>
            <w:tcW w:w="22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exercisable as of September 30, 2021</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1,464,792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The weighted-average grant date fair value of options granted was $15.23 and $10.43 per share during the three and nine months ended September 30,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2" w:name="page23"/>
    <w:bookmarkEnd w:id="22"/>
    <w:p>
      <w:pPr>
        <w:ind w:left="38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100" w:firstLine="382"/>
        <w:spacing w:after="0" w:line="292" w:lineRule="auto"/>
        <w:rPr>
          <w:sz w:val="20"/>
          <w:szCs w:val="20"/>
          <w:color w:val="auto"/>
        </w:rPr>
      </w:pPr>
      <w:r>
        <w:rPr>
          <w:rFonts w:ascii="Arial" w:cs="Arial" w:eastAsia="Arial" w:hAnsi="Arial"/>
          <w:sz w:val="17"/>
          <w:szCs w:val="17"/>
          <w:color w:val="auto"/>
        </w:rPr>
        <w:t>During the three and nine months ended September 30, 2021, the Company recorded a total stock-based compensation expense related to the restricted stock awards of $89,000 and $268,000, respectively. During the three and nine months ended September 30, 2020, the Company recorded a total stock-based compensation expense related to the restricted stock awards of $90,000 and $271,000, respectively. As of September 30, 2021, unrecognized stock-based compensation expense related to outstanding unvested shares of restricted stock that are expected to vest were approximately $184,000, expected to be recognized over a weighted-average period of 0.5 years.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Company’s restricted common stock activity for the nine months ended September 30, 2021:</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of Awards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January 1, 2021</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408,411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20"/>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Restricted stock awards granted</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 vested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(251,511)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Issued and unvested as of September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60" w:firstLine="382"/>
        <w:spacing w:after="0" w:line="301" w:lineRule="auto"/>
        <w:rPr>
          <w:sz w:val="20"/>
          <w:szCs w:val="20"/>
          <w:color w:val="auto"/>
        </w:rPr>
      </w:pPr>
      <w:r>
        <w:rPr>
          <w:rFonts w:ascii="Arial" w:cs="Arial" w:eastAsia="Arial" w:hAnsi="Arial"/>
          <w:sz w:val="16"/>
          <w:szCs w:val="16"/>
          <w:color w:val="auto"/>
        </w:rPr>
        <w:t>During the nine months ended September 30, 2021, the Company issued 262,982 shares of common stock, upon exercise of unvested stock options or purchases for unvested restricted stock awards. As of September 30, 2021 and December 31, 2020, there were 280,195 and 396,522 shares of Common Stock held by employees subject to repurchase at an aggregate price of $0.4 million and $0.6 million, respectively. A corresponding liability was recorded and included in accrued expenses on the condensed consolidated balance sheet as of September 30, 2021 and December 31, 2020, respectively.</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three and nine months ended September 30, 2021, the Company recorded a total stock-based compensation expense of $297,000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$546,000, respectively, related to the employee stock purchase plan. No purchase of common stock had been made by the Company as of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Stock-based compensation expense was allocated as follows for the three and nine months ended September 30, 2021 and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680" w:type="dxa"/>
            <w:vAlign w:val="bottom"/>
          </w:tcPr>
          <w:p>
            <w:pPr>
              <w:spacing w:after="0"/>
              <w:rPr>
                <w:sz w:val="16"/>
                <w:szCs w:val="16"/>
                <w:color w:val="auto"/>
              </w:rPr>
            </w:pPr>
          </w:p>
        </w:tc>
      </w:tr>
      <w:tr>
        <w:trPr>
          <w:trHeight w:val="215"/>
        </w:trPr>
        <w:tc>
          <w:tcPr>
            <w:tcW w:w="1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1700" w:type="dxa"/>
            <w:vAlign w:val="bottom"/>
          </w:tcPr>
          <w:p>
            <w:pPr>
              <w:spacing w:after="0"/>
              <w:rPr>
                <w:sz w:val="19"/>
                <w:szCs w:val="19"/>
                <w:color w:val="auto"/>
              </w:rPr>
            </w:pP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9,806</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682"/>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tables present the fair value of the Company’s financial instruments that are measured or disclosed at fair value on a recurring basis:</w:t>
      </w:r>
    </w:p>
    <w:p>
      <w:pPr>
        <w:spacing w:after="0" w:line="253"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Fair Value Measurements</w:t>
      </w:r>
    </w:p>
    <w:p>
      <w:pPr>
        <w:ind w:left="8380"/>
        <w:spacing w:after="0" w:line="236" w:lineRule="auto"/>
        <w:rPr>
          <w:sz w:val="20"/>
          <w:szCs w:val="20"/>
          <w:color w:val="auto"/>
        </w:rPr>
      </w:pPr>
      <w:r>
        <w:rPr>
          <w:rFonts w:ascii="Arial" w:cs="Arial" w:eastAsia="Arial" w:hAnsi="Arial"/>
          <w:sz w:val="14"/>
          <w:szCs w:val="14"/>
          <w:b w:val="1"/>
          <w:bCs w:val="1"/>
          <w:color w:val="auto"/>
        </w:rPr>
        <w:t>as of September 30, 2021</w:t>
      </w:r>
    </w:p>
    <w:tbl>
      <w:tblPr>
        <w:tblLayout w:type="fixed"/>
        <w:tblInd w:w="0" w:type="dxa"/>
        <w:tblCellMar>
          <w:top w:w="0" w:type="dxa"/>
          <w:left w:w="0" w:type="dxa"/>
          <w:bottom w:w="0" w:type="dxa"/>
          <w:right w:w="0" w:type="dxa"/>
        </w:tblCellMar>
      </w:tblPr>
      <w:tr>
        <w:trPr>
          <w:trHeight w:val="155"/>
        </w:trPr>
        <w:tc>
          <w:tcPr>
            <w:tcW w:w="44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2"/>
              </w:rPr>
              <w:t>Level 2</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9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239,734</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Certificates of deposit</w:t>
            </w:r>
          </w:p>
        </w:tc>
        <w:tc>
          <w:tcPr>
            <w:tcW w:w="2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4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242,677</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9"/>
        </w:trPr>
        <w:tc>
          <w:tcPr>
            <w:tcW w:w="4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4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December 31, 2020</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4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9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220,383</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Treasury bonds</w:t>
            </w:r>
          </w:p>
        </w:tc>
        <w:tc>
          <w:tcPr>
            <w:tcW w:w="2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23,144</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4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243,527</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380" w:right="7660" w:hanging="372"/>
        <w:spacing w:after="0" w:line="453" w:lineRule="auto"/>
        <w:tabs>
          <w:tab w:leader="none" w:pos="376"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License and collaboration agreements </w:t>
      </w:r>
      <w:r>
        <w:rPr>
          <w:rFonts w:ascii="Arial" w:cs="Arial" w:eastAsia="Arial" w:hAnsi="Arial"/>
          <w:sz w:val="15"/>
          <w:szCs w:val="15"/>
          <w:b w:val="1"/>
          <w:bCs w:val="1"/>
          <w:i w:val="1"/>
          <w:iCs w:val="1"/>
          <w:color w:val="auto"/>
        </w:rPr>
        <w:t>Agreement with Emory University (Emory)</w:t>
      </w:r>
    </w:p>
    <w:p>
      <w:pPr>
        <w:spacing w:after="0" w:line="1" w:lineRule="exact"/>
        <w:rPr>
          <w:sz w:val="20"/>
          <w:szCs w:val="20"/>
          <w:color w:val="auto"/>
        </w:rPr>
      </w:pPr>
    </w:p>
    <w:p>
      <w:pPr>
        <w:ind w:right="20" w:firstLine="500"/>
        <w:spacing w:after="0" w:line="269" w:lineRule="auto"/>
        <w:rPr>
          <w:sz w:val="20"/>
          <w:szCs w:val="20"/>
          <w:color w:val="auto"/>
        </w:rPr>
      </w:pPr>
      <w:r>
        <w:rPr>
          <w:rFonts w:ascii="Arial" w:cs="Arial" w:eastAsia="Arial" w:hAnsi="Arial"/>
          <w:sz w:val="17"/>
          <w:szCs w:val="17"/>
          <w:color w:val="auto"/>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Beginning in June 2022, the license to such patents will become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179" w:lineRule="exact"/>
        <w:rPr>
          <w:sz w:val="20"/>
          <w:szCs w:val="20"/>
          <w:color w:val="auto"/>
        </w:rPr>
      </w:pPr>
    </w:p>
    <w:p>
      <w:pPr>
        <w:ind w:right="360" w:firstLine="500"/>
        <w:spacing w:after="0" w:line="263" w:lineRule="auto"/>
        <w:rPr>
          <w:sz w:val="20"/>
          <w:szCs w:val="20"/>
          <w:color w:val="auto"/>
        </w:rPr>
      </w:pPr>
      <w:r>
        <w:rPr>
          <w:rFonts w:ascii="Arial" w:cs="Arial" w:eastAsia="Arial" w:hAnsi="Arial"/>
          <w:sz w:val="18"/>
          <w:szCs w:val="18"/>
          <w:color w:val="auto"/>
        </w:rPr>
        <w:t>As consideration for the Emory License Agreement, the Company paid an upfront license fee of $290,000 and issued a convertible note with a principal amount of $600,000. Upon issuance of the Series A in August 2018, the principal and unpaid accrued interest under this convertible note was cancelled and converted into shares of Series A at a conversion price of $9.32 per share.</w:t>
      </w:r>
    </w:p>
    <w:p>
      <w:pPr>
        <w:spacing w:after="0" w:line="184"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$150,000,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terminates one year from the effective date, with the Company having an option to extend for a second year. In connection with the research plan, the Company will provide Emory funding up to $270,000 per year.</w:t>
      </w:r>
    </w:p>
    <w:p>
      <w:pPr>
        <w:spacing w:after="0" w:line="195"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The Company has agreed to pay Emory up to an aggregate of $125.0 million upon the achievement of specified development, regulatory, and commercial milestones, and all ongoing patent costs. During the nine months ended September 30, 2021, the Company had $171,000 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ind w:right="400"/>
        <w:spacing w:after="0" w:line="277" w:lineRule="auto"/>
        <w:rPr>
          <w:sz w:val="20"/>
          <w:szCs w:val="20"/>
          <w:color w:val="auto"/>
        </w:rPr>
      </w:pPr>
      <w:r>
        <w:rPr>
          <w:rFonts w:ascii="Arial" w:cs="Arial" w:eastAsia="Arial" w:hAnsi="Arial"/>
          <w:sz w:val="18"/>
          <w:szCs w:val="18"/>
          <w:color w:val="auto"/>
        </w:rPr>
        <w:t>more than three years after the effective date. During the three and nine months ended September 30, 2021 and 2020, the Company made no payments associated with royalties and recognized no expense or accruals.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Agreement with Luxna Biotech Co., Ltd. (Luxna)</w:t>
      </w:r>
    </w:p>
    <w:p>
      <w:pPr>
        <w:spacing w:after="0" w:line="117" w:lineRule="exact"/>
        <w:rPr>
          <w:sz w:val="20"/>
          <w:szCs w:val="20"/>
          <w:color w:val="auto"/>
        </w:rPr>
      </w:pPr>
    </w:p>
    <w:p>
      <w:pPr>
        <w:ind w:right="100" w:firstLine="382"/>
        <w:spacing w:after="0" w:line="254" w:lineRule="auto"/>
        <w:rPr>
          <w:sz w:val="20"/>
          <w:szCs w:val="20"/>
          <w:color w:val="auto"/>
        </w:rPr>
      </w:pPr>
      <w:r>
        <w:rPr>
          <w:rFonts w:ascii="Arial" w:cs="Arial" w:eastAsia="Arial" w:hAnsi="Arial"/>
          <w:sz w:val="18"/>
          <w:szCs w:val="18"/>
          <w:color w:val="auto"/>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As consideration for this agreement, the Company paid an upfront license fee of $600,000, which was recorded as research and development expense during the period from inception through December 31, 2018 and the year ended December 31, 2019.</w:t>
      </w:r>
    </w:p>
    <w:p>
      <w:pPr>
        <w:spacing w:after="0" w:line="192" w:lineRule="exact"/>
        <w:rPr>
          <w:sz w:val="20"/>
          <w:szCs w:val="20"/>
          <w:color w:val="auto"/>
        </w:rPr>
      </w:pPr>
    </w:p>
    <w:p>
      <w:pPr>
        <w:ind w:right="80" w:firstLine="382"/>
        <w:spacing w:after="0" w:line="301" w:lineRule="auto"/>
        <w:rPr>
          <w:sz w:val="20"/>
          <w:szCs w:val="20"/>
          <w:color w:val="auto"/>
        </w:rPr>
      </w:pPr>
      <w:r>
        <w:rPr>
          <w:rFonts w:ascii="Arial" w:cs="Arial" w:eastAsia="Arial" w:hAnsi="Arial"/>
          <w:sz w:val="16"/>
          <w:szCs w:val="16"/>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$200,000 in April 2020.</w:t>
      </w:r>
    </w:p>
    <w:p>
      <w:pPr>
        <w:spacing w:after="0" w:line="157" w:lineRule="exact"/>
        <w:rPr>
          <w:sz w:val="20"/>
          <w:szCs w:val="20"/>
          <w:color w:val="auto"/>
        </w:rPr>
      </w:pPr>
    </w:p>
    <w:p>
      <w:pPr>
        <w:ind w:right="80" w:firstLine="382"/>
        <w:spacing w:after="0" w:line="301" w:lineRule="auto"/>
        <w:rPr>
          <w:sz w:val="20"/>
          <w:szCs w:val="20"/>
          <w:color w:val="auto"/>
        </w:rPr>
      </w:pPr>
      <w:r>
        <w:rPr>
          <w:rFonts w:ascii="Arial" w:cs="Arial" w:eastAsia="Arial" w:hAnsi="Arial"/>
          <w:sz w:val="16"/>
          <w:szCs w:val="16"/>
          <w:color w:val="auto"/>
        </w:rPr>
        <w:t>The Company is obligated to make payments to Luxna, in aggregate, totaling up to but no more than $55.5 million upon the achievement of specified development, regulatory, and commercial milestones. During the three and nine months ended September 30, 2021 and 2020, the Company recognized no expenses related to milestone payments. The Company is also required to pay Luxna a low-single digit royalty percentage on net sale of applicable products, if any. During the three and nine months ended September 30, 2021 and 2020, the Company made no payments associated with royalties.</w:t>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Agreement with Katholieke Universiteit Leuven (KU Leuven)</w:t>
      </w:r>
    </w:p>
    <w:p>
      <w:pPr>
        <w:spacing w:after="0" w:line="117" w:lineRule="exact"/>
        <w:rPr>
          <w:sz w:val="20"/>
          <w:szCs w:val="20"/>
          <w:color w:val="auto"/>
        </w:rPr>
      </w:pPr>
    </w:p>
    <w:p>
      <w:pPr>
        <w:ind w:right="20" w:firstLine="382"/>
        <w:spacing w:after="0" w:line="285" w:lineRule="auto"/>
        <w:rPr>
          <w:sz w:val="20"/>
          <w:szCs w:val="20"/>
          <w:color w:val="auto"/>
        </w:rPr>
      </w:pPr>
      <w:r>
        <w:rPr>
          <w:rFonts w:ascii="Arial" w:cs="Arial" w:eastAsia="Arial" w:hAnsi="Arial"/>
          <w:sz w:val="16"/>
          <w:szCs w:val="16"/>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three and nine months ended September 30, 2021 and 2020, the Company recognized no expenses related to milestone payments.</w:t>
      </w:r>
    </w:p>
    <w:p>
      <w:pPr>
        <w:spacing w:after="0" w:line="32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Agreement with Merck</w:t>
      </w:r>
    </w:p>
    <w:p>
      <w:pPr>
        <w:spacing w:after="0" w:line="117" w:lineRule="exact"/>
        <w:rPr>
          <w:sz w:val="20"/>
          <w:szCs w:val="20"/>
          <w:color w:val="auto"/>
        </w:rPr>
      </w:pPr>
    </w:p>
    <w:p>
      <w:pPr>
        <w:ind w:firstLine="500"/>
        <w:spacing w:after="0" w:line="276" w:lineRule="auto"/>
        <w:rPr>
          <w:sz w:val="20"/>
          <w:szCs w:val="20"/>
          <w:color w:val="auto"/>
        </w:rPr>
      </w:pPr>
      <w:r>
        <w:rPr>
          <w:rFonts w:ascii="Arial" w:cs="Arial" w:eastAsia="Arial" w:hAnsi="Arial"/>
          <w:sz w:val="17"/>
          <w:szCs w:val="17"/>
          <w:color w:val="auto"/>
        </w:rPr>
        <w:t>In December 2020, the Company and Merck &amp; Co. entered into an exclusive License and Research Collaboration Agreement under which Merck and the Company agreed to apply the Company’s oligonucleotide platform technology to discover, research, optimize and develop oligonucleotides directed against a NASH target and up to one additional liver-targeted cardiometabolic and/or fibrosis target. Under the terms of the agreement, the Company received an upfront payment from Merck and may receive an additional upfront payment after finalization of a research plan for such additional target. With respect to each collaboration target, the Company will be eligible for up to $458.0 million in development and commercialization milestones as well as tiered royalties on net sales. The Company will be primarily responsible for designing, preparing and evaluating the oligonucleotide molecules and delivering optimized lead molecules, and Merck will be responsible for subsequent research, clinical development and commercialization efforts. The Company determined that the Merck agreement falls within the scope of ASC 808 and the Company analogized to ASC 606 for the accounting of payments such as upfront payments and other milestones. Revenue is recognized based on percentage of completion of the overall project. During the three and nine months ended September 30, 2021 the Company recognized $1.5 million and $4.0 million, respectively, of revenue from collaborative arrangements related to milestone payments.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121" w:lineRule="exact"/>
        <w:rPr>
          <w:sz w:val="20"/>
          <w:szCs w:val="20"/>
          <w:color w:val="auto"/>
        </w:rPr>
      </w:pPr>
    </w:p>
    <w:p>
      <w:pPr>
        <w:ind w:right="40" w:firstLine="382"/>
        <w:spacing w:after="0" w:line="255" w:lineRule="auto"/>
        <w:rPr>
          <w:sz w:val="20"/>
          <w:szCs w:val="20"/>
          <w:color w:val="auto"/>
        </w:rPr>
      </w:pPr>
      <w:r>
        <w:rPr>
          <w:rFonts w:ascii="Arial" w:cs="Arial" w:eastAsia="Arial" w:hAnsi="Arial"/>
          <w:sz w:val="18"/>
          <w:szCs w:val="18"/>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The Company had no contingent liabilities requiring accrual as of September 30, 2021 and December 31, 2020. The Company enters into contracts in the normal course of business that includes arrangements with clinical research organizations, vendors for preclinical research and vendors for manufacturing. These agreements generally allow for cancellation with notice. As of September 30, 2021, the Company had non-cancellable purchase commitments of $4.1 million.</w:t>
      </w:r>
    </w:p>
    <w:p>
      <w:pPr>
        <w:spacing w:after="0" w:line="296"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00" w:firstLine="421"/>
        <w:spacing w:after="0" w:line="277" w:lineRule="auto"/>
        <w:rPr>
          <w:sz w:val="20"/>
          <w:szCs w:val="20"/>
          <w:color w:val="auto"/>
        </w:rPr>
      </w:pPr>
      <w:r>
        <w:rPr>
          <w:rFonts w:ascii="Arial" w:cs="Arial" w:eastAsia="Arial" w:hAnsi="Arial"/>
          <w:sz w:val="18"/>
          <w:szCs w:val="18"/>
          <w:color w:val="auto"/>
        </w:rPr>
        <w:t>The Company has a history of losses and projects losses for the full year 2021. The Company continues to maintain a full valuation allowance its net deferred tax assets.</w:t>
      </w:r>
    </w:p>
    <w:p>
      <w:pPr>
        <w:spacing w:after="0" w:line="315"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computation of basic and diluted net loss per share of the Company:</w:t>
      </w:r>
    </w:p>
    <w:p>
      <w:pPr>
        <w:spacing w:after="0" w:line="325" w:lineRule="exact"/>
        <w:rPr>
          <w:sz w:val="20"/>
          <w:szCs w:val="20"/>
          <w:color w:val="auto"/>
        </w:rPr>
      </w:pPr>
    </w:p>
    <w:tbl>
      <w:tblPr>
        <w:tblLayout w:type="fixed"/>
        <w:tblInd w:w="142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35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(33,297)</w:t>
            </w:r>
          </w:p>
        </w:tc>
        <w:tc>
          <w:tcPr>
            <w:tcW w:w="80" w:type="dxa"/>
            <w:vAlign w:val="bottom"/>
            <w:shd w:val="clear" w:color="auto" w:fill="CFF0FC"/>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shd w:val="clear" w:color="auto" w:fill="CFF0FC"/>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(90,618)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shd w:val="clear" w:color="auto" w:fill="CFF0FC"/>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(74,123)</w:t>
            </w:r>
          </w:p>
        </w:tc>
        <w:tc>
          <w:tcPr>
            <w:tcW w:w="80" w:type="dxa"/>
            <w:vAlign w:val="bottom"/>
            <w:shd w:val="clear" w:color="auto" w:fill="CFF0FC"/>
          </w:tcPr>
          <w:p>
            <w:pPr>
              <w:spacing w:after="0"/>
              <w:rPr>
                <w:sz w:val="19"/>
                <w:szCs w:val="19"/>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8"/>
                <w:szCs w:val="18"/>
                <w:color w:val="auto"/>
                <w:w w:val="96"/>
              </w:rPr>
              <w:t>Weighted average common stock outstanding,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42,399,984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3,027,825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39,151,095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2,829,160</w:t>
            </w:r>
          </w:p>
        </w:tc>
        <w:tc>
          <w:tcPr>
            <w:tcW w:w="80" w:type="dxa"/>
            <w:vAlign w:val="bottom"/>
          </w:tcPr>
          <w:p>
            <w:pPr>
              <w:spacing w:after="0"/>
              <w:rPr>
                <w:sz w:val="20"/>
                <w:szCs w:val="20"/>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(11.00)</w:t>
            </w:r>
          </w:p>
        </w:tc>
        <w:tc>
          <w:tcPr>
            <w:tcW w:w="420" w:type="dxa"/>
            <w:vAlign w:val="bottom"/>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(26.20)</w:t>
            </w:r>
          </w:p>
        </w:tc>
      </w:tr>
      <w:tr>
        <w:trPr>
          <w:trHeight w:val="20"/>
        </w:trPr>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The Company’s potentially dilutive securities, which include redeemable convertible preferred stock, a forward contract to issue preferred stock, options to purchase common stock and unvested restricted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 at each period end, from the computation of diluted net loss per share for the periods indicated because including them would have had an anti-dilutive effect: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0" w:type="dxa"/>
            <w:vAlign w:val="bottom"/>
            <w:gridSpan w:val="3"/>
          </w:tcPr>
          <w:p>
            <w:pPr>
              <w:jc w:val="right"/>
              <w:ind w:right="713"/>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6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19,201,429</w:t>
            </w:r>
          </w:p>
        </w:tc>
        <w:tc>
          <w:tcPr>
            <w:tcW w:w="540" w:type="dxa"/>
            <w:vAlign w:val="bottom"/>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19,201,429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4"/>
              </w:rPr>
              <w:t>Forward contract to issue redeemable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convertible preferred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3,569,630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3,569,630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5,618,700</w:t>
            </w:r>
          </w:p>
        </w:tc>
        <w:tc>
          <w:tcPr>
            <w:tcW w:w="18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2,586,195</w:t>
            </w:r>
          </w:p>
        </w:tc>
        <w:tc>
          <w:tcPr>
            <w:tcW w:w="540" w:type="dxa"/>
            <w:vAlign w:val="bottom"/>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5,618,700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2,586,195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156,837</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513,078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156,837</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513,078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w w:val="96"/>
              </w:rPr>
              <w:t>Warrants to purchase preferred stock</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83,149</w:t>
            </w:r>
          </w:p>
        </w:tc>
        <w:tc>
          <w:tcPr>
            <w:tcW w:w="540" w:type="dxa"/>
            <w:vAlign w:val="bottom"/>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83,149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5,775,537</w:t>
            </w:r>
          </w:p>
        </w:tc>
        <w:tc>
          <w:tcPr>
            <w:tcW w:w="1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25,953,481</w:t>
            </w:r>
          </w:p>
        </w:tc>
        <w:tc>
          <w:tcPr>
            <w:tcW w:w="5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5,775,537</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25,953,481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750"/>
        </w:trPr>
        <w:tc>
          <w:tcPr>
            <w:tcW w:w="1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6" w:name="page27"/>
    <w:bookmarkEnd w:id="26"/>
    <w:p>
      <w:pPr>
        <w:spacing w:after="0"/>
        <w:tabs>
          <w:tab w:leader="none" w:pos="3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Subsequent events</w:t>
      </w:r>
    </w:p>
    <w:p>
      <w:pPr>
        <w:spacing w:after="0" w:line="135" w:lineRule="exact"/>
        <w:rPr>
          <w:sz w:val="20"/>
          <w:szCs w:val="20"/>
          <w:color w:val="auto"/>
        </w:rPr>
      </w:pPr>
    </w:p>
    <w:p>
      <w:pPr>
        <w:ind w:firstLine="382"/>
        <w:spacing w:after="0" w:line="342" w:lineRule="auto"/>
        <w:rPr>
          <w:sz w:val="20"/>
          <w:szCs w:val="20"/>
          <w:color w:val="auto"/>
        </w:rPr>
      </w:pPr>
      <w:r>
        <w:rPr>
          <w:rFonts w:ascii="Arial" w:cs="Arial" w:eastAsia="Arial" w:hAnsi="Arial"/>
          <w:sz w:val="16"/>
          <w:szCs w:val="16"/>
          <w:color w:val="auto"/>
        </w:rPr>
        <w:t>In preparing the interim financial statements for the three and nine months ended September 30, 2021, the Company evaluated subsequent events for recognition and measurement purposes during which time nothing has occurred outside of the normal course of business operations that requires disclosure.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7" w:name="page28"/>
    <w:bookmarkEnd w:id="27"/>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80" w:firstLine="382"/>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21"/>
        <w:spacing w:after="0" w:line="287" w:lineRule="auto"/>
        <w:rPr>
          <w:sz w:val="20"/>
          <w:szCs w:val="20"/>
          <w:color w:val="auto"/>
        </w:rPr>
      </w:pPr>
      <w:r>
        <w:rPr>
          <w:rFonts w:ascii="Arial" w:cs="Arial" w:eastAsia="Arial" w:hAnsi="Arial"/>
          <w:sz w:val="16"/>
          <w:szCs w:val="16"/>
          <w:color w:val="auto"/>
        </w:rPr>
        <w:t>We are a clinical-stage biopharmaceutical company focused on developing novel therapeutics to address unmet medical needs in viral and liver diseases. We utilize our proprietary oligonucleotide and small molecule platforms to develop pharmacologically optimized drug candidates for use in combination regimens designed to achieve improved treatment outcomes. Our lead effort is to develop a functional cure for Chronic Hepatitis B (CHB), which often results in life-threatening conditions such as cirrhosis, end-stage liver disease (ESLD) and the most common form of liver cancer, hepatocellular carcinoma (HCC). The most widely used treatment for CHB, nucleos(t)ide analogs, suppresses viral replication, but only achieves low rates of functional cure and often requires long-term administration. To address this issue, we have developed a portfolio of differentiated drug candidates for CHB, including an S-antigen Transport-inhibiting Oligonucleotide Polymers (STOPS</w:t>
      </w:r>
      <w:r>
        <w:rPr>
          <w:rFonts w:ascii="Arial" w:cs="Arial" w:eastAsia="Arial" w:hAnsi="Arial"/>
          <w:sz w:val="13"/>
          <w:szCs w:val="13"/>
          <w:color w:val="auto"/>
        </w:rPr>
        <w:t>TM</w:t>
      </w:r>
      <w:r>
        <w:rPr>
          <w:rFonts w:ascii="Arial" w:cs="Arial" w:eastAsia="Arial" w:hAnsi="Arial"/>
          <w:sz w:val="16"/>
          <w:szCs w:val="16"/>
          <w:color w:val="auto"/>
        </w:rPr>
        <w:t>) molecule, a small molecule Capsid Assembly Modulator (CAM), and additional oligonucleotides (Antisense Oligonucleotides (ASO) and Small Interfering Ribonucleic Acids (siRNA)), each of which is designed against clinically validated targets in the Hepatitis B Virus (HBV) life cycle. We believe that combination regimens utilizing our portfolio of CHB drug candidates may lead to higher rates of functional cure. Initial Phase 1a studies in healthy volunteers for our STOPS molecule and CAM have been completed. Phase 1b dose range studies, evaluating the properties of our STOPS molecule and CAM as monotherapy in CHB patients, are approved in many countries, including New Zealand, Hong Kong, the United Kingdom, South Korea, China and Moldova, and dosing in both of these studies is ongoing.</w:t>
      </w:r>
    </w:p>
    <w:p>
      <w:pPr>
        <w:spacing w:after="0" w:line="60" w:lineRule="exact"/>
        <w:rPr>
          <w:sz w:val="20"/>
          <w:szCs w:val="20"/>
          <w:color w:val="auto"/>
        </w:rPr>
      </w:pPr>
    </w:p>
    <w:p>
      <w:pPr>
        <w:ind w:right="40" w:firstLine="421"/>
        <w:spacing w:after="0" w:line="272" w:lineRule="auto"/>
        <w:rPr>
          <w:sz w:val="20"/>
          <w:szCs w:val="20"/>
          <w:color w:val="auto"/>
        </w:rPr>
      </w:pPr>
      <w:r>
        <w:rPr>
          <w:rFonts w:ascii="Arial" w:cs="Arial" w:eastAsia="Arial" w:hAnsi="Arial"/>
          <w:sz w:val="17"/>
          <w:szCs w:val="17"/>
          <w:color w:val="auto"/>
        </w:rPr>
        <w:t>The STOPS molecule drug candidate, ALG-010133, was generally well tolerated in healthy volunteers (HVs) when given as single and multiple (3 weekly) subcutaneous doses of up to 200 mg and 180 mg, respectively. No serious adverse events (SAEs) or treatment emergent adverse events (TEAEs) leading to premature discontinuation of study drug occurred. Injection site reactions (ISRs) occurred in 19% of ALG-010133-treated subjects and were generally characterized by localized erythema that was mild to moderate in severity and resolved over time. One ISR that occurred after receiving a single 200 mg dose of ALG-010133 was considered severe based on surface area criteria (&gt;100 cm</w:t>
      </w:r>
      <w:r>
        <w:rPr>
          <w:rFonts w:ascii="Arial" w:cs="Arial" w:eastAsia="Arial" w:hAnsi="Arial"/>
          <w:sz w:val="14"/>
          <w:szCs w:val="14"/>
          <w:color w:val="auto"/>
        </w:rPr>
        <w:t>2</w:t>
      </w:r>
      <w:r>
        <w:rPr>
          <w:rFonts w:ascii="Arial" w:cs="Arial" w:eastAsia="Arial" w:hAnsi="Arial"/>
          <w:sz w:val="17"/>
          <w:szCs w:val="17"/>
          <w:color w:val="auto"/>
        </w:rPr>
        <w:t>). Prophylactic use of topical steroids is being utilized in Phase 1b to potentially mitigate future ISRs. Based on the pharmacokinetic (PK) exposures achieved in HVs, weekly subcutaneous doses of 120 mg and higher will be evaluated in CHB cohorts. Currently, doses of 120 mg, 200 mg and 400 mg given weekly over 12 weeks are being evaluated in three separate cohorts of patients with CHB. Safety and viral kinetic data from these three cohorts are expected to be available in the first half of 2022. Based on prior experience with nucleic acid polymers (NAPs) such as REP-2139, we believe an active dose level should be able to reduce mean HBsAg concentrations by ≥1.0 log</w:t>
      </w:r>
      <w:r>
        <w:rPr>
          <w:rFonts w:ascii="Arial" w:cs="Arial" w:eastAsia="Arial" w:hAnsi="Arial"/>
          <w:sz w:val="14"/>
          <w:szCs w:val="14"/>
          <w:color w:val="auto"/>
        </w:rPr>
        <w:t>10</w:t>
      </w:r>
      <w:r>
        <w:rPr>
          <w:rFonts w:ascii="Arial" w:cs="Arial" w:eastAsia="Arial" w:hAnsi="Arial"/>
          <w:sz w:val="17"/>
          <w:szCs w:val="17"/>
          <w:color w:val="auto"/>
        </w:rPr>
        <w:t xml:space="preserve"> IU/mL after 12 weeks of dosing.</w:t>
      </w:r>
    </w:p>
    <w:p>
      <w:pPr>
        <w:spacing w:after="0" w:line="53" w:lineRule="exact"/>
        <w:rPr>
          <w:sz w:val="20"/>
          <w:szCs w:val="20"/>
          <w:color w:val="auto"/>
        </w:rPr>
      </w:pPr>
    </w:p>
    <w:p>
      <w:pPr>
        <w:ind w:right="20" w:firstLine="421"/>
        <w:spacing w:after="0" w:line="254" w:lineRule="auto"/>
        <w:rPr>
          <w:sz w:val="20"/>
          <w:szCs w:val="20"/>
          <w:color w:val="auto"/>
        </w:rPr>
      </w:pPr>
      <w:r>
        <w:rPr>
          <w:rFonts w:ascii="Arial" w:cs="Arial" w:eastAsia="Arial" w:hAnsi="Arial"/>
          <w:sz w:val="18"/>
          <w:szCs w:val="18"/>
          <w:color w:val="auto"/>
        </w:rPr>
        <w:t>For the CAM drug candidate, ALG-000184, preliminary data in HVs indicate the drug has predictable PK and was well tolerated, with no SAEs or TEAEs leading to discontinuation reported. Additionally, safety, PK, and antiviral activity data in eight treatment naive/currently not treated CHB subjects receiving a daily dose of 100 mg ALG-000184 for 14 days were promising, showing a mean HBV DNA reduction of 2.9 log</w:t>
      </w:r>
      <w:r>
        <w:rPr>
          <w:rFonts w:ascii="Arial" w:cs="Arial" w:eastAsia="Arial" w:hAnsi="Arial"/>
          <w:sz w:val="15"/>
          <w:szCs w:val="15"/>
          <w:color w:val="auto"/>
        </w:rPr>
        <w:t>10</w:t>
      </w:r>
      <w:r>
        <w:rPr>
          <w:rFonts w:ascii="Arial" w:cs="Arial" w:eastAsia="Arial" w:hAnsi="Arial"/>
          <w:sz w:val="18"/>
          <w:szCs w:val="18"/>
          <w:color w:val="auto"/>
        </w:rPr>
        <w:t xml:space="preserve"> IU/mL and no concerning safety or PK findings (Gane et al., HBV TAG 2021). Enrollment in three CHB cohorts is now complete, and a fourth cohort (10 mg dose level) is currently enrolling. Safety and antiviral activity data through day 28 from the first two cohorts (50 and 100 mg) will be reported at the American Association for the Study of Liver Diseases (AASLD) in November 2021, and data from the third and fourth cohorts are planned to be shared at a scientific conference in the first half of 2022.</w:t>
      </w:r>
    </w:p>
    <w:p>
      <w:pPr>
        <w:spacing w:after="0" w:line="87" w:lineRule="exact"/>
        <w:rPr>
          <w:sz w:val="20"/>
          <w:szCs w:val="20"/>
          <w:color w:val="auto"/>
        </w:rPr>
      </w:pPr>
    </w:p>
    <w:p>
      <w:pPr>
        <w:ind w:right="180" w:firstLine="421"/>
        <w:spacing w:after="0" w:line="222" w:lineRule="exact"/>
        <w:rPr>
          <w:sz w:val="20"/>
          <w:szCs w:val="20"/>
          <w:color w:val="auto"/>
        </w:rPr>
      </w:pPr>
      <w:r>
        <w:rPr>
          <w:rFonts w:ascii="Arial" w:cs="Arial" w:eastAsia="Arial" w:hAnsi="Arial"/>
          <w:sz w:val="17"/>
          <w:szCs w:val="17"/>
          <w:color w:val="auto"/>
        </w:rPr>
        <w:t>We have also recently initiated a two-part Phase 1a/1b study evaluating the safety, PK, and antiviral activity of our ASO, ALG</w:t>
      </w:r>
      <w:r>
        <w:rPr>
          <w:rFonts w:ascii="MS PGothic" w:cs="MS PGothic" w:eastAsia="MS PGothic" w:hAnsi="MS PGothic"/>
          <w:sz w:val="17"/>
          <w:szCs w:val="17"/>
          <w:color w:val="auto"/>
        </w:rPr>
        <w:t>‑</w:t>
      </w:r>
      <w:r>
        <w:rPr>
          <w:rFonts w:ascii="Arial" w:cs="Arial" w:eastAsia="Arial" w:hAnsi="Arial"/>
          <w:sz w:val="17"/>
          <w:szCs w:val="17"/>
          <w:color w:val="auto"/>
        </w:rPr>
        <w:t>020572, in HVs (a single ascending dose study) and CHB subjects (a multiple ascending dose), respectively. Dosing in HVs is ongoing, and dosing in CHB subjects is anticipated to start in the first quarter of 2022. We plan to report initial Phase 1 data in HVs in the first half of 2022. Finally, our nonclinical efforts to advance our siRNA drug candidate targeted against HBsAg messenger RNA (ALG-125755) are ongoing, with a clinical trial application (CTA) filing on track for the first half of 2022. Based on prior experience with other siRNA and ASOs in clinical development, we expect that an active dose level to be able to reduce mean HBsAg concentrations by ≥ 1.0 log</w:t>
      </w:r>
      <w:r>
        <w:rPr>
          <w:rFonts w:ascii="Arial" w:cs="Arial" w:eastAsia="Arial" w:hAnsi="Arial"/>
          <w:sz w:val="14"/>
          <w:szCs w:val="14"/>
          <w:color w:val="auto"/>
        </w:rPr>
        <w:t>10</w:t>
      </w:r>
      <w:r>
        <w:rPr>
          <w:rFonts w:ascii="Arial" w:cs="Arial" w:eastAsia="Arial" w:hAnsi="Arial"/>
          <w:sz w:val="17"/>
          <w:szCs w:val="17"/>
          <w:color w:val="auto"/>
        </w:rPr>
        <w:t xml:space="preserve"> IU/mL in our Phase 1b studies.</w:t>
      </w:r>
    </w:p>
    <w:p>
      <w:pPr>
        <w:spacing w:after="0" w:line="75" w:lineRule="exact"/>
        <w:rPr>
          <w:sz w:val="20"/>
          <w:szCs w:val="20"/>
          <w:color w:val="auto"/>
        </w:rPr>
      </w:pPr>
    </w:p>
    <w:p>
      <w:pPr>
        <w:ind w:right="660" w:firstLine="421"/>
        <w:spacing w:after="0" w:line="277" w:lineRule="auto"/>
        <w:rPr>
          <w:sz w:val="20"/>
          <w:szCs w:val="20"/>
          <w:color w:val="auto"/>
        </w:rPr>
      </w:pPr>
      <w:r>
        <w:rPr>
          <w:rFonts w:ascii="Arial" w:cs="Arial" w:eastAsia="Arial" w:hAnsi="Arial"/>
          <w:sz w:val="18"/>
          <w:szCs w:val="18"/>
          <w:color w:val="auto"/>
        </w:rPr>
        <w:t>In the future, we may also conduct clinical trials evaluating our STOPS molecule and CAM and other drug candidates in other countries and territories.</w:t>
      </w:r>
    </w:p>
    <w:p>
      <w:pPr>
        <w:spacing w:after="0" w:line="62" w:lineRule="exact"/>
        <w:rPr>
          <w:sz w:val="20"/>
          <w:szCs w:val="20"/>
          <w:color w:val="auto"/>
        </w:rPr>
      </w:pPr>
    </w:p>
    <w:p>
      <w:pPr>
        <w:ind w:right="40" w:firstLine="421"/>
        <w:spacing w:after="0" w:line="219" w:lineRule="exact"/>
        <w:rPr>
          <w:sz w:val="20"/>
          <w:szCs w:val="20"/>
          <w:color w:val="auto"/>
        </w:rPr>
      </w:pPr>
      <w:r>
        <w:rPr>
          <w:rFonts w:ascii="Arial" w:cs="Arial" w:eastAsia="Arial" w:hAnsi="Arial"/>
          <w:sz w:val="16"/>
          <w:szCs w:val="16"/>
          <w:color w:val="auto"/>
        </w:rPr>
        <w:t>Our second area of focus is in non-alcoholic steatohepatitis (NASH), a complex, chronic liver disease where combination regimens may likewise prove beneficial. Our most advanced drug candidate for NASH is ALG-055009, a small molecule THR</w:t>
      </w:r>
      <w:r>
        <w:rPr>
          <w:rFonts w:ascii="MS PGothic" w:cs="MS PGothic" w:eastAsia="MS PGothic" w:hAnsi="MS PGothic"/>
          <w:sz w:val="16"/>
          <w:szCs w:val="16"/>
          <w:color w:val="auto"/>
        </w:rPr>
        <w:t>‑</w:t>
      </w:r>
      <w:r>
        <w:rPr>
          <w:rFonts w:ascii="Arial" w:cs="Arial" w:eastAsia="Arial" w:hAnsi="Arial"/>
          <w:sz w:val="16"/>
          <w:szCs w:val="16"/>
          <w:color w:val="auto"/>
        </w:rPr>
        <w:t>ß agonist. We believe ALG-055009 has the potential to become an integral component of future combination regimens for NASH. In non-clinical studies, ALG</w:t>
      </w:r>
      <w:r>
        <w:rPr>
          <w:rFonts w:ascii="MS PGothic" w:cs="MS PGothic" w:eastAsia="MS PGothic" w:hAnsi="MS PGothic"/>
          <w:sz w:val="16"/>
          <w:szCs w:val="16"/>
          <w:color w:val="auto"/>
        </w:rPr>
        <w:t>‑</w:t>
      </w:r>
      <w:r>
        <w:rPr>
          <w:rFonts w:ascii="Arial" w:cs="Arial" w:eastAsia="Arial" w:hAnsi="Arial"/>
          <w:sz w:val="16"/>
          <w:szCs w:val="16"/>
          <w:color w:val="auto"/>
        </w:rPr>
        <w:t>055009 was more potent and selective for THR- ß compared to other drugs in the clinic, which may have clinical benefits. In September 2021, we filed a CTA for a Phase 1a/1b study of ALG</w:t>
      </w:r>
      <w:r>
        <w:rPr>
          <w:rFonts w:ascii="MS PGothic" w:cs="MS PGothic" w:eastAsia="MS PGothic" w:hAnsi="MS PGothic"/>
          <w:sz w:val="16"/>
          <w:szCs w:val="16"/>
          <w:color w:val="auto"/>
        </w:rPr>
        <w:t>‑</w:t>
      </w:r>
      <w:r>
        <w:rPr>
          <w:rFonts w:ascii="Arial" w:cs="Arial" w:eastAsia="Arial" w:hAnsi="Arial"/>
          <w:sz w:val="16"/>
          <w:szCs w:val="16"/>
          <w:color w:val="auto"/>
        </w:rPr>
        <w:t>055009 in HVs and subjects with hyperlipidemia. Topline data from this Phase 1a/1b study ALG-055009 are expected in the second half of 2022.</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8" w:name="page29"/>
    <w:bookmarkEnd w:id="28"/>
    <w:p>
      <w:pPr>
        <w:ind w:right="20" w:firstLine="562"/>
        <w:spacing w:after="0" w:line="218" w:lineRule="exact"/>
        <w:rPr>
          <w:sz w:val="20"/>
          <w:szCs w:val="20"/>
          <w:color w:val="auto"/>
        </w:rPr>
      </w:pPr>
      <w:r>
        <w:rPr>
          <w:rFonts w:ascii="Arial" w:cs="Arial" w:eastAsia="Arial" w:hAnsi="Arial"/>
          <w:sz w:val="17"/>
          <w:szCs w:val="17"/>
          <w:color w:val="auto"/>
        </w:rPr>
        <w:t>Our third area of focus is to develop drug candidates with pan-coronavirus activity, including Severe Acute Respiratory Syndrome coronavirus 2 (SARS-CoV-2), the virus responsible for COVID-19. Our efforts to identify a coronavirus therapeutic are multipronged and utilize both our small molecule and oligonucleotide expertise. In the oligonucleotide areas, we are investigating a siRNA modality and are exploring the potential for targeted lung delivery with this approach. For our small molecule approach, we are exploring coronavirus protease inhibitors in collaboration with Katholieke Universiteit Leuven (KU Leuven), CISTIM and the Centre for Drug Design and Discovery (CD3). Early pre-clinical data of our compound ALG</w:t>
      </w:r>
      <w:r>
        <w:rPr>
          <w:rFonts w:ascii="MS PGothic" w:cs="MS PGothic" w:eastAsia="MS PGothic" w:hAnsi="MS PGothic"/>
          <w:sz w:val="17"/>
          <w:szCs w:val="17"/>
          <w:color w:val="auto"/>
        </w:rPr>
        <w:t>‑</w:t>
      </w:r>
      <w:r>
        <w:rPr>
          <w:rFonts w:ascii="Arial" w:cs="Arial" w:eastAsia="Arial" w:hAnsi="Arial"/>
          <w:sz w:val="17"/>
          <w:szCs w:val="17"/>
          <w:color w:val="auto"/>
        </w:rPr>
        <w:t>097111, a protease inhibitor tested to evaluate efficacy in a hamster model, showed that ALG</w:t>
      </w:r>
      <w:r>
        <w:rPr>
          <w:rFonts w:ascii="MS PGothic" w:cs="MS PGothic" w:eastAsia="MS PGothic" w:hAnsi="MS PGothic"/>
          <w:sz w:val="17"/>
          <w:szCs w:val="17"/>
          <w:color w:val="auto"/>
        </w:rPr>
        <w:t>‑</w:t>
      </w:r>
      <w:r>
        <w:rPr>
          <w:rFonts w:ascii="Arial" w:cs="Arial" w:eastAsia="Arial" w:hAnsi="Arial"/>
          <w:sz w:val="17"/>
          <w:szCs w:val="17"/>
          <w:color w:val="auto"/>
        </w:rPr>
        <w:t>097111 efficiently inhibited viral replication in the lungs of infected hamsters. We are in the final stages of selecting an orally available development candidate.</w:t>
      </w:r>
    </w:p>
    <w:p>
      <w:pPr>
        <w:spacing w:after="0" w:line="206" w:lineRule="exact"/>
        <w:rPr>
          <w:sz w:val="20"/>
          <w:szCs w:val="20"/>
          <w:color w:val="auto"/>
        </w:rPr>
      </w:pPr>
    </w:p>
    <w:p>
      <w:pPr>
        <w:ind w:firstLine="500"/>
        <w:spacing w:after="0" w:line="254" w:lineRule="auto"/>
        <w:rPr>
          <w:sz w:val="20"/>
          <w:szCs w:val="20"/>
          <w:color w:val="auto"/>
        </w:rPr>
      </w:pPr>
      <w:r>
        <w:rPr>
          <w:rFonts w:ascii="Arial" w:cs="Arial" w:eastAsia="Arial" w:hAnsi="Arial"/>
          <w:sz w:val="18"/>
          <w:szCs w:val="18"/>
          <w:color w:val="auto"/>
        </w:rPr>
        <w:t>In October 2020, we completed our initial public offering (IPO) and issued 10,000,000 shares of our common stock at a price to the public of $15.00 per share for net proceeds of $135.4 million, after deducting underwriting discounts and commissions of $10.5 million and expenses of $4.1 million. In connection with the IPO, all shares of Series A, Series B-1 and Series B-2 redeemable convertible preferred stock converted into 19,761,870 shares of voting common stock and 3,092,338 shares of non-voting common stock. On November 5, 2020, the underwriters of the IPO partially exercised their overallotment option by purchasing an additional 1,150,000 shares from us, resulting in an additional $16.0 million, after deducting underwriting discounts and commissions of $1.2 million. Prior to our IPO, we had received gross proceeds of approximately $186.9 million from sales of our preferred stock and our issuance of convertible debt.</w:t>
      </w:r>
    </w:p>
    <w:p>
      <w:pPr>
        <w:spacing w:after="0" w:line="195" w:lineRule="exact"/>
        <w:rPr>
          <w:sz w:val="20"/>
          <w:szCs w:val="20"/>
          <w:color w:val="auto"/>
        </w:rPr>
      </w:pPr>
    </w:p>
    <w:p>
      <w:pPr>
        <w:ind w:right="240" w:firstLine="500"/>
        <w:spacing w:after="0" w:line="308" w:lineRule="auto"/>
        <w:rPr>
          <w:sz w:val="20"/>
          <w:szCs w:val="20"/>
          <w:color w:val="auto"/>
        </w:rPr>
      </w:pPr>
      <w:r>
        <w:rPr>
          <w:rFonts w:ascii="Arial" w:cs="Arial" w:eastAsia="Arial" w:hAnsi="Arial"/>
          <w:sz w:val="17"/>
          <w:szCs w:val="17"/>
          <w:color w:val="auto"/>
        </w:rPr>
        <w:t>In July 2021, we completed a follow-on offering and issued 4,400,000 shares of our common stock at a price to the public of $19.00 per share for net proceeds of $77.9 million, after deducting underwriting discounts and commissions and estimated offering expenses payable by us.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incurred net losses and negative cash flows from operations in each year since our formation in February 2018. Our net losses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$90.6 million and $74.1 million for the nine months ended September 30, 2021 and 2020, respectively. We have had no revenue from product sales.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we had an accumulated deficit of $265.4 million. Substantially all of our net losses have resulted from costs incurred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our research and development programs and from general and administrative costs associated with our operations. We expect to continue to incur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significant expenses and increasing operating losses over at least the next several years. Our net operating losses may fluctuate from quarter to quarter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to year depending primarily on the timing of our clinical trials and nonclinical studies and our other research and development expenses. We have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internal manufacturing capabilities or salesforce and outsource a substantial portion of our clinical trial work to third parties.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operating expenses since inception have consisted solely of research and development costs and general and administrative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80" w:lineRule="exact"/>
        <w:rPr>
          <w:sz w:val="20"/>
          <w:szCs w:val="20"/>
          <w:color w:val="auto"/>
        </w:rPr>
      </w:pPr>
    </w:p>
    <w:p>
      <w:pPr>
        <w:ind w:left="760" w:right="68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salaries, benefits and other employee-related costs, including stock-based compensation expense, for personnel engaged in research and development functions;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and related travel expenses;</w:t>
      </w:r>
    </w:p>
    <w:p>
      <w:pPr>
        <w:spacing w:after="0" w:line="144" w:lineRule="exact"/>
        <w:rPr>
          <w:rFonts w:ascii="Arial" w:cs="Arial" w:eastAsia="Arial" w:hAnsi="Arial"/>
          <w:sz w:val="18"/>
          <w:szCs w:val="18"/>
          <w:color w:val="auto"/>
        </w:rPr>
      </w:pPr>
    </w:p>
    <w:p>
      <w:pPr>
        <w:ind w:left="760" w:right="88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in-process research and development, including license fees and milestones paid to third-party collaborators for technologies with no alternative use;</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related to production of clinical materials, including fees paid to contract manufacturers;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incurred under agreements with collaborators that perform nonclinical activities;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9" w:name="page30"/>
    <w:bookmarkEnd w:id="29"/>
    <w:p>
      <w:pPr>
        <w:ind w:left="760" w:right="40" w:hanging="374"/>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and allocated expenses for rent and maintenance of facilities, insurance, and other supplies.</w:t>
      </w:r>
    </w:p>
    <w:p>
      <w:pPr>
        <w:spacing w:after="0" w:line="170" w:lineRule="exact"/>
        <w:rPr>
          <w:sz w:val="20"/>
          <w:szCs w:val="20"/>
          <w:color w:val="auto"/>
        </w:rPr>
      </w:pPr>
    </w:p>
    <w:p>
      <w:pPr>
        <w:jc w:val="both"/>
        <w:ind w:right="160" w:firstLine="382"/>
        <w:spacing w:after="0" w:line="311" w:lineRule="auto"/>
        <w:rPr>
          <w:sz w:val="20"/>
          <w:szCs w:val="20"/>
          <w:color w:val="auto"/>
        </w:rPr>
      </w:pPr>
      <w:r>
        <w:rPr>
          <w:rFonts w:ascii="Arial" w:cs="Arial" w:eastAsia="Arial" w:hAnsi="Arial"/>
          <w:sz w:val="16"/>
          <w:szCs w:val="16"/>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149" w:lineRule="exact"/>
        <w:rPr>
          <w:sz w:val="20"/>
          <w:szCs w:val="20"/>
          <w:color w:val="auto"/>
        </w:rPr>
      </w:pPr>
    </w:p>
    <w:p>
      <w:pPr>
        <w:ind w:right="160" w:firstLine="382"/>
        <w:spacing w:after="0" w:line="275" w:lineRule="auto"/>
        <w:rPr>
          <w:sz w:val="20"/>
          <w:szCs w:val="20"/>
          <w:color w:val="auto"/>
        </w:rPr>
      </w:pPr>
      <w:r>
        <w:rPr>
          <w:rFonts w:ascii="Arial" w:cs="Arial" w:eastAsia="Arial" w:hAnsi="Arial"/>
          <w:sz w:val="17"/>
          <w:szCs w:val="17"/>
          <w:color w:val="auto"/>
        </w:rPr>
        <w:t>We expect our research and development costs to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188" w:lineRule="exact"/>
        <w:rPr>
          <w:sz w:val="20"/>
          <w:szCs w:val="20"/>
          <w:color w:val="auto"/>
        </w:rPr>
      </w:pPr>
    </w:p>
    <w:p>
      <w:pPr>
        <w:ind w:firstLine="382"/>
        <w:spacing w:after="0" w:line="296" w:lineRule="auto"/>
        <w:rPr>
          <w:sz w:val="20"/>
          <w:szCs w:val="20"/>
          <w:color w:val="auto"/>
        </w:rPr>
      </w:pPr>
      <w:r>
        <w:rPr>
          <w:rFonts w:ascii="Arial" w:cs="Arial" w:eastAsia="Arial" w:hAnsi="Arial"/>
          <w:sz w:val="16"/>
          <w:szCs w:val="16"/>
          <w:color w:val="auto"/>
        </w:rPr>
        <w:t>We expect that our general and administrative expenses will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also expect to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17"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Interest and other income (expense), net comprises interest income, net and other income (loss), net. Interest income, net primarily consists of interest earned on our cash, cash equivalents, and investments and interest expense related to our convertible note instruments. Other (loss) income, net consists primarily of the change fair value of derivative liabilities and our investments.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operating expenses for the three months ended September 30, 2021 and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4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0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28,132</w:t>
            </w:r>
          </w:p>
        </w:tc>
        <w:tc>
          <w:tcPr>
            <w:tcW w:w="6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17,332</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10,800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500"/>
              <w:spacing w:after="0"/>
              <w:rPr>
                <w:sz w:val="20"/>
                <w:szCs w:val="20"/>
                <w:color w:val="auto"/>
              </w:rPr>
            </w:pPr>
            <w:r>
              <w:rPr>
                <w:rFonts w:ascii="Arial" w:cs="Arial" w:eastAsia="Arial" w:hAnsi="Arial"/>
                <w:sz w:val="18"/>
                <w:szCs w:val="18"/>
                <w:color w:val="auto"/>
              </w:rPr>
              <w:t>Total operating expenses</w:t>
            </w:r>
          </w:p>
        </w:tc>
        <w:tc>
          <w:tcPr>
            <w:tcW w:w="17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34,605</w:t>
            </w:r>
          </w:p>
        </w:tc>
        <w:tc>
          <w:tcPr>
            <w:tcW w:w="240" w:type="dxa"/>
            <w:vAlign w:val="bottom"/>
            <w:vMerge w:val="continue"/>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21,557</w:t>
            </w:r>
          </w:p>
        </w:tc>
        <w:tc>
          <w:tcPr>
            <w:tcW w:w="240" w:type="dxa"/>
            <w:vAlign w:val="bottom"/>
            <w:vMerge w:val="continue"/>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13,048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40" w:firstLine="382"/>
        <w:spacing w:after="0" w:line="275" w:lineRule="auto"/>
        <w:rPr>
          <w:sz w:val="20"/>
          <w:szCs w:val="20"/>
          <w:color w:val="auto"/>
        </w:rPr>
      </w:pPr>
      <w:r>
        <w:rPr>
          <w:rFonts w:ascii="Arial" w:cs="Arial" w:eastAsia="Arial" w:hAnsi="Arial"/>
          <w:sz w:val="17"/>
          <w:szCs w:val="17"/>
          <w:color w:val="auto"/>
        </w:rPr>
        <w:t>Research and development expenses were $28.1 million for the three months ended September 30, 2021, compared to $17.3 million for the three months ended September 30, 2020, an increase of $10.8 million. The increase was due to an increase of $2.6 million of additional employee-related costs, of which $1.6 million related to stock-based compensation, an increase of $6.5 million in third-party expenses for our nonclinical programs and the continued increase in expenditures related to research, development and manufacturing activities associated with our STOPs, CAM and ASO clinical trial activities as well as costs related to our NASH program, and $1.5 million in facilities and related expenses.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General and administrative expenses were $6.5 million for the three months ended September 30, 2021, compared to $4.2 million for the three months ended September 30, 2020, an increase of $2.2 million. The increase was primarily due to an increase of $1.5 million in additional employee-related costs, of which $1.0 million related to stock-based compensation, a $1.6 million increase in third-party expenses primarily due to increased administrative costs, patent costs and D&amp;O insurance to support our status as a public company, and $0.3 million in employee travel and development related expenses as employees return to the office and travel. The increase was partially offset by a $0.7 million decrease in facilities expenses and a $0.4 million decrease in consulting expenses.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3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interest and other income (expense), net for the three months ended September 30, 2021 and 2020:</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Other (loss) income, net</w:t>
            </w: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(11,974)</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12,024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interest and other income (expense), net</w:t>
            </w: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(11,740)</w:t>
            </w:r>
          </w:p>
        </w:tc>
        <w:tc>
          <w:tcPr>
            <w:tcW w:w="2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82"/>
        <w:spacing w:after="0" w:line="277" w:lineRule="auto"/>
        <w:rPr>
          <w:sz w:val="20"/>
          <w:szCs w:val="20"/>
          <w:color w:val="auto"/>
        </w:rPr>
      </w:pPr>
      <w:r>
        <w:rPr>
          <w:rFonts w:ascii="Arial" w:cs="Arial" w:eastAsia="Arial" w:hAnsi="Arial"/>
          <w:sz w:val="18"/>
          <w:szCs w:val="18"/>
          <w:color w:val="auto"/>
        </w:rPr>
        <w:t>Interest income, net decreased $0.2 million for the three months ended September 30, 2021 compared to the three months ended September 30, 2020, primarily due to the change in our portfolio of cash equivalents and investments which results in lower interest yield.</w:t>
      </w:r>
    </w:p>
    <w:p>
      <w:pPr>
        <w:spacing w:after="0" w:line="170" w:lineRule="exact"/>
        <w:rPr>
          <w:sz w:val="20"/>
          <w:szCs w:val="20"/>
          <w:color w:val="auto"/>
        </w:rPr>
      </w:pPr>
    </w:p>
    <w:p>
      <w:pPr>
        <w:jc w:val="both"/>
        <w:ind w:right="140" w:firstLine="382"/>
        <w:spacing w:after="0" w:line="263" w:lineRule="auto"/>
        <w:rPr>
          <w:sz w:val="20"/>
          <w:szCs w:val="20"/>
          <w:color w:val="auto"/>
        </w:rPr>
      </w:pPr>
      <w:r>
        <w:rPr>
          <w:rFonts w:ascii="Arial" w:cs="Arial" w:eastAsia="Arial" w:hAnsi="Arial"/>
          <w:sz w:val="18"/>
          <w:szCs w:val="18"/>
          <w:color w:val="auto"/>
        </w:rPr>
        <w:t>Other (loss) income, net increased $12.0 million for the three months ended September 30, 2021 compared to the three months ended September 30, 2020. The current quarter increase was due to the prior year loss recognized on the net increase in fair value of both our redeemable convertible preferred stock liability and warrant liabilities.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operating expenses for the nine months ended September 30, 2021 and 2020:</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300"/>
              <w:spacing w:after="0"/>
              <w:rPr>
                <w:sz w:val="20"/>
                <w:szCs w:val="20"/>
                <w:color w:val="auto"/>
              </w:rPr>
            </w:pPr>
            <w:r>
              <w:rPr>
                <w:rFonts w:ascii="Arial" w:cs="Arial" w:eastAsia="Arial" w:hAnsi="Arial"/>
                <w:sz w:val="18"/>
                <w:szCs w:val="18"/>
                <w:color w:val="auto"/>
                <w:w w:val="87"/>
              </w:rPr>
              <w:t>75,555</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51,809</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23,746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7"/>
              </w:rPr>
              <w:t>18,810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300"/>
              <w:spacing w:after="0"/>
              <w:rPr>
                <w:sz w:val="20"/>
                <w:szCs w:val="20"/>
                <w:color w:val="auto"/>
              </w:rPr>
            </w:pPr>
            <w:r>
              <w:rPr>
                <w:rFonts w:ascii="Arial" w:cs="Arial" w:eastAsia="Arial" w:hAnsi="Arial"/>
                <w:sz w:val="18"/>
                <w:szCs w:val="18"/>
                <w:color w:val="auto"/>
                <w:w w:val="87"/>
              </w:rPr>
              <w:t>94,365</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63,548</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30,817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20" w:firstLine="382"/>
        <w:spacing w:after="0" w:line="293" w:lineRule="auto"/>
        <w:rPr>
          <w:sz w:val="20"/>
          <w:szCs w:val="20"/>
          <w:color w:val="auto"/>
        </w:rPr>
      </w:pPr>
      <w:r>
        <w:rPr>
          <w:rFonts w:ascii="Arial" w:cs="Arial" w:eastAsia="Arial" w:hAnsi="Arial"/>
          <w:sz w:val="16"/>
          <w:szCs w:val="16"/>
          <w:color w:val="auto"/>
        </w:rPr>
        <w:t>Research and development expenses were $75.6 million for the nine months ended September 30, 2021, compared to $51.8 million for the nine months ended September 30, 2020, an increase of $23.7 million. The increase was due to an increase of $7.5 million of additional employee-related costs, of which $4.9 million related to stock-based compensation, an increase of $12.2 million in third-party expenses for our nonclinical programs and the continued increase in expenditures related to research, development and manufacturing activities associated with our STOPs, CAM and ASO clinical trial activities, as well as activities related to our NASH program. In addition, we had a $0.4 million increase in depreciation, a $0.8 million increase in consulting, recruiting and T&amp;E costs due to increased headcount, and a $2.7 million increase of facilities and related expenses.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500" w:firstLine="382"/>
        <w:spacing w:after="0" w:line="277" w:lineRule="auto"/>
        <w:rPr>
          <w:sz w:val="20"/>
          <w:szCs w:val="20"/>
          <w:color w:val="auto"/>
        </w:rPr>
      </w:pPr>
      <w:r>
        <w:rPr>
          <w:rFonts w:ascii="Arial" w:cs="Arial" w:eastAsia="Arial" w:hAnsi="Arial"/>
          <w:sz w:val="18"/>
          <w:szCs w:val="18"/>
          <w:color w:val="auto"/>
        </w:rPr>
        <w:t>General and administrative expenses were $18.8 million for the nine months ended September 30, 2021, compared to $11.7 million for the nine months ended September 30, 2020, an increase of $7.1 million. The increase was primarily due to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1" w:name="page32"/>
    <w:bookmarkEnd w:id="31"/>
    <w:p>
      <w:pPr>
        <w:ind w:right="320"/>
        <w:spacing w:after="0" w:line="286" w:lineRule="auto"/>
        <w:rPr>
          <w:sz w:val="20"/>
          <w:szCs w:val="20"/>
          <w:color w:val="auto"/>
        </w:rPr>
      </w:pPr>
      <w:r>
        <w:rPr>
          <w:rFonts w:ascii="Arial" w:cs="Arial" w:eastAsia="Arial" w:hAnsi="Arial"/>
          <w:sz w:val="17"/>
          <w:szCs w:val="17"/>
          <w:color w:val="auto"/>
        </w:rPr>
        <w:t>increase of $5.1 million of additional employee-related costs, of which $3.2 million related to stock-based compensation, $4.9 million increase in third-party expenses primarily due to increased administrative costs, legal costs and D&amp;O insurance to support our status as a public company, offset by a decrease of $2.7 million in facilities and related expenses, and a decrease of $0.4 million in consulting costs.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interest and other income (expense), net for the nine months ended September 30,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40" w:type="dxa"/>
            <w:vAlign w:val="bottom"/>
            <w:vMerge w:val="restart"/>
          </w:tcPr>
          <w:p>
            <w:pPr>
              <w:spacing w:after="0"/>
              <w:rPr>
                <w:sz w:val="20"/>
                <w:szCs w:val="20"/>
                <w:color w:val="auto"/>
              </w:rPr>
            </w:pPr>
            <w:r>
              <w:rPr>
                <w:rFonts w:ascii="Arial" w:cs="Arial" w:eastAsia="Arial" w:hAnsi="Arial"/>
                <w:sz w:val="18"/>
                <w:szCs w:val="18"/>
                <w:color w:val="auto"/>
              </w:rPr>
              <w:t>Interest income, net</w:t>
            </w:r>
          </w:p>
        </w:tc>
        <w:tc>
          <w:tcPr>
            <w:tcW w:w="13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Other (loss) income, net</w:t>
            </w: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(11,618)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500"/>
              <w:spacing w:after="0"/>
              <w:rPr>
                <w:sz w:val="20"/>
                <w:szCs w:val="20"/>
                <w:color w:val="auto"/>
              </w:rPr>
            </w:pPr>
            <w:r>
              <w:rPr>
                <w:rFonts w:ascii="Arial" w:cs="Arial" w:eastAsia="Arial" w:hAnsi="Arial"/>
                <w:sz w:val="18"/>
                <w:szCs w:val="18"/>
                <w:color w:val="auto"/>
              </w:rPr>
              <w:t>Total interest and other expense, net</w:t>
            </w:r>
          </w:p>
        </w:tc>
        <w:tc>
          <w:tcPr>
            <w:tcW w:w="13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(10,633)</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10,589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income, net decreased to $0.2 million for the nine months ended September 30, 2021 from $1.0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a decrease of $0.8 million, primarily due to the change in our portfolio of cash equivalents and short-term investments which results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lower interest yield.</w:t>
      </w:r>
    </w:p>
    <w:p>
      <w:pPr>
        <w:spacing w:after="0" w:line="211" w:lineRule="exact"/>
        <w:rPr>
          <w:sz w:val="20"/>
          <w:szCs w:val="20"/>
          <w:color w:val="auto"/>
        </w:rPr>
      </w:pPr>
    </w:p>
    <w:p>
      <w:pPr>
        <w:ind w:right="20" w:firstLine="382"/>
        <w:spacing w:after="0" w:line="263" w:lineRule="auto"/>
        <w:rPr>
          <w:sz w:val="20"/>
          <w:szCs w:val="20"/>
          <w:color w:val="auto"/>
        </w:rPr>
      </w:pPr>
      <w:r>
        <w:rPr>
          <w:rFonts w:ascii="Arial" w:cs="Arial" w:eastAsia="Arial" w:hAnsi="Arial"/>
          <w:sz w:val="18"/>
          <w:szCs w:val="18"/>
          <w:color w:val="auto"/>
        </w:rPr>
        <w:t>Other (loss) income, net, was a loss of $0.2 million for the nine months ended September 30, 2021 compared to a loss of $11.6 million for the nine months ended September 30, 2020, a difference of $11.4 million, primarily due to the prior year loss recognized on the net increase in fair value of both our redeemable convertible preferred stock liability and warrant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382"/>
        <w:spacing w:after="0" w:line="275" w:lineRule="auto"/>
        <w:rPr>
          <w:sz w:val="20"/>
          <w:szCs w:val="20"/>
          <w:color w:val="auto"/>
        </w:rPr>
      </w:pPr>
      <w:r>
        <w:rPr>
          <w:rFonts w:ascii="Arial" w:cs="Arial" w:eastAsia="Arial" w:hAnsi="Arial"/>
          <w:sz w:val="17"/>
          <w:szCs w:val="17"/>
          <w:color w:val="auto"/>
        </w:rPr>
        <w:t>Since our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 To date, we have financed our operations through private placements of preferred stock, issuances of common stock and convertible debt. Through September 30, 2021, we had received gross proceeds of $186.9 million from sales of our preferred stock, issuances of common stock and our issuance of convertible debt. As of September 30, 2021, we had cash, cash equivalents and investments of $242.7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60" w:firstLine="382"/>
        <w:spacing w:after="0" w:line="219" w:lineRule="exact"/>
        <w:rPr>
          <w:sz w:val="20"/>
          <w:szCs w:val="20"/>
          <w:color w:val="auto"/>
        </w:rPr>
      </w:pPr>
      <w:r>
        <w:rPr>
          <w:rFonts w:ascii="Arial" w:cs="Arial" w:eastAsia="Arial" w:hAnsi="Arial"/>
          <w:sz w:val="18"/>
          <w:szCs w:val="18"/>
          <w:color w:val="auto"/>
        </w:rPr>
        <w:t>We have incurred net losses since inception. 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most advanced drug candidates, ALG-010133, ALG-000184 and ALG</w:t>
      </w:r>
      <w:r>
        <w:rPr>
          <w:rFonts w:ascii="MS PGothic" w:cs="MS PGothic" w:eastAsia="MS PGothic" w:hAnsi="MS PGothic"/>
          <w:sz w:val="18"/>
          <w:szCs w:val="18"/>
          <w:color w:val="auto"/>
        </w:rPr>
        <w:t>‑</w:t>
      </w:r>
      <w:r>
        <w:rPr>
          <w:rFonts w:ascii="Arial" w:cs="Arial" w:eastAsia="Arial" w:hAnsi="Arial"/>
          <w:sz w:val="18"/>
          <w:szCs w:val="18"/>
          <w:color w:val="auto"/>
        </w:rPr>
        <w:t>020572, which are still in the early stages of development, as well as our research and development of our other drug candidates within our CHB, NASH and coronavirus programs.</w:t>
      </w:r>
    </w:p>
    <w:p>
      <w:pPr>
        <w:spacing w:after="0" w:line="205" w:lineRule="exact"/>
        <w:rPr>
          <w:sz w:val="20"/>
          <w:szCs w:val="20"/>
          <w:color w:val="auto"/>
        </w:rPr>
      </w:pPr>
    </w:p>
    <w:p>
      <w:pPr>
        <w:ind w:right="220" w:firstLine="382"/>
        <w:spacing w:after="0" w:line="277" w:lineRule="auto"/>
        <w:rPr>
          <w:sz w:val="20"/>
          <w:szCs w:val="20"/>
          <w:color w:val="auto"/>
        </w:rPr>
      </w:pPr>
      <w:r>
        <w:rPr>
          <w:rFonts w:ascii="Arial" w:cs="Arial" w:eastAsia="Arial" w:hAnsi="Arial"/>
          <w:sz w:val="18"/>
          <w:szCs w:val="18"/>
          <w:color w:val="auto"/>
        </w:rPr>
        <w:t>In addition, we are incurring additional costs associated with operating as a public company following our IPO in October 2020. We expect that our expenses will increase substantially to the extent we:</w:t>
      </w:r>
    </w:p>
    <w:p>
      <w:pPr>
        <w:spacing w:after="0" w:line="62" w:lineRule="exact"/>
        <w:rPr>
          <w:sz w:val="20"/>
          <w:szCs w:val="20"/>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our current and future clinical trials, and additional nonclinical studies;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and continue research and nonclinical and clinical development of other drug candidates;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identify additional drug candidates;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pursue marketing approvals for any of our drug candidates that successfully complete clinical trials, if any;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55" w:lineRule="exact"/>
        <w:rPr>
          <w:rFonts w:ascii="Arial" w:cs="Arial" w:eastAsia="Arial" w:hAnsi="Arial"/>
          <w:sz w:val="17"/>
          <w:szCs w:val="17"/>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the manufacture of larger quantities of our drug candidates for clinical development and potentially commercialization;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milestones triggering payments by us under our current and potential future licensing and/or collaboration agreements;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build out or expand existing facilities to support our ongoing development activity; and</w:t>
      </w:r>
    </w:p>
    <w:p>
      <w:pPr>
        <w:spacing w:after="0" w:line="144" w:lineRule="exact"/>
        <w:rPr>
          <w:rFonts w:ascii="Arial" w:cs="Arial" w:eastAsia="Arial" w:hAnsi="Arial"/>
          <w:sz w:val="18"/>
          <w:szCs w:val="18"/>
          <w:color w:val="auto"/>
        </w:rPr>
      </w:pPr>
    </w:p>
    <w:p>
      <w:pPr>
        <w:ind w:left="760" w:right="60" w:hanging="374"/>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any future commercialization efforts and our transition to becoming a public company.</w:t>
      </w:r>
    </w:p>
    <w:p>
      <w:pPr>
        <w:spacing w:after="0" w:line="170" w:lineRule="exact"/>
        <w:rPr>
          <w:sz w:val="20"/>
          <w:szCs w:val="20"/>
          <w:color w:val="auto"/>
        </w:rPr>
      </w:pPr>
    </w:p>
    <w:p>
      <w:pPr>
        <w:ind w:right="160" w:firstLine="382"/>
        <w:spacing w:after="0" w:line="271" w:lineRule="auto"/>
        <w:rPr>
          <w:sz w:val="20"/>
          <w:szCs w:val="20"/>
          <w:color w:val="auto"/>
        </w:rPr>
      </w:pPr>
      <w:r>
        <w:rPr>
          <w:rFonts w:ascii="Arial" w:cs="Arial" w:eastAsia="Arial" w:hAnsi="Arial"/>
          <w:sz w:val="17"/>
          <w:szCs w:val="17"/>
          <w:color w:val="auto"/>
        </w:rPr>
        <w:t>As of September 30, 2021, we had cash, cash equivalents and investments of $242.7 million. In October 2020, we issued an aggregate of 3,569,630 shares of our Series B-2 redeemable convertible preferred stock in the second tranche of our Series B convertible preferred stock financing for aggregate proceeds to us of $40.0 million. In addition, we have received net proceeds of $151.4 million from the sale of an aggregate of 11,150,000 shares of our common stock on October 20, 2020 and on November 5, 2020 as part of our IPO, and net proceeds of $77.9 million from the sale of 4,400,000 shares of our common stock on July 6, 2021 as part of our follow-on offering. We believe that our existing cash, cash equivalents and investments will enable us to fund our planned operating expenses and capital expenditure requirements through at least the next twelve months. We have based this estimate on assumptions that may prove to be wrong, and we could exhaust our available capital resources sooner than we expect. Furthermore, we may elect to raise additional capital on an opportunistic basis to fund operations.</w:t>
      </w:r>
    </w:p>
    <w:p>
      <w:pPr>
        <w:spacing w:after="0" w:line="178" w:lineRule="exact"/>
        <w:rPr>
          <w:sz w:val="20"/>
          <w:szCs w:val="20"/>
          <w:color w:val="auto"/>
        </w:rPr>
      </w:pPr>
    </w:p>
    <w:p>
      <w:pPr>
        <w:ind w:right="340" w:firstLine="382"/>
        <w:spacing w:after="0" w:line="259" w:lineRule="auto"/>
        <w:rPr>
          <w:sz w:val="20"/>
          <w:szCs w:val="20"/>
          <w:color w:val="auto"/>
        </w:rPr>
      </w:pPr>
      <w:r>
        <w:rPr>
          <w:rFonts w:ascii="Arial" w:cs="Arial" w:eastAsia="Arial" w:hAnsi="Arial"/>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79" w:lineRule="exact"/>
        <w:rPr>
          <w:sz w:val="20"/>
          <w:szCs w:val="20"/>
          <w:color w:val="auto"/>
        </w:rPr>
      </w:pPr>
    </w:p>
    <w:p>
      <w:pPr>
        <w:ind w:left="760" w:right="2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55" w:lineRule="exact"/>
        <w:rPr>
          <w:rFonts w:ascii="Arial" w:cs="Arial" w:eastAsia="Arial" w:hAnsi="Arial"/>
          <w:sz w:val="17"/>
          <w:szCs w:val="17"/>
          <w:color w:val="auto"/>
        </w:rPr>
      </w:pPr>
    </w:p>
    <w:p>
      <w:pPr>
        <w:jc w:val="both"/>
        <w:ind w:left="760" w:right="640" w:hanging="374"/>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 of manufacturing our current and future drug candidates for clinical trials in preparation for marketing approval and commercialization;</w:t>
      </w:r>
    </w:p>
    <w:p>
      <w:pPr>
        <w:spacing w:after="0" w:line="167" w:lineRule="exact"/>
        <w:rPr>
          <w:rFonts w:ascii="Arial" w:cs="Arial" w:eastAsia="Arial" w:hAnsi="Arial"/>
          <w:sz w:val="16"/>
          <w:szCs w:val="16"/>
          <w:color w:val="auto"/>
        </w:rPr>
      </w:pPr>
    </w:p>
    <w:p>
      <w:pPr>
        <w:ind w:left="760" w:right="34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 including milestone payments to our licensors;</w:t>
      </w:r>
    </w:p>
    <w:p>
      <w:pPr>
        <w:spacing w:after="0" w:line="62"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emergence of competing therapies hepatological indications and viral diseases and other adverse market developments;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52"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76" w:lineRule="exact"/>
        <w:rPr>
          <w:sz w:val="20"/>
          <w:szCs w:val="20"/>
          <w:color w:val="auto"/>
        </w:rPr>
      </w:pPr>
    </w:p>
    <w:p>
      <w:pPr>
        <w:ind w:right="40" w:firstLine="382"/>
        <w:spacing w:after="0" w:line="277"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220"/>
        <w:spacing w:after="0" w:line="257" w:lineRule="auto"/>
        <w:rPr>
          <w:sz w:val="20"/>
          <w:szCs w:val="20"/>
          <w:color w:val="auto"/>
        </w:rPr>
      </w:pPr>
      <w:r>
        <w:rPr>
          <w:rFonts w:ascii="Arial" w:cs="Arial" w:eastAsia="Arial" w:hAnsi="Arial"/>
          <w:sz w:val="18"/>
          <w:szCs w:val="18"/>
          <w:color w:val="auto"/>
        </w:rPr>
        <w:t>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your ownership interest.</w:t>
      </w:r>
    </w:p>
    <w:p>
      <w:pPr>
        <w:spacing w:after="0" w:line="188" w:lineRule="exact"/>
        <w:rPr>
          <w:sz w:val="20"/>
          <w:szCs w:val="20"/>
          <w:color w:val="auto"/>
        </w:rPr>
      </w:pPr>
    </w:p>
    <w:p>
      <w:pPr>
        <w:ind w:firstLine="382"/>
        <w:spacing w:after="0" w:line="296"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5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(54,579)</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17,818</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(970)</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w w:val="95"/>
              </w:rPr>
              <w:t>Net increase (decrease) in cash, cash equivalents, and restricted cash</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19,444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(37,731)</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the nine months ended September 30, 2021, operating activities used $78.2 million of cash, primarily resulting from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$90.6 million, and cash used for operating assets and liabilities of $0.2 million, partially offset by non-cash charges of $12.6 million. Net cash used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operating activities resulted in changes in our operating assets and liabilities of $0.2 million, consisting of an increase in other assets of $0.3 million,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decrease of $4.0 million in deferred revenue from collaborations, a decrease of $1.0 million in operating lease liabilities, a decrease of $0.7 million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a decrease of $0.1 million in other liabilities, partially offset by an increase in accrued liabilities of $5.9 million. The decrease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from collaborations was a result of recognition of revenue from collaborations due to progress towards the completion of the project.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 in the operating lease liability was a result of payments made on outstanding lease obligations.</w:t>
      </w:r>
    </w:p>
    <w:p>
      <w:pPr>
        <w:spacing w:after="0" w:line="211"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During the nine months ended September 30, 2020, operating activities used $54.6 million of cash, primarily resulting from our net loss of $74.1 million, partially offset by non-cash charges of $15.9 million and cash provided by changes in our operating assets and liabilities of $3.6 million. Net cash provided by changes in our operating assets and liabilities of $3.6 million consisted of an increase of $5.5 million in accounts payable and accrued liabilities, partially offset by a decrease of $1.0 million in other current assets and a decrease of $0.9 million in operating lease liability. The increase in accounts payable and accrued liabilities was largely due to an increase in external research and development costs. The decrease in other assets was largely due to an increase in prepayments for services. The decrease in the operating lease liability was a result of payments made on outstanding lease obligations.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520" w:firstLine="382"/>
        <w:spacing w:after="0" w:line="308" w:lineRule="auto"/>
        <w:rPr>
          <w:sz w:val="20"/>
          <w:szCs w:val="20"/>
          <w:color w:val="auto"/>
        </w:rPr>
      </w:pPr>
      <w:r>
        <w:rPr>
          <w:rFonts w:ascii="Arial" w:cs="Arial" w:eastAsia="Arial" w:hAnsi="Arial"/>
          <w:sz w:val="17"/>
          <w:szCs w:val="17"/>
          <w:color w:val="auto"/>
        </w:rPr>
        <w:t>During the nine months ended September 30, 2021, investing activities provided $19.5 million of cash, consisting primarily of $23.0 million of investment maturities, offset by $2.9 million of investment purchases and $0.6 million of purchases of property and equipment.</w:t>
      </w:r>
    </w:p>
    <w:p>
      <w:pPr>
        <w:spacing w:after="0" w:line="146" w:lineRule="exact"/>
        <w:rPr>
          <w:sz w:val="20"/>
          <w:szCs w:val="20"/>
          <w:color w:val="auto"/>
        </w:rPr>
      </w:pPr>
    </w:p>
    <w:p>
      <w:pPr>
        <w:ind w:right="520" w:firstLine="382"/>
        <w:spacing w:after="0" w:line="308" w:lineRule="auto"/>
        <w:rPr>
          <w:sz w:val="20"/>
          <w:szCs w:val="20"/>
          <w:color w:val="auto"/>
        </w:rPr>
      </w:pPr>
      <w:r>
        <w:rPr>
          <w:rFonts w:ascii="Arial" w:cs="Arial" w:eastAsia="Arial" w:hAnsi="Arial"/>
          <w:sz w:val="17"/>
          <w:szCs w:val="17"/>
          <w:color w:val="auto"/>
        </w:rPr>
        <w:t>During the nine months ended September 30, 2020, investing activities provided $17.8 million of cash, consisting primarily of $65.1 million of investment maturities, offset by $45.3 million of investment purchases and $2.0 million of purchases of property and equipment.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firstLine="382"/>
        <w:spacing w:after="0" w:line="277" w:lineRule="auto"/>
        <w:rPr>
          <w:sz w:val="20"/>
          <w:szCs w:val="20"/>
          <w:color w:val="auto"/>
        </w:rPr>
      </w:pPr>
      <w:r>
        <w:rPr>
          <w:rFonts w:ascii="Arial" w:cs="Arial" w:eastAsia="Arial" w:hAnsi="Arial"/>
          <w:sz w:val="18"/>
          <w:szCs w:val="18"/>
          <w:color w:val="auto"/>
        </w:rPr>
        <w:t>During the nine months ended September 30, 2021, net cash provided by financing activities was $78.1 million, consisting primarily of $77.9 million in proceeds from our follow-on offering, net of issuance costs, and $0.3 million from the exercise of stock options.</w:t>
      </w:r>
    </w:p>
    <w:p>
      <w:pPr>
        <w:spacing w:after="0" w:line="170" w:lineRule="exact"/>
        <w:rPr>
          <w:sz w:val="20"/>
          <w:szCs w:val="20"/>
          <w:color w:val="auto"/>
        </w:rPr>
      </w:pPr>
    </w:p>
    <w:p>
      <w:pPr>
        <w:ind w:right="60" w:firstLine="382"/>
        <w:spacing w:after="0" w:line="259" w:lineRule="auto"/>
        <w:rPr>
          <w:sz w:val="20"/>
          <w:szCs w:val="20"/>
          <w:color w:val="auto"/>
        </w:rPr>
      </w:pPr>
      <w:r>
        <w:rPr>
          <w:rFonts w:ascii="Arial" w:cs="Arial" w:eastAsia="Arial" w:hAnsi="Arial"/>
          <w:sz w:val="18"/>
          <w:szCs w:val="18"/>
          <w:color w:val="auto"/>
        </w:rPr>
        <w:t>During the nine months ended September 30, 2020, net cash used in financing activities was $1.0 million, consisting primarily of $1.1 million in payments for deferred offering costs and $0.4 million in payments for Series B-1 redeemable convertible preferred stock issuance costs, partially offset by $0.3 million from the proceeds from the exercise of warrants to purchase shares of Series A convertible preferred stock and $0.2 million proceeds from the exercise of stock options.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We have no material changes to our contractual obligations and commitments as of September 30, 2021 as disclosed in the contractual obligations and commitment section in our Annual Report on Form 10-K filed with the SEC on March 23, 2021, except for the amount disclosed in Note 12, commitments and contingencies, in our unaudited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80" w:firstLine="382"/>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80" w:firstLine="382"/>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ind w:right="200" w:firstLine="382"/>
        <w:spacing w:after="0" w:line="301" w:lineRule="auto"/>
        <w:rPr>
          <w:sz w:val="20"/>
          <w:szCs w:val="20"/>
          <w:color w:val="auto"/>
        </w:rPr>
      </w:pPr>
      <w:r>
        <w:rPr>
          <w:rFonts w:ascii="Arial" w:cs="Arial" w:eastAsia="Arial" w:hAnsi="Arial"/>
          <w:sz w:val="16"/>
          <w:szCs w:val="16"/>
          <w:color w:val="auto"/>
        </w:rPr>
        <w:t>For a discussion of our critical accounting estimates, see “Management’s discussion and analysis of financial condition and results of operations” in our annual report on Form 10-K for the year ended December 31, 2020, previously filed with the SEC, the notes to our audited financial statements appearing in the Form 10-K and the notes to the financial statements appearing elsewhere in this Quarterly Report on Form 10-Q. There have been no material changes to these critical accounting policies and estimates through September 30, 2021 from those discussed in our Form 10-K.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80" w:firstLine="382"/>
        <w:spacing w:after="0" w:line="277" w:lineRule="auto"/>
        <w:rPr>
          <w:sz w:val="20"/>
          <w:szCs w:val="20"/>
          <w:color w:val="auto"/>
        </w:rPr>
      </w:pPr>
      <w:r>
        <w:rPr>
          <w:rFonts w:ascii="Arial" w:cs="Arial" w:eastAsia="Arial" w:hAnsi="Arial"/>
          <w:sz w:val="18"/>
          <w:szCs w:val="18"/>
          <w:color w:val="auto"/>
        </w:rPr>
        <w:t>For a description of the expected impact of recently adopted accounting pronouncements, see Note 2. Summary of Significant Accounting Policies in the “Notes to Unaudited Condensed Consolidated Financial Statements” contained in Part I, Item 1 of this report.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382"/>
        <w:spacing w:after="0" w:line="288" w:lineRule="auto"/>
        <w:rPr>
          <w:sz w:val="20"/>
          <w:szCs w:val="20"/>
          <w:color w:val="auto"/>
        </w:rPr>
      </w:pPr>
      <w:r>
        <w:rPr>
          <w:rFonts w:ascii="Arial" w:cs="Arial" w:eastAsia="Arial" w:hAnsi="Arial"/>
          <w:sz w:val="16"/>
          <w:szCs w:val="16"/>
          <w:color w:val="auto"/>
        </w:rPr>
        <w:t>We are exposed to market risk related to changes in interest rates applicable to our investment portfolio of cash equivalents and short-term and long-term investments. As of September 30, 2021, our cash equivalents consisted of money market funds. As of September 30, 2021, our short-term and long-term investments consisted of certificates of deposit. Our primary exposure to market risk is interest income sensitivity, which is affected by changes in the general level of U.S. interest rates. Should U.S. interest rates decline, interest income would be reduced in future periods for short- and long-term investments which mature and the proceeds of which are reinvested in similar instruments at lower interest rates. Additionally, the fair value of our short-term and long-term investments is subject to change as a result of potential changes in market interest rates, including changes resulting from the impact of the COVID-19 pandemic. The potential change in fair value from interest-rate-sensitive instruments has been assessed on a hypothetical 100 basis point adverse movement across all maturities. As of September 30, 2021, we estimate that a hypothetical 100 basis point adverse movement would not result in a material impact on our financial position or results of operations or cash flows. As of September 30, 2021, we had no debt outstanding, besides short-term payables arising in the normal course of business, and are therefore not exposed to interest rate risk with respect to debt.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40" w:firstLine="382"/>
        <w:spacing w:after="0" w:line="290" w:lineRule="auto"/>
        <w:rPr>
          <w:sz w:val="20"/>
          <w:szCs w:val="20"/>
          <w:color w:val="auto"/>
        </w:rPr>
      </w:pPr>
      <w:r>
        <w:rPr>
          <w:rFonts w:ascii="Arial" w:cs="Arial" w:eastAsia="Arial" w:hAnsi="Arial"/>
          <w:sz w:val="16"/>
          <w:szCs w:val="16"/>
          <w:color w:val="auto"/>
        </w:rPr>
        <w:t>We have employees and operations, including contracts with third-party vendors, in Europe through our subsidiary Aligos Belgium BVBA. We have similar, but more limited, operations in Australia and China. Though the functional currency in these 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We have established disclosure controls and procedures (as defined in Rules 13a-15(e) and 15d-15(e) under the Exchange Act) designed to ensure that information required to be disclosed in the reports that we file or submit under the Securities Exchange Act of 1934, as amended, or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September 30, 2021, our disclosure controls and procedures were effective.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20" w:firstLine="382"/>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fiscal quarter ended September 30, 2021 that has materially affected, or is reasonably likely to materially affect, our internal control over financial reporting.</w:t>
      </w:r>
    </w:p>
    <w:p>
      <w:pPr>
        <w:spacing w:after="0" w:line="184"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As a result of the COVID-19 pandemic, in March 2020, substantially all of our employees began working remotely. Since the availability of COVID-19 vaccines in 2021, almost all of our U.S. employees have been fully vaccinated and as a result, we are allowing such employees to return to work at our U.S. facility. We have not identified any material changes in our internal control over financial reporting as a result of these changes to the working environment, in part because our internal control over financial reporting was designed to operate in a remote working environment. We are continually monitoring and assessing the COVID-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19 situation to determine any potential impacts on the design and operating effectiveness of our internal controls over financial reporting.</w:t>
      </w:r>
    </w:p>
    <w:p>
      <w:pPr>
        <w:sectPr>
          <w:pgSz w:w="11900" w:h="16838" w:orient="portrait"/>
          <w:cols w:equalWidth="0" w:num="1">
            <w:col w:w="10139"/>
          </w:cols>
          <w:pgMar w:left="320" w:top="557" w:right="1440" w:bottom="1440" w:gutter="0" w:footer="0" w:header="0"/>
        </w:sectPr>
      </w:pP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100" w:firstLine="382"/>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While the outcome of any such proceedings cannot be predicted with certainty, as of September 30, 2021, we were not a party to any litigation or legal proceedings that, in the opinion of our management, are probable to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Many of the following risks and uncertainties are, and will be, exacerbated by the coronavirus pandemic (COVID-19) and any worsening of the global business and economic environment as a result.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57" w:lineRule="exact"/>
        <w:rPr>
          <w:sz w:val="20"/>
          <w:szCs w:val="20"/>
          <w:color w:val="auto"/>
        </w:rPr>
      </w:pPr>
    </w:p>
    <w:p>
      <w:pPr>
        <w:ind w:right="60" w:firstLine="382"/>
        <w:spacing w:after="0" w:line="296" w:lineRule="auto"/>
        <w:rPr>
          <w:sz w:val="20"/>
          <w:szCs w:val="20"/>
          <w:color w:val="auto"/>
        </w:rPr>
      </w:pPr>
      <w:r>
        <w:rPr>
          <w:rFonts w:ascii="Arial" w:cs="Arial" w:eastAsia="Arial" w:hAnsi="Arial"/>
          <w:sz w:val="16"/>
          <w:szCs w:val="16"/>
          <w:color w:val="auto"/>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spacing w:after="0" w:line="161"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Since inception, we have incurred significant net losses. Our net losses were $90.6 million for the nine months ended September 30, 2021 and</w:t>
      </w:r>
    </w:p>
    <w:p>
      <w:pPr>
        <w:spacing w:after="0" w:line="35"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$108.5 million for the year ended December 31, 2020. As of September 30, 2021, we had a total stockholders’ equity of $217.0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expect to continue to incur significant expenses and operating losses for the foreseeable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17" w:lineRule="exact"/>
        <w:rPr>
          <w:sz w:val="20"/>
          <w:szCs w:val="20"/>
          <w:color w:val="auto"/>
        </w:rPr>
      </w:pPr>
    </w:p>
    <w:p>
      <w:pPr>
        <w:ind w:right="40" w:firstLine="382"/>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79" w:lineRule="exact"/>
        <w:rPr>
          <w:sz w:val="20"/>
          <w:szCs w:val="20"/>
          <w:color w:val="auto"/>
        </w:rPr>
      </w:pPr>
    </w:p>
    <w:p>
      <w:pPr>
        <w:ind w:left="760" w:hanging="374"/>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completing clinical and nonclinical development of drug candidates and programs and identifying and developing new drug candidates;</w:t>
      </w:r>
    </w:p>
    <w:p>
      <w:pPr>
        <w:spacing w:after="0" w:line="155" w:lineRule="exact"/>
        <w:rPr>
          <w:rFonts w:ascii="Arial" w:cs="Arial" w:eastAsia="Arial" w:hAnsi="Arial"/>
          <w:sz w:val="17"/>
          <w:szCs w:val="17"/>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drug candidates that we develop;</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8" w:name="page39"/>
    <w:bookmarkEnd w:id="38"/>
    <w:p>
      <w:pPr>
        <w:ind w:left="760" w:right="20" w:hanging="374"/>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drug candidates that we develop;</w:t>
      </w:r>
    </w:p>
    <w:p>
      <w:pPr>
        <w:spacing w:after="0" w:line="144" w:lineRule="exact"/>
        <w:rPr>
          <w:rFonts w:ascii="Arial" w:cs="Arial" w:eastAsia="Arial" w:hAnsi="Arial"/>
          <w:sz w:val="18"/>
          <w:szCs w:val="18"/>
          <w:color w:val="auto"/>
        </w:rPr>
      </w:pPr>
    </w:p>
    <w:p>
      <w:pPr>
        <w:ind w:left="760" w:right="280" w:hanging="374"/>
        <w:spacing w:after="0" w:line="342"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15" w:lineRule="exact"/>
        <w:rPr>
          <w:rFonts w:ascii="Arial" w:cs="Arial" w:eastAsia="Arial" w:hAnsi="Arial"/>
          <w:sz w:val="16"/>
          <w:szCs w:val="16"/>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market acceptance of drug candidates that we develop as viable treatment options;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technological and market developments;</w:t>
      </w:r>
    </w:p>
    <w:p>
      <w:pPr>
        <w:spacing w:after="0" w:line="144" w:lineRule="exact"/>
        <w:rPr>
          <w:rFonts w:ascii="Arial" w:cs="Arial" w:eastAsia="Arial" w:hAnsi="Arial"/>
          <w:sz w:val="18"/>
          <w:szCs w:val="18"/>
          <w:color w:val="auto"/>
        </w:rPr>
      </w:pPr>
    </w:p>
    <w:p>
      <w:pPr>
        <w:ind w:left="760" w:right="340" w:hanging="374"/>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maintaining, protecting, enforcing and expanding our portfolio of intellectual property rights, including patents, trade secrets and know-how;</w:t>
      </w:r>
    </w:p>
    <w:p>
      <w:pPr>
        <w:spacing w:after="0" w:line="155" w:lineRule="exact"/>
        <w:rPr>
          <w:rFonts w:ascii="Arial" w:cs="Arial" w:eastAsia="Arial" w:hAnsi="Arial"/>
          <w:sz w:val="17"/>
          <w:szCs w:val="17"/>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29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6"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As of September 30, 2021, we had cash, cash equivalents and investments of $242.7 million. In October 2020, we issued an aggregate of 3,569,630 shares of our Series B-2 redeemable convertible preferred stock in the second tranche of our Series B convertible preferred stock financing for aggregate proceeds to us of $40.0 million. In addition, we have received net proceeds of $151.4 million from the sale of an aggregate of 11,150,000 shares of our common stock on October 20, 2020 and on November 5, 2020 as part of our IPO, and net proceeds of $77.9 million from the sale of 4,400,000 shares of our common stock on July 6, 2021 as part of a follow-on offering.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760" w:right="20" w:hanging="374"/>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55" w:lineRule="exact"/>
        <w:rPr>
          <w:rFonts w:ascii="Arial" w:cs="Arial" w:eastAsia="Arial" w:hAnsi="Arial"/>
          <w:sz w:val="17"/>
          <w:szCs w:val="17"/>
          <w:color w:val="auto"/>
        </w:rPr>
      </w:pPr>
    </w:p>
    <w:p>
      <w:pPr>
        <w:jc w:val="both"/>
        <w:ind w:left="760" w:right="640" w:hanging="374"/>
        <w:spacing w:after="0" w:line="263"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 of manufacturing our current and future drug candidates for clinical trials in preparation for marketing approval and commercialization;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9" w:name="page40"/>
    <w:bookmarkEnd w:id="39"/>
    <w:p>
      <w:pPr>
        <w:ind w:left="760" w:right="400" w:hanging="374"/>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 including milestone payments to our licensors;</w:t>
      </w:r>
    </w:p>
    <w:p>
      <w:pPr>
        <w:spacing w:after="0" w:line="62" w:lineRule="exact"/>
        <w:rPr>
          <w:rFonts w:ascii="Arial" w:cs="Arial" w:eastAsia="Arial" w:hAnsi="Arial"/>
          <w:sz w:val="18"/>
          <w:szCs w:val="18"/>
          <w:color w:val="auto"/>
        </w:rPr>
      </w:pPr>
    </w:p>
    <w:p>
      <w:pPr>
        <w:ind w:left="760" w:right="40" w:hanging="374"/>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emergence of competing therapies for hepatological indications and viral diseases and other adverse market developments; and</w:t>
      </w:r>
    </w:p>
    <w:p>
      <w:pPr>
        <w:spacing w:after="0" w:line="155" w:lineRule="exact"/>
        <w:rPr>
          <w:rFonts w:ascii="Arial" w:cs="Arial" w:eastAsia="Arial" w:hAnsi="Arial"/>
          <w:sz w:val="17"/>
          <w:szCs w:val="17"/>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52" w:lineRule="exact"/>
        <w:rPr>
          <w:sz w:val="20"/>
          <w:szCs w:val="20"/>
          <w:color w:val="auto"/>
        </w:rPr>
      </w:pPr>
    </w:p>
    <w:p>
      <w:pPr>
        <w:ind w:right="40" w:firstLine="382"/>
        <w:spacing w:after="0" w:line="272" w:lineRule="auto"/>
        <w:rPr>
          <w:sz w:val="20"/>
          <w:szCs w:val="20"/>
          <w:color w:val="auto"/>
        </w:rPr>
      </w:pPr>
      <w:r>
        <w:rPr>
          <w:rFonts w:ascii="Arial" w:cs="Arial" w:eastAsia="Arial" w:hAnsi="Arial"/>
          <w:sz w:val="17"/>
          <w:szCs w:val="17"/>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the COVID-19 pandemic and the macro-economic environment generally.</w:t>
      </w:r>
    </w:p>
    <w:p>
      <w:pPr>
        <w:spacing w:after="0" w:line="177"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In particular, the COVID-19 pandemic continues to rapidly evolve and has already resulted in a significant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80" w:lineRule="exact"/>
        <w:rPr>
          <w:sz w:val="20"/>
          <w:szCs w:val="20"/>
          <w:color w:val="auto"/>
        </w:rPr>
      </w:pPr>
    </w:p>
    <w:p>
      <w:pPr>
        <w:ind w:left="760" w:right="24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limit, reduce or terminate nonclinical studies, clinical trials or other research and development activities or eliminate one or more of our development programs altogether; or</w:t>
      </w:r>
    </w:p>
    <w:p>
      <w:pPr>
        <w:spacing w:after="0" w:line="62" w:lineRule="exact"/>
        <w:rPr>
          <w:rFonts w:ascii="Arial" w:cs="Arial" w:eastAsia="Arial" w:hAnsi="Arial"/>
          <w:sz w:val="18"/>
          <w:szCs w:val="18"/>
          <w:color w:val="auto"/>
        </w:rPr>
      </w:pPr>
    </w:p>
    <w:p>
      <w:pPr>
        <w:jc w:val="both"/>
        <w:ind w:left="760" w:right="600" w:hanging="374"/>
        <w:spacing w:after="0" w:line="263"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2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62" w:lineRule="exact"/>
        <w:rPr>
          <w:sz w:val="20"/>
          <w:szCs w:val="20"/>
          <w:color w:val="auto"/>
        </w:rPr>
      </w:pPr>
    </w:p>
    <w:p>
      <w:pPr>
        <w:ind w:right="800" w:firstLine="382"/>
        <w:spacing w:after="0" w:line="308" w:lineRule="auto"/>
        <w:rPr>
          <w:sz w:val="20"/>
          <w:szCs w:val="20"/>
          <w:color w:val="auto"/>
        </w:rPr>
      </w:pPr>
      <w:r>
        <w:rPr>
          <w:rFonts w:ascii="Arial" w:cs="Arial" w:eastAsia="Arial" w:hAnsi="Arial"/>
          <w:sz w:val="17"/>
          <w:szCs w:val="17"/>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38" w:lineRule="exact"/>
        <w:rPr>
          <w:sz w:val="20"/>
          <w:szCs w:val="20"/>
          <w:color w:val="auto"/>
        </w:rPr>
      </w:pPr>
    </w:p>
    <w:p>
      <w:pPr>
        <w:ind w:left="760" w:hanging="374"/>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development and commercialization activities, which may change from time to time;</w:t>
      </w:r>
    </w:p>
    <w:p>
      <w:pPr>
        <w:spacing w:after="0" w:line="167" w:lineRule="exact"/>
        <w:rPr>
          <w:rFonts w:ascii="Arial" w:cs="Arial" w:eastAsia="Arial" w:hAnsi="Arial"/>
          <w:sz w:val="16"/>
          <w:szCs w:val="16"/>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44" w:lineRule="exact"/>
        <w:rPr>
          <w:rFonts w:ascii="Arial" w:cs="Arial" w:eastAsia="Arial" w:hAnsi="Arial"/>
          <w:sz w:val="18"/>
          <w:szCs w:val="18"/>
          <w:color w:val="auto"/>
        </w:rPr>
      </w:pPr>
    </w:p>
    <w:p>
      <w:pPr>
        <w:ind w:left="760" w:right="820" w:hanging="374"/>
        <w:spacing w:after="0" w:line="308"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38" w:lineRule="exact"/>
        <w:rPr>
          <w:rFonts w:ascii="Arial" w:cs="Arial" w:eastAsia="Arial" w:hAnsi="Arial"/>
          <w:sz w:val="17"/>
          <w:szCs w:val="17"/>
          <w:color w:val="auto"/>
        </w:rPr>
      </w:pPr>
    </w:p>
    <w:p>
      <w:pPr>
        <w:ind w:left="760" w:right="240" w:hanging="374"/>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produced, and the terms of any agreements we enter into with third-party suppliers;</w:t>
      </w:r>
    </w:p>
    <w:p>
      <w:pPr>
        <w:spacing w:after="0" w:line="62" w:lineRule="exact"/>
        <w:rPr>
          <w:rFonts w:ascii="Arial" w:cs="Arial" w:eastAsia="Arial" w:hAnsi="Arial"/>
          <w:sz w:val="18"/>
          <w:szCs w:val="18"/>
          <w:color w:val="auto"/>
        </w:rPr>
      </w:pPr>
    </w:p>
    <w:p>
      <w:pPr>
        <w:ind w:left="760" w:right="80" w:hanging="374"/>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amount of any milestone, royalty or other payments due under any current or future collaboration or license agreement, including our existing license agreements with Emory University (Emory) and Luxna Biotech Co., Ltd. (Luxna);</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coverage and reimbursement policies with respect to any future approved products, and potential future drugs that compete with our products;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left="760" w:right="280" w:hanging="374"/>
        <w:spacing w:after="0" w:line="308"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and cost to establish a sales, marketing, medical affairs and distribution infrastructure to commercialize any products for which we may obtain marketing approval and intend to commercialize on our own or jointly with current or future collaborators;</w:t>
      </w:r>
    </w:p>
    <w:p>
      <w:pPr>
        <w:spacing w:after="0" w:line="38" w:lineRule="exact"/>
        <w:rPr>
          <w:rFonts w:ascii="Arial" w:cs="Arial" w:eastAsia="Arial" w:hAnsi="Arial"/>
          <w:sz w:val="17"/>
          <w:szCs w:val="17"/>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principles or our accounting policies; and</w:t>
      </w:r>
    </w:p>
    <w:p>
      <w:pPr>
        <w:spacing w:after="0" w:line="144" w:lineRule="exact"/>
        <w:rPr>
          <w:rFonts w:ascii="Arial" w:cs="Arial" w:eastAsia="Arial" w:hAnsi="Arial"/>
          <w:sz w:val="18"/>
          <w:szCs w:val="18"/>
          <w:color w:val="auto"/>
        </w:rPr>
      </w:pPr>
    </w:p>
    <w:p>
      <w:pPr>
        <w:ind w:left="760" w:right="400" w:hanging="374"/>
        <w:spacing w:after="0" w:line="308"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146" w:lineRule="exact"/>
        <w:rPr>
          <w:sz w:val="20"/>
          <w:szCs w:val="20"/>
          <w:color w:val="auto"/>
        </w:rPr>
      </w:pPr>
    </w:p>
    <w:p>
      <w:pPr>
        <w:ind w:right="40" w:firstLine="382"/>
        <w:spacing w:after="0" w:line="26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4" w:lineRule="exact"/>
        <w:rPr>
          <w:sz w:val="20"/>
          <w:szCs w:val="20"/>
          <w:color w:val="auto"/>
        </w:rPr>
      </w:pPr>
    </w:p>
    <w:p>
      <w:pPr>
        <w:ind w:firstLine="382"/>
        <w:spacing w:after="0" w:line="301"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26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business could be materially adversely affected by the effects of health pandemics or epidemics, including the current outbreak of COVID-19 and future coronavirus outbreaks, and in particular in regions where we or third parties on which we rely have significant manufacturing facilities, concentrations of clinical trial sites or other business operations, including the San Francisco Bay Area where our headquarters are located.</w:t>
      </w:r>
    </w:p>
    <w:p>
      <w:pPr>
        <w:spacing w:after="0" w:line="41" w:lineRule="exact"/>
        <w:rPr>
          <w:sz w:val="20"/>
          <w:szCs w:val="20"/>
          <w:color w:val="auto"/>
        </w:rPr>
      </w:pPr>
    </w:p>
    <w:p>
      <w:pPr>
        <w:ind w:right="20" w:firstLine="562"/>
        <w:spacing w:after="0" w:line="268" w:lineRule="auto"/>
        <w:rPr>
          <w:sz w:val="20"/>
          <w:szCs w:val="20"/>
          <w:color w:val="auto"/>
        </w:rPr>
      </w:pPr>
      <w:r>
        <w:rPr>
          <w:rFonts w:ascii="Arial" w:cs="Arial" w:eastAsia="Arial" w:hAnsi="Arial"/>
          <w:sz w:val="17"/>
          <w:szCs w:val="17"/>
          <w:color w:val="auto"/>
        </w:rPr>
        <w:t>Our business could be materially adversely affected by the effects of health pandemics or epidemics, including the current outbreak of COVID-19, which the World Health Organization declared a global pandemic and which has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implemented work-from-home policies for most of our employees. Since the availability of COVID-19 vaccines, almost all of our U.S. employees have been fully vaccinated and as a result, we are allowing such employees to return to work at our U.S. facility. However, as the global COVID-19 pandemic and orders and guidance from state and local governments continue to evolve, we may need to reverse course and again implement work-from-home policies as necessary. Government-imposed quarantines and our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upticks in COVID-19 cases and other limitations on our ability to conduct our business in the ordinary course. Although we do not anticipate any impacts to our clinical programs, these and similar, and perhaps more severe, disruptions in our operations could negatively impact our business, operating results and financial condition in the future.</w:t>
      </w:r>
    </w:p>
    <w:p>
      <w:pPr>
        <w:spacing w:after="0" w:line="76" w:lineRule="exact"/>
        <w:rPr>
          <w:sz w:val="20"/>
          <w:szCs w:val="20"/>
          <w:color w:val="auto"/>
        </w:rPr>
      </w:pPr>
    </w:p>
    <w:p>
      <w:pPr>
        <w:ind w:right="20" w:firstLine="562"/>
        <w:spacing w:after="0" w:line="275" w:lineRule="auto"/>
        <w:rPr>
          <w:sz w:val="20"/>
          <w:szCs w:val="20"/>
          <w:color w:val="auto"/>
        </w:rPr>
      </w:pPr>
      <w:r>
        <w:rPr>
          <w:rFonts w:ascii="Arial" w:cs="Arial" w:eastAsia="Arial" w:hAnsi="Arial"/>
          <w:sz w:val="17"/>
          <w:szCs w:val="17"/>
          <w:color w:val="auto"/>
        </w:rPr>
        <w:t>Quarantines, shutdowns and shelter-in-place and similar government orders related to COVID-19 or other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Although we do not anticipate any clinical supply issues or concerns for our planned clinical trials, restrictions resulting from the COVID-19 outbreak may disrupt our supply chain in the future and delay or limit our ability to obtain sufficient materials for our drug candidates.</w:t>
      </w:r>
    </w:p>
    <w:p>
      <w:pPr>
        <w:spacing w:after="0" w:line="68" w:lineRule="exact"/>
        <w:rPr>
          <w:sz w:val="20"/>
          <w:szCs w:val="20"/>
          <w:color w:val="auto"/>
        </w:rPr>
      </w:pPr>
    </w:p>
    <w:p>
      <w:pPr>
        <w:ind w:right="80" w:firstLine="562"/>
        <w:spacing w:after="0" w:line="296" w:lineRule="auto"/>
        <w:rPr>
          <w:sz w:val="20"/>
          <w:szCs w:val="20"/>
          <w:color w:val="auto"/>
        </w:rPr>
      </w:pPr>
      <w:r>
        <w:rPr>
          <w:rFonts w:ascii="Arial" w:cs="Arial" w:eastAsia="Arial" w:hAnsi="Arial"/>
          <w:sz w:val="16"/>
          <w:szCs w:val="16"/>
          <w:color w:val="auto"/>
        </w:rPr>
        <w:t>In addition, our current clinical trial and planned clinical trials may be affected by the ongoing COVID-19 pandemic. Site initiation and patient enrollment may be delayed due to prioritization of hospital resources toward the COVID-19 pandemic,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COVID-19, may be delayed or disrupted, which may adversely impact our clinical trial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firstLine="562"/>
        <w:spacing w:after="0" w:line="259" w:lineRule="auto"/>
        <w:rPr>
          <w:sz w:val="20"/>
          <w:szCs w:val="20"/>
          <w:color w:val="auto"/>
        </w:rPr>
      </w:pPr>
      <w:r>
        <w:rPr>
          <w:rFonts w:ascii="Arial" w:cs="Arial" w:eastAsia="Arial" w:hAnsi="Arial"/>
          <w:sz w:val="18"/>
          <w:szCs w:val="18"/>
          <w:color w:val="auto"/>
        </w:rPr>
        <w:t>In addition, the global COVID-19 pandemic has adversely affected, and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79"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In addition, while the duration and severity of the effects of COVID-19 may be difficult to assess or predict,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the COVID-19 pandemic or other health pandemics or epidemics could materially adversely affect the value of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regulatory process</w:t>
      </w:r>
    </w:p>
    <w:p>
      <w:pPr>
        <w:spacing w:after="0" w:line="12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b w:val="1"/>
          <w:bCs w:val="1"/>
          <w:i w:val="1"/>
          <w:iCs w:val="1"/>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41"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Our clinical development efforts across our drug candidates are in an early stage. We have initiated clinical trials for our most advanced drug candidates in many countries, ALG-010133 and ALG-000184 in New Zealand, Hong Kong, the United Kingdom, South Korea, China and Moldova and ALG-020572 in New Zealand.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178" w:lineRule="exact"/>
        <w:rPr>
          <w:sz w:val="20"/>
          <w:szCs w:val="20"/>
          <w:color w:val="auto"/>
        </w:rPr>
      </w:pPr>
    </w:p>
    <w:p>
      <w:pPr>
        <w:ind w:right="60" w:firstLine="382"/>
        <w:spacing w:after="0" w:line="254"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95" w:lineRule="exact"/>
        <w:rPr>
          <w:sz w:val="20"/>
          <w:szCs w:val="20"/>
          <w:color w:val="auto"/>
        </w:rPr>
      </w:pPr>
    </w:p>
    <w:p>
      <w:pPr>
        <w:ind w:right="20" w:firstLine="382"/>
        <w:spacing w:after="0" w:line="217" w:lineRule="exact"/>
        <w:rPr>
          <w:sz w:val="20"/>
          <w:szCs w:val="20"/>
          <w:color w:val="auto"/>
        </w:rPr>
      </w:pPr>
      <w:r>
        <w:rPr>
          <w:rFonts w:ascii="Arial" w:cs="Arial" w:eastAsia="Arial" w:hAnsi="Arial"/>
          <w:sz w:val="17"/>
          <w:szCs w:val="17"/>
          <w:color w:val="auto"/>
        </w:rPr>
        <w:t>As an organization, we have not yet completed any clinical trials for any of our drug candidates. Each of our lead drug candidates, ALG-010133, ALG-000184 and ALG</w:t>
      </w:r>
      <w:r>
        <w:rPr>
          <w:rFonts w:ascii="MS PGothic" w:cs="MS PGothic" w:eastAsia="MS PGothic" w:hAnsi="MS PGothic"/>
          <w:sz w:val="17"/>
          <w:szCs w:val="17"/>
          <w:color w:val="auto"/>
        </w:rPr>
        <w:t>‑</w:t>
      </w:r>
      <w:r>
        <w:rPr>
          <w:rFonts w:ascii="Arial" w:cs="Arial" w:eastAsia="Arial" w:hAnsi="Arial"/>
          <w:sz w:val="17"/>
          <w:szCs w:val="17"/>
          <w:color w:val="auto"/>
        </w:rPr>
        <w:t>020572 is currently being evaluated in Phase 1 clinical trials in many countries, ALG-010133 and ALG-000184 in New Zealand, Hong Kong, the United Kingdom, South Korea, China and Moldova, and ALG-020572 in New Zealand.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206"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ind w:right="80"/>
        <w:spacing w:after="0" w:line="277" w:lineRule="auto"/>
        <w:rPr>
          <w:sz w:val="20"/>
          <w:szCs w:val="20"/>
          <w:color w:val="auto"/>
        </w:rPr>
      </w:pPr>
      <w:r>
        <w:rPr>
          <w:rFonts w:ascii="Arial" w:cs="Arial" w:eastAsia="Arial" w:hAnsi="Arial"/>
          <w:sz w:val="18"/>
          <w:szCs w:val="18"/>
          <w:color w:val="auto"/>
        </w:rPr>
        <w:t>commercial sales, as well as pricing and distribution of drugs, and we may be required to expend significant resources to obtain regulatory approval and to comply with ongoing regulations in these jurisdictions.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success of our current and future drug candidates will depend on many factors, which may include the following:</w:t>
      </w:r>
    </w:p>
    <w:p>
      <w:pPr>
        <w:spacing w:after="0" w:line="117" w:lineRule="exact"/>
        <w:rPr>
          <w:sz w:val="20"/>
          <w:szCs w:val="20"/>
          <w:color w:val="auto"/>
        </w:rPr>
      </w:pPr>
    </w:p>
    <w:p>
      <w:pPr>
        <w:ind w:left="760" w:right="48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and successfully utilize our drug discovery platforms;</w:t>
      </w:r>
    </w:p>
    <w:p>
      <w:pPr>
        <w:spacing w:after="0" w:line="144" w:lineRule="exact"/>
        <w:rPr>
          <w:rFonts w:ascii="Arial" w:cs="Arial" w:eastAsia="Arial" w:hAnsi="Arial"/>
          <w:sz w:val="18"/>
          <w:szCs w:val="18"/>
          <w:color w:val="auto"/>
        </w:rPr>
      </w:pPr>
    </w:p>
    <w:p>
      <w:pPr>
        <w:ind w:left="760" w:right="52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62" w:lineRule="exact"/>
        <w:rPr>
          <w:rFonts w:ascii="Arial" w:cs="Arial" w:eastAsia="Arial" w:hAnsi="Arial"/>
          <w:sz w:val="18"/>
          <w:szCs w:val="18"/>
          <w:color w:val="auto"/>
        </w:rPr>
      </w:pPr>
    </w:p>
    <w:p>
      <w:pPr>
        <w:ind w:left="760" w:right="24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(INDs), clinical trial applications (CTAs) and/or similar applications in other jurisdictions for our planned and future clinical trials;</w:t>
      </w:r>
    </w:p>
    <w:p>
      <w:pPr>
        <w:spacing w:after="0" w:line="62"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successful data from our clinical program that supports an acceptable risk-benefit profile of our drug candidates in the intended populations;</w:t>
      </w:r>
    </w:p>
    <w:p>
      <w:pPr>
        <w:spacing w:after="0" w:line="167" w:lineRule="exact"/>
        <w:rPr>
          <w:rFonts w:ascii="Arial" w:cs="Arial" w:eastAsia="Arial" w:hAnsi="Arial"/>
          <w:sz w:val="16"/>
          <w:szCs w:val="16"/>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144" w:lineRule="exact"/>
        <w:rPr>
          <w:rFonts w:ascii="Arial" w:cs="Arial" w:eastAsia="Arial" w:hAnsi="Arial"/>
          <w:sz w:val="18"/>
          <w:szCs w:val="18"/>
          <w:color w:val="auto"/>
        </w:rPr>
      </w:pPr>
    </w:p>
    <w:p>
      <w:pPr>
        <w:ind w:left="760" w:right="46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drug candidates are approved;</w:t>
      </w:r>
    </w:p>
    <w:p>
      <w:pPr>
        <w:spacing w:after="0" w:line="62" w:lineRule="exact"/>
        <w:rPr>
          <w:rFonts w:ascii="Arial" w:cs="Arial" w:eastAsia="Arial" w:hAnsi="Arial"/>
          <w:sz w:val="18"/>
          <w:szCs w:val="18"/>
          <w:color w:val="auto"/>
        </w:rPr>
      </w:pPr>
    </w:p>
    <w:p>
      <w:pPr>
        <w:ind w:left="760" w:right="40" w:hanging="374"/>
        <w:spacing w:after="0" w:line="342"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15" w:lineRule="exact"/>
        <w:rPr>
          <w:rFonts w:ascii="Arial" w:cs="Arial" w:eastAsia="Arial" w:hAnsi="Arial"/>
          <w:sz w:val="16"/>
          <w:szCs w:val="16"/>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drug candidates in select indications or geographies;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maintaining and expanding our portfolio of intellectual property rights, including patents, trade secrets and know-how;</w:t>
      </w:r>
    </w:p>
    <w:p>
      <w:pPr>
        <w:spacing w:after="0" w:line="144" w:lineRule="exact"/>
        <w:rPr>
          <w:rFonts w:ascii="Arial" w:cs="Arial" w:eastAsia="Arial" w:hAnsi="Arial"/>
          <w:sz w:val="18"/>
          <w:szCs w:val="18"/>
          <w:color w:val="auto"/>
        </w:rPr>
      </w:pPr>
    </w:p>
    <w:p>
      <w:pPr>
        <w:ind w:left="760" w:right="26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drug candidates;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launching commercial sales of our drug candidates, if approved;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the drug candidate’s benefits and uses, if approved, by patients, the medical community and third-party payors;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prevalence, duration and severity of potential side effects or other safety issues experienced with our drug candidates following approval;</w:t>
      </w:r>
    </w:p>
    <w:p>
      <w:pPr>
        <w:spacing w:after="0" w:line="167" w:lineRule="exact"/>
        <w:rPr>
          <w:rFonts w:ascii="Arial" w:cs="Arial" w:eastAsia="Arial" w:hAnsi="Arial"/>
          <w:sz w:val="16"/>
          <w:szCs w:val="16"/>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252"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76" w:lineRule="exact"/>
        <w:rPr>
          <w:sz w:val="20"/>
          <w:szCs w:val="20"/>
          <w:color w:val="auto"/>
        </w:rPr>
      </w:pPr>
    </w:p>
    <w:p>
      <w:pPr>
        <w:ind w:firstLine="382"/>
        <w:spacing w:after="0" w:line="217" w:lineRule="exact"/>
        <w:rPr>
          <w:sz w:val="20"/>
          <w:szCs w:val="20"/>
          <w:color w:val="auto"/>
        </w:rPr>
      </w:pPr>
      <w:r>
        <w:rPr>
          <w:rFonts w:ascii="Arial" w:cs="Arial" w:eastAsia="Arial" w:hAnsi="Arial"/>
          <w:sz w:val="16"/>
          <w:szCs w:val="16"/>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have three drug candidates (ALG-010133, ALG-000184 and ALG</w:t>
      </w:r>
      <w:r>
        <w:rPr>
          <w:rFonts w:ascii="MS PGothic" w:cs="MS PGothic" w:eastAsia="MS PGothic" w:hAnsi="MS PGothic"/>
          <w:sz w:val="16"/>
          <w:szCs w:val="16"/>
          <w:color w:val="auto"/>
        </w:rPr>
        <w:t>‑</w:t>
      </w:r>
      <w:r>
        <w:rPr>
          <w:rFonts w:ascii="Arial" w:cs="Arial" w:eastAsia="Arial" w:hAnsi="Arial"/>
          <w:sz w:val="16"/>
          <w:szCs w:val="16"/>
          <w:color w:val="auto"/>
        </w:rPr>
        <w:t>020572) being evaluated in Phase 1 clinical trials in many countries, ALG-01033 and ALG-000184 in New Zealand, Hong Kong, the United Kingdom, South Korea, China and Moldova, and ALG-020572 in New Zealand. The rest of our programs are in nonclinical research or earlier stages of development, including our other chronic hepatitis B (CHB) drug candidates, our nonalcoholic steatohepatitis (NASH) drug candidate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204" w:lineRule="exact"/>
        <w:rPr>
          <w:sz w:val="20"/>
          <w:szCs w:val="20"/>
          <w:color w:val="auto"/>
        </w:rPr>
      </w:pPr>
    </w:p>
    <w:p>
      <w:pPr>
        <w:ind w:right="100" w:firstLine="382"/>
        <w:spacing w:after="0" w:line="296" w:lineRule="auto"/>
        <w:rPr>
          <w:sz w:val="20"/>
          <w:szCs w:val="20"/>
          <w:color w:val="auto"/>
        </w:rPr>
      </w:pPr>
      <w:r>
        <w:rPr>
          <w:rFonts w:ascii="Arial" w:cs="Arial" w:eastAsia="Arial" w:hAnsi="Arial"/>
          <w:sz w:val="16"/>
          <w:szCs w:val="16"/>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53" w:lineRule="exact"/>
        <w:rPr>
          <w:sz w:val="20"/>
          <w:szCs w:val="20"/>
          <w:color w:val="auto"/>
        </w:rPr>
      </w:pPr>
    </w:p>
    <w:p>
      <w:pPr>
        <w:ind w:left="760" w:hanging="374"/>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inability or failure by us or third parties to comply with regulatory requirements, including the requirements of good laboratory practice (GLP);</w:t>
      </w:r>
    </w:p>
    <w:p>
      <w:pPr>
        <w:spacing w:after="0" w:line="167" w:lineRule="exact"/>
        <w:rPr>
          <w:rFonts w:ascii="Arial" w:cs="Arial" w:eastAsia="Arial" w:hAnsi="Arial"/>
          <w:sz w:val="16"/>
          <w:szCs w:val="16"/>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generate sufficient nonclinical or other in vivo or in vitro data to support the initiation of clinical studies;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delays in reaching a consensus with regulatory agencies on study design and obtaining regulatory authorization to commence clinical trials;</w:t>
      </w:r>
    </w:p>
    <w:p>
      <w:pPr>
        <w:spacing w:after="0" w:line="155" w:lineRule="exact"/>
        <w:rPr>
          <w:rFonts w:ascii="Arial" w:cs="Arial" w:eastAsia="Arial" w:hAnsi="Arial"/>
          <w:sz w:val="17"/>
          <w:szCs w:val="17"/>
          <w:color w:val="auto"/>
        </w:rPr>
      </w:pPr>
    </w:p>
    <w:p>
      <w:pPr>
        <w:ind w:left="760" w:hanging="374"/>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obtaining sufficient quantities of our drug candidates for use in nonclinical studies and clinical trials from third-party suppliers on a timely basis;</w:t>
      </w:r>
    </w:p>
    <w:p>
      <w:pPr>
        <w:spacing w:after="0" w:line="167" w:lineRule="exact"/>
        <w:rPr>
          <w:rFonts w:ascii="Arial" w:cs="Arial" w:eastAsia="Arial" w:hAnsi="Arial"/>
          <w:sz w:val="16"/>
          <w:szCs w:val="16"/>
          <w:color w:val="auto"/>
        </w:rPr>
      </w:pPr>
    </w:p>
    <w:p>
      <w:pPr>
        <w:jc w:val="both"/>
        <w:ind w:left="760" w:right="20" w:hanging="374"/>
        <w:spacing w:after="0" w:line="263"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due to the COVID-19 pandemic, including due to reduced workforce productivity as a result of our implementation of a temporary work-from-home policy or illness among personnel, or due to delays at our third-party contract research organizations throughout the world for similar reasons or due to restrictions imposed by applicable governmental authorities; and</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due to other global-scale potentially catastrophic events, including other pandemics, terrorism, war, and climate changes.</w:t>
      </w:r>
    </w:p>
    <w:p>
      <w:pPr>
        <w:spacing w:after="0" w:line="252"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295"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1"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4" w:name="page45"/>
    <w:bookmarkEnd w:id="44"/>
    <w:p>
      <w:pPr>
        <w:ind w:left="380"/>
        <w:spacing w:after="0"/>
        <w:rPr>
          <w:sz w:val="20"/>
          <w:szCs w:val="20"/>
          <w:color w:val="auto"/>
        </w:rPr>
      </w:pPr>
      <w:r>
        <w:rPr>
          <w:rFonts w:ascii="Arial" w:cs="Arial" w:eastAsia="Arial" w:hAnsi="Arial"/>
          <w:sz w:val="18"/>
          <w:szCs w:val="18"/>
          <w:color w:val="auto"/>
        </w:rPr>
        <w:t>Our current and future drug candidates could fail to receive regulatory approval for many reasons, including the following:</w:t>
      </w:r>
    </w:p>
    <w:p>
      <w:pPr>
        <w:spacing w:after="0" w:line="117" w:lineRule="exact"/>
        <w:rPr>
          <w:sz w:val="20"/>
          <w:szCs w:val="20"/>
          <w:color w:val="auto"/>
        </w:rPr>
      </w:pPr>
    </w:p>
    <w:p>
      <w:pPr>
        <w:ind w:left="760" w:hanging="374"/>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55" w:lineRule="exact"/>
        <w:rPr>
          <w:rFonts w:ascii="Arial" w:cs="Arial" w:eastAsia="Arial" w:hAnsi="Arial"/>
          <w:sz w:val="17"/>
          <w:szCs w:val="17"/>
          <w:color w:val="auto"/>
        </w:rPr>
      </w:pPr>
    </w:p>
    <w:p>
      <w:pPr>
        <w:ind w:left="760" w:right="12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drug candidate is safe or effective for its proposed indication;</w:t>
      </w:r>
    </w:p>
    <w:p>
      <w:pPr>
        <w:spacing w:after="0" w:line="62" w:lineRule="exact"/>
        <w:rPr>
          <w:rFonts w:ascii="Arial" w:cs="Arial" w:eastAsia="Arial" w:hAnsi="Arial"/>
          <w:sz w:val="18"/>
          <w:szCs w:val="18"/>
          <w:color w:val="auto"/>
        </w:rPr>
      </w:pPr>
    </w:p>
    <w:p>
      <w:pPr>
        <w:ind w:left="760" w:right="26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44"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nonclinical studies;</w:t>
      </w:r>
    </w:p>
    <w:p>
      <w:pPr>
        <w:spacing w:after="0" w:line="62" w:lineRule="exact"/>
        <w:rPr>
          <w:rFonts w:ascii="Arial" w:cs="Arial" w:eastAsia="Arial" w:hAnsi="Arial"/>
          <w:sz w:val="18"/>
          <w:szCs w:val="18"/>
          <w:color w:val="auto"/>
        </w:rPr>
      </w:pPr>
    </w:p>
    <w:p>
      <w:pPr>
        <w:ind w:left="760" w:right="36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to the FDA or other submission or to obtain regulatory approval in the United States, the European Union or elsewhere;</w:t>
      </w:r>
    </w:p>
    <w:p>
      <w:pPr>
        <w:spacing w:after="0" w:line="62" w:lineRule="exact"/>
        <w:rPr>
          <w:rFonts w:ascii="Arial" w:cs="Arial" w:eastAsia="Arial" w:hAnsi="Arial"/>
          <w:sz w:val="18"/>
          <w:szCs w:val="18"/>
          <w:color w:val="auto"/>
        </w:rPr>
      </w:pPr>
    </w:p>
    <w:p>
      <w:pPr>
        <w:ind w:left="760" w:right="26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760" w:right="28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70"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176"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188" w:lineRule="exact"/>
        <w:rPr>
          <w:sz w:val="20"/>
          <w:szCs w:val="20"/>
          <w:color w:val="auto"/>
        </w:rPr>
      </w:pPr>
    </w:p>
    <w:p>
      <w:pPr>
        <w:jc w:val="both"/>
        <w:ind w:right="20" w:firstLine="382"/>
        <w:spacing w:after="0" w:line="263" w:lineRule="auto"/>
        <w:rPr>
          <w:sz w:val="20"/>
          <w:szCs w:val="20"/>
          <w:color w:val="auto"/>
        </w:rPr>
      </w:pPr>
      <w:r>
        <w:rPr>
          <w:rFonts w:ascii="Arial" w:cs="Arial" w:eastAsia="Arial" w:hAnsi="Arial"/>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292" w:lineRule="exact"/>
        <w:rPr>
          <w:sz w:val="20"/>
          <w:szCs w:val="20"/>
          <w:color w:val="auto"/>
        </w:rPr>
      </w:pPr>
    </w:p>
    <w:p>
      <w:pPr>
        <w:ind w:right="180"/>
        <w:spacing w:after="0" w:line="340" w:lineRule="auto"/>
        <w:rPr>
          <w:sz w:val="20"/>
          <w:szCs w:val="20"/>
          <w:color w:val="auto"/>
        </w:rPr>
      </w:pPr>
      <w:r>
        <w:rPr>
          <w:rFonts w:ascii="Arial" w:cs="Arial" w:eastAsia="Arial" w:hAnsi="Arial"/>
          <w:sz w:val="15"/>
          <w:szCs w:val="15"/>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23" w:lineRule="exact"/>
        <w:rPr>
          <w:sz w:val="20"/>
          <w:szCs w:val="20"/>
          <w:color w:val="auto"/>
        </w:rPr>
      </w:pPr>
    </w:p>
    <w:p>
      <w:pPr>
        <w:jc w:val="both"/>
        <w:ind w:right="40" w:firstLine="382"/>
        <w:spacing w:after="0" w:line="311" w:lineRule="auto"/>
        <w:rPr>
          <w:sz w:val="20"/>
          <w:szCs w:val="20"/>
          <w:color w:val="auto"/>
        </w:rPr>
      </w:pPr>
      <w:r>
        <w:rPr>
          <w:rFonts w:ascii="Arial" w:cs="Arial" w:eastAsia="Arial" w:hAnsi="Arial"/>
          <w:sz w:val="16"/>
          <w:szCs w:val="16"/>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w:t>
      </w:r>
    </w:p>
    <w:p>
      <w:pPr>
        <w:spacing w:after="0" w:line="149" w:lineRule="exact"/>
        <w:rPr>
          <w:sz w:val="20"/>
          <w:szCs w:val="20"/>
          <w:color w:val="auto"/>
        </w:rPr>
      </w:pPr>
    </w:p>
    <w:p>
      <w:pPr>
        <w:ind w:right="180" w:firstLine="382"/>
        <w:spacing w:after="0" w:line="263" w:lineRule="auto"/>
        <w:rPr>
          <w:sz w:val="20"/>
          <w:szCs w:val="20"/>
          <w:color w:val="auto"/>
        </w:rPr>
      </w:pPr>
      <w:r>
        <w:rPr>
          <w:rFonts w:ascii="Arial" w:cs="Arial" w:eastAsia="Arial" w:hAnsi="Arial"/>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76" w:lineRule="exact"/>
        <w:rPr>
          <w:sz w:val="20"/>
          <w:szCs w:val="20"/>
          <w:color w:val="auto"/>
        </w:rPr>
      </w:pPr>
    </w:p>
    <w:p>
      <w:pPr>
        <w:ind w:left="760" w:right="280" w:hanging="374"/>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760" w:right="480" w:hanging="374"/>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(CROs);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5" w:name="page46"/>
    <w:bookmarkEnd w:id="45"/>
    <w:p>
      <w:pPr>
        <w:ind w:left="760" w:hanging="37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144" w:lineRule="exact"/>
        <w:rPr>
          <w:rFonts w:ascii="Arial" w:cs="Arial" w:eastAsia="Arial" w:hAnsi="Arial"/>
          <w:sz w:val="18"/>
          <w:szCs w:val="18"/>
          <w:color w:val="auto"/>
        </w:rPr>
      </w:pPr>
    </w:p>
    <w:p>
      <w:pPr>
        <w:ind w:left="760" w:right="380" w:hanging="374"/>
        <w:spacing w:after="0" w:line="342"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15" w:lineRule="exact"/>
        <w:rPr>
          <w:rFonts w:ascii="Arial" w:cs="Arial" w:eastAsia="Arial" w:hAnsi="Arial"/>
          <w:sz w:val="16"/>
          <w:szCs w:val="16"/>
          <w:color w:val="auto"/>
        </w:rPr>
      </w:pPr>
    </w:p>
    <w:p>
      <w:pPr>
        <w:ind w:left="760" w:right="160" w:hanging="374"/>
        <w:spacing w:after="0" w:line="342"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15" w:lineRule="exact"/>
        <w:rPr>
          <w:rFonts w:ascii="Arial" w:cs="Arial" w:eastAsia="Arial" w:hAnsi="Arial"/>
          <w:sz w:val="16"/>
          <w:szCs w:val="16"/>
          <w:color w:val="auto"/>
        </w:rPr>
      </w:pPr>
    </w:p>
    <w:p>
      <w:pPr>
        <w:ind w:left="760" w:right="30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supply or quality of materials for drug candidates we develop or other materials necessary to conduct clinical trials may be insufficient or inadequate; and</w:t>
      </w:r>
    </w:p>
    <w:p>
      <w:pPr>
        <w:spacing w:after="0" w:line="62" w:lineRule="exact"/>
        <w:rPr>
          <w:rFonts w:ascii="Arial" w:cs="Arial" w:eastAsia="Arial" w:hAnsi="Arial"/>
          <w:sz w:val="18"/>
          <w:szCs w:val="18"/>
          <w:color w:val="auto"/>
        </w:rPr>
      </w:pPr>
    </w:p>
    <w:p>
      <w:pPr>
        <w:ind w:left="760" w:right="56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experience disruptions by man-made or natural disasters or public health pandemics or epidemics or other business interruptions, including the current COVID-19 pandemic and future outbreaks of the disease.</w:t>
      </w:r>
    </w:p>
    <w:p>
      <w:pPr>
        <w:spacing w:after="0" w:line="170" w:lineRule="exact"/>
        <w:rPr>
          <w:sz w:val="20"/>
          <w:szCs w:val="20"/>
          <w:color w:val="auto"/>
        </w:rPr>
      </w:pPr>
    </w:p>
    <w:p>
      <w:pPr>
        <w:ind w:right="60" w:firstLine="382"/>
        <w:spacing w:after="0" w:line="272" w:lineRule="auto"/>
        <w:rPr>
          <w:sz w:val="20"/>
          <w:szCs w:val="20"/>
          <w:color w:val="auto"/>
        </w:rPr>
      </w:pPr>
      <w:r>
        <w:rPr>
          <w:rFonts w:ascii="Arial" w:cs="Arial" w:eastAsia="Arial" w:hAnsi="Arial"/>
          <w:sz w:val="17"/>
          <w:szCs w:val="17"/>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177"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Further, we are currently conducting clinical trials of ALG-010133, ALG-000184 and ALG-020572 in many countries, ALG-010133 and ALG-000184 in New Zealand, Hong Kong, the United Kingdom, South Korea, China and Moldova and ALG-020572 in New Zealand.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164" w:lineRule="exact"/>
        <w:rPr>
          <w:sz w:val="20"/>
          <w:szCs w:val="20"/>
          <w:color w:val="auto"/>
        </w:rPr>
      </w:pPr>
    </w:p>
    <w:p>
      <w:pPr>
        <w:ind w:right="40" w:firstLine="382"/>
        <w:spacing w:after="0" w:line="255" w:lineRule="auto"/>
        <w:rPr>
          <w:sz w:val="20"/>
          <w:szCs w:val="20"/>
          <w:color w:val="auto"/>
        </w:rPr>
      </w:pPr>
      <w:r>
        <w:rPr>
          <w:rFonts w:ascii="Arial" w:cs="Arial" w:eastAsia="Arial" w:hAnsi="Arial"/>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192" w:lineRule="exact"/>
        <w:rPr>
          <w:sz w:val="20"/>
          <w:szCs w:val="20"/>
          <w:color w:val="auto"/>
        </w:rPr>
      </w:pPr>
    </w:p>
    <w:p>
      <w:pPr>
        <w:ind w:right="40" w:firstLine="382"/>
        <w:spacing w:after="0" w:line="218" w:lineRule="exact"/>
        <w:rPr>
          <w:sz w:val="20"/>
          <w:szCs w:val="20"/>
          <w:color w:val="auto"/>
        </w:rPr>
      </w:pPr>
      <w:r>
        <w:rPr>
          <w:rFonts w:ascii="Arial" w:cs="Arial" w:eastAsia="Arial" w:hAnsi="Arial"/>
          <w:sz w:val="18"/>
          <w:szCs w:val="18"/>
          <w:color w:val="auto"/>
        </w:rPr>
        <w:t>Specifically, the clinical trial sites for our current drug trials, including for ALG-010133, ALG-000184, and ALG</w:t>
      </w:r>
      <w:r>
        <w:rPr>
          <w:rFonts w:ascii="MS PGothic" w:cs="MS PGothic" w:eastAsia="MS PGothic" w:hAnsi="MS PGothic"/>
          <w:sz w:val="18"/>
          <w:szCs w:val="18"/>
          <w:color w:val="auto"/>
        </w:rPr>
        <w:t>‑</w:t>
      </w:r>
      <w:r>
        <w:rPr>
          <w:rFonts w:ascii="Arial" w:cs="Arial" w:eastAsia="Arial" w:hAnsi="Arial"/>
          <w:sz w:val="18"/>
          <w:szCs w:val="18"/>
          <w:color w:val="auto"/>
        </w:rPr>
        <w:t>020572 and future planned trials may be affected by the COVID-19 outbreak due to prioritization of hospital resources toward COVID-19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w:t>
      </w:r>
    </w:p>
    <w:p>
      <w:pPr>
        <w:spacing w:after="0" w:line="207" w:lineRule="exact"/>
        <w:rPr>
          <w:sz w:val="20"/>
          <w:szCs w:val="20"/>
          <w:color w:val="auto"/>
        </w:rPr>
      </w:pPr>
    </w:p>
    <w:p>
      <w:pPr>
        <w:ind w:firstLine="382"/>
        <w:spacing w:after="0" w:line="296" w:lineRule="auto"/>
        <w:rPr>
          <w:sz w:val="20"/>
          <w:szCs w:val="20"/>
          <w:color w:val="auto"/>
        </w:rPr>
      </w:pPr>
      <w:r>
        <w:rPr>
          <w:rFonts w:ascii="Arial" w:cs="Arial" w:eastAsia="Arial" w:hAnsi="Arial"/>
          <w:sz w:val="16"/>
          <w:szCs w:val="16"/>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161" w:lineRule="exact"/>
        <w:rPr>
          <w:sz w:val="20"/>
          <w:szCs w:val="20"/>
          <w:color w:val="auto"/>
        </w:rPr>
      </w:pPr>
    </w:p>
    <w:p>
      <w:pPr>
        <w:jc w:val="both"/>
        <w:ind w:right="20" w:firstLine="382"/>
        <w:spacing w:after="0" w:line="263"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ind w:right="280"/>
        <w:spacing w:after="0" w:line="308" w:lineRule="auto"/>
        <w:rPr>
          <w:sz w:val="20"/>
          <w:szCs w:val="20"/>
          <w:color w:val="auto"/>
        </w:rPr>
      </w:pPr>
      <w:r>
        <w:rPr>
          <w:rFonts w:ascii="Arial" w:cs="Arial" w:eastAsia="Arial" w:hAnsi="Arial"/>
          <w:sz w:val="17"/>
          <w:szCs w:val="17"/>
          <w:b w:val="1"/>
          <w:bCs w:val="1"/>
          <w:i w:val="1"/>
          <w:iCs w:val="1"/>
          <w:color w:val="auto"/>
        </w:rPr>
        <w:t>Our pursuit of potential treatments for NASH is at an early stage and we may be unable to produce a therapy that successfully treats NASH. Even if successful, we may be unable to obtain regulatory approval for and successfully commercialize our drug candidates.</w:t>
      </w:r>
    </w:p>
    <w:p>
      <w:pPr>
        <w:spacing w:after="0" w:line="38" w:lineRule="exact"/>
        <w:rPr>
          <w:sz w:val="20"/>
          <w:szCs w:val="20"/>
          <w:color w:val="auto"/>
        </w:rPr>
      </w:pPr>
    </w:p>
    <w:p>
      <w:pPr>
        <w:ind w:right="200" w:firstLine="382"/>
        <w:spacing w:after="0" w:line="296" w:lineRule="auto"/>
        <w:rPr>
          <w:sz w:val="20"/>
          <w:szCs w:val="20"/>
          <w:color w:val="auto"/>
        </w:rPr>
      </w:pPr>
      <w:r>
        <w:rPr>
          <w:rFonts w:ascii="Arial" w:cs="Arial" w:eastAsia="Arial" w:hAnsi="Arial"/>
          <w:sz w:val="16"/>
          <w:szCs w:val="16"/>
          <w:color w:val="auto"/>
        </w:rPr>
        <w:t>We have invested, and will continue to invest, a significant portion of our time and financial resources in the pursuit of a treatment for NASH. If we cannot successfully develop, obtain regulatory approval for and commercialize our drug candidates for the treatment of NASH, our business may be harmed. The mechanism of action of our NASH drug candidates is complex, and we do not know the degree to which it will translate into a therapeutic benefit, if any, in NASH or any other indication, and we do not know the degree to which the complex mechanism of action may contribute to long-term safety issues or adverse events when our drug candidates are taken for prolonged periods, as is inherent in the treatment of NASH.</w:t>
      </w:r>
    </w:p>
    <w:p>
      <w:pPr>
        <w:spacing w:after="0" w:line="161"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NASH or any other applicable indication. Also, if we are able to obtain accelerated approval of our drug candidates based on a liver biopsy endpoint, we may be required to conduct a post-approval clinical outcomes trial to confirm the clinical benefit of the drug candidate; if any such post-approval trial is not successful, we would not be able to continue marketing the product.</w:t>
      </w:r>
    </w:p>
    <w:p>
      <w:pPr>
        <w:spacing w:after="0" w:line="188" w:lineRule="exact"/>
        <w:rPr>
          <w:sz w:val="20"/>
          <w:szCs w:val="20"/>
          <w:color w:val="auto"/>
        </w:rPr>
      </w:pPr>
    </w:p>
    <w:p>
      <w:pPr>
        <w:jc w:val="both"/>
        <w:ind w:right="160" w:firstLine="382"/>
        <w:spacing w:after="0" w:line="311" w:lineRule="auto"/>
        <w:rPr>
          <w:sz w:val="20"/>
          <w:szCs w:val="20"/>
          <w:color w:val="auto"/>
        </w:rPr>
      </w:pPr>
      <w:r>
        <w:rPr>
          <w:rFonts w:ascii="Arial" w:cs="Arial" w:eastAsia="Arial" w:hAnsi="Arial"/>
          <w:sz w:val="16"/>
          <w:szCs w:val="16"/>
          <w:color w:val="auto"/>
        </w:rPr>
        <w:t>If we are successful and any of our drug candidates are approved for the treatment of NASH, our drug candidates will likely compete with products that may be approved for the treatment of NASH prior to our drug candidates and/or that have greater efficacy than our drug candidates, either alone or in combination. Behavioral modifications, such as diet and exercise, can also decrease or eliminate the demand for our potential NASH treatments.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potential therapies for COVID-19 is at an early stage.</w:t>
      </w:r>
    </w:p>
    <w:p>
      <w:pPr>
        <w:spacing w:after="0" w:line="117" w:lineRule="exact"/>
        <w:rPr>
          <w:sz w:val="20"/>
          <w:szCs w:val="20"/>
          <w:color w:val="auto"/>
        </w:rPr>
      </w:pPr>
    </w:p>
    <w:p>
      <w:pPr>
        <w:ind w:right="60" w:firstLine="382"/>
        <w:spacing w:after="0" w:line="286" w:lineRule="auto"/>
        <w:rPr>
          <w:sz w:val="20"/>
          <w:szCs w:val="20"/>
          <w:color w:val="auto"/>
        </w:rPr>
      </w:pPr>
      <w:r>
        <w:rPr>
          <w:rFonts w:ascii="Arial" w:cs="Arial" w:eastAsia="Arial" w:hAnsi="Arial"/>
          <w:sz w:val="17"/>
          <w:szCs w:val="17"/>
          <w:color w:val="auto"/>
        </w:rPr>
        <w:t>In response to the outbreak of COVID-19, the disease caused by the virus SARS-CoV-2, we are pursuing various potential therapies to address the disease, including protease inhibitors and oligonucleotides. Our identification and development of these potential therapies is at an early stage, and we may be unable to produce in a timely manner a therapy that successfully treats the virus or that has broad clinical applicability, if at all.</w:t>
      </w:r>
    </w:p>
    <w:p>
      <w:pPr>
        <w:spacing w:after="0" w:line="165"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For example, in June 2020, we entered into a Research, Licensing and Commercialization Agreement (the KU Leuven Agreement) with Katholieke Universiteit Leuven (KU Leuven) under which we are collaborating with KU Leuven’s Rega Institute for Medical Research, as well as its Centre for Drug Design and Discovery, to research, develop, manufacture and commercialize potential protease inhibitors for the treatment of coronaviruses, including SARS-CoV-2. We are in the early stages of our collaboration under the KU Leuven Agreement. The KU Leuven Agreement may not result in a therapy that successfully treats SARS-CoV-2. Further, if the KU Leuven Agreement does result in such a therapy, the therapy may not be developed and commercialized in a timely manner, or at all.</w:t>
      </w:r>
    </w:p>
    <w:p>
      <w:pPr>
        <w:spacing w:after="0" w:line="192" w:lineRule="exact"/>
        <w:rPr>
          <w:sz w:val="20"/>
          <w:szCs w:val="20"/>
          <w:color w:val="auto"/>
        </w:rPr>
      </w:pPr>
    </w:p>
    <w:p>
      <w:pPr>
        <w:ind w:right="20" w:firstLine="382"/>
        <w:spacing w:after="0" w:line="268" w:lineRule="auto"/>
        <w:rPr>
          <w:sz w:val="20"/>
          <w:szCs w:val="20"/>
          <w:color w:val="auto"/>
        </w:rPr>
      </w:pPr>
      <w:r>
        <w:rPr>
          <w:rFonts w:ascii="Arial" w:cs="Arial" w:eastAsia="Arial" w:hAnsi="Arial"/>
          <w:sz w:val="17"/>
          <w:szCs w:val="17"/>
          <w:color w:val="auto"/>
        </w:rPr>
        <w:t>We are also committing significant financial resources and personnel to the development of potential therapies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and Moderna mRNA-1273 COVID-19 vaccines have been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186" w:lineRule="exact"/>
        <w:rPr>
          <w:sz w:val="20"/>
          <w:szCs w:val="20"/>
          <w:color w:val="auto"/>
        </w:rPr>
      </w:pPr>
    </w:p>
    <w:p>
      <w:pPr>
        <w:ind w:right="80" w:firstLine="382"/>
        <w:spacing w:after="0" w:line="286" w:lineRule="auto"/>
        <w:rPr>
          <w:sz w:val="20"/>
          <w:szCs w:val="20"/>
          <w:color w:val="auto"/>
        </w:rPr>
      </w:pPr>
      <w:r>
        <w:rPr>
          <w:rFonts w:ascii="Arial" w:cs="Arial" w:eastAsia="Arial" w:hAnsi="Arial"/>
          <w:sz w:val="17"/>
          <w:szCs w:val="17"/>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firstLine="382"/>
        <w:spacing w:after="0" w:line="267" w:lineRule="auto"/>
        <w:rPr>
          <w:sz w:val="20"/>
          <w:szCs w:val="20"/>
          <w:color w:val="auto"/>
        </w:rPr>
      </w:pPr>
      <w:r>
        <w:rPr>
          <w:rFonts w:ascii="Arial" w:cs="Arial" w:eastAsia="Arial" w:hAnsi="Arial"/>
          <w:sz w:val="17"/>
          <w:szCs w:val="17"/>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Pfizer Inc. recently announced its COVID-19 experimental drug (an orally administered protease inhibitor) which entered the clinic in March 2021, may be available by the end of 2021. Similarly, Merck (together with Ridgeback Bio), is developing the drug Molnupiravir, an antiviral drug which has been submitted to the FDA for Emergency Use Authorization (EUA), which has the potential to become the first oral COVID-19 treatment. Also, Enanta Pharmaceuticals recently announced nomination of clinical candidate EDP-235 which is its lead oral protease inhibitor specifically designed for the treatment of Covid-19 and which is planned to enter the clinic early 2022. In such an event, the value and/or market potential of our COVID-19 protease inhibitor program which is further behind in terms of development process may be adversely impacted. Further, other therapies that are more affordable than our potential therapies may be used to treat COVID-19, including existing generic drugs, which could also hurt the funding of and demand for our potential therapies. In addition to BioNTech SE (together with Pfizer Inc.), Moderna, Inc. and Janssen Pharmaceutical Companies of Johnson &amp; Johnson, there are efforts by several other public and private entities to develop a therapy or vaccine for COVID-19, including Alexion Pharmaceuticals Inc., Atea Pharmaceuticals, Inc. (together with Roche), Incyte Corporation, Sanofi S.A., Regeneron Pharmaceuticals, Inc., Amgen Inc. (together with Adaptive Biotechnologies Corporation), Abcellera Biologics, Inc. (together with Eli Lilly and Company), Vir Biotechnology, Inc. (together with Alnylam Pharmaceuticals, GSK, Biogen Inc. and WuXi Biologics Ltd.), Altimmune, Inc., AstraZeneca PLC (together with Oxford University), GlaxoSmithKline (GSK) (together with Sanofi S.A.), Heat Biologics, Inc., Inovio Pharmaceuticals, Inc., Novavax, Inc., Regeneron Pharmaceuticals Inc., Synairgen plc, Takeda Pharmaceutical Company Limited, and Vaxart, Inc., many of which are further along in the development process than we are.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2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regulatory pathways for our drug candidates targeting SARS-CoV-2, the virus that causes COVID-19, are continually evolving, and may result in unexpected or unforeseen challenges.</w:t>
      </w:r>
    </w:p>
    <w:p>
      <w:pPr>
        <w:spacing w:after="0" w:line="62" w:lineRule="exact"/>
        <w:rPr>
          <w:sz w:val="20"/>
          <w:szCs w:val="20"/>
          <w:color w:val="auto"/>
        </w:rPr>
      </w:pPr>
    </w:p>
    <w:p>
      <w:pPr>
        <w:ind w:right="100" w:firstLine="382"/>
        <w:spacing w:after="0" w:line="255" w:lineRule="auto"/>
        <w:rPr>
          <w:sz w:val="20"/>
          <w:szCs w:val="20"/>
          <w:color w:val="auto"/>
        </w:rPr>
      </w:pPr>
      <w:r>
        <w:rPr>
          <w:rFonts w:ascii="Arial" w:cs="Arial" w:eastAsia="Arial" w:hAnsi="Arial"/>
          <w:sz w:val="18"/>
          <w:szCs w:val="18"/>
          <w:color w:val="auto"/>
        </w:rPr>
        <w:t>Our drug candidates targeting SARS-CoV-2, the virus that causes COVID-19, are in the early discovery stages. The speed at which companies and institutions are acting to create and test many therapeutics and vaccines for COVID-19 is unusually rapid, and evolving or changing plans or priorities within the FDA, including changes based on new knowledge of COVID-19 and how the disease affects the human body, may significantly affect the regulatory timelines for our COVID-19 drug candidates. Results from our continued development and planned clinical trials may raise new questions and require us to redesign proposed nonclinical studies and clinical trials, including revising proposed endpoints or adding new clinical trial sites or cohorts of subjects, with minimal lead time.</w:t>
      </w:r>
    </w:p>
    <w:p>
      <w:pPr>
        <w:spacing w:after="0" w:line="192"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instance, the FDA had granted an EUA for each of the COVID-19 vaccines developed by Pfizer/BioNTech, Moderna and Janssen Pharmaceutical Companies of Johnson &amp; Johnson. Depending on the outcomes of our planned nonclinical and initial clinical testing for our proposed COVID-19 therapies, we may seek an EUA for one or more of our drug candidates for use in the ongoing public health emergency, which would permit us to commercialize a drug candidate prior to FDA approval of an NDA. However, commercialization under an EUA is permitted only during the underlying public health emergency (as declared by the Secretary of the Department of Health and Human Services), meaning that once the emergency declaration is terminated, we would be required to obtain NDA approval to continue marketing the product. Furthermore, the FDA may revoke an EUA based on a determination that the product no longer satisfies the criteria for issuance of an EUA—for example, if there is no longer evidence of effectiveness of the product or there are other adequate, approved alternatives. Accordingly, we cannot predict how long, if at all, an EUA for any of our drug candidates may remain in place. Any termination or revocation of an EUA (if any) for one of our drug candidates could adversely impact our business in a variety of ways, including if one of our COVID-19 drug candidates is not yet approved by the FDA and if we and our manufacturing partners have invested in the supply chain to provide one of our COVID-19 drug candidates under an EUA.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nonclinical studies and early-stage clinical trials may not be predictive of future results.</w:t>
      </w:r>
    </w:p>
    <w:p>
      <w:pPr>
        <w:spacing w:after="0" w:line="117" w:lineRule="exact"/>
        <w:rPr>
          <w:sz w:val="20"/>
          <w:szCs w:val="20"/>
          <w:color w:val="auto"/>
        </w:rPr>
      </w:pPr>
    </w:p>
    <w:p>
      <w:pPr>
        <w:ind w:right="60" w:firstLine="382"/>
        <w:spacing w:after="0" w:line="293" w:lineRule="auto"/>
        <w:rPr>
          <w:sz w:val="20"/>
          <w:szCs w:val="20"/>
          <w:color w:val="auto"/>
        </w:rPr>
      </w:pPr>
      <w:r>
        <w:rPr>
          <w:rFonts w:ascii="Arial" w:cs="Arial" w:eastAsia="Arial" w:hAnsi="Arial"/>
          <w:sz w:val="16"/>
          <w:szCs w:val="16"/>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8" w:name="page49"/>
    <w:bookmarkEnd w:id="48"/>
    <w:p>
      <w:pPr>
        <w:ind w:right="360"/>
        <w:spacing w:after="0" w:line="277" w:lineRule="auto"/>
        <w:rPr>
          <w:sz w:val="20"/>
          <w:szCs w:val="20"/>
          <w:color w:val="auto"/>
        </w:rPr>
      </w:pPr>
      <w:r>
        <w:rPr>
          <w:rFonts w:ascii="Arial" w:cs="Arial" w:eastAsia="Arial" w:hAnsi="Arial"/>
          <w:sz w:val="18"/>
          <w:szCs w:val="18"/>
          <w:color w:val="auto"/>
        </w:rPr>
        <w:t>regulatory approval of any products. Any such setbacks in our clinical development could have a material adverse effect on our business and operating results.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117" w:lineRule="exact"/>
        <w:rPr>
          <w:sz w:val="20"/>
          <w:szCs w:val="20"/>
          <w:color w:val="auto"/>
        </w:rPr>
      </w:pPr>
    </w:p>
    <w:p>
      <w:pPr>
        <w:ind w:right="20" w:firstLine="382"/>
        <w:spacing w:after="0" w:line="217" w:lineRule="exact"/>
        <w:rPr>
          <w:sz w:val="20"/>
          <w:szCs w:val="20"/>
          <w:color w:val="auto"/>
        </w:rPr>
      </w:pPr>
      <w:r>
        <w:rPr>
          <w:rFonts w:ascii="Arial" w:cs="Arial" w:eastAsia="Arial" w:hAnsi="Arial"/>
          <w:sz w:val="17"/>
          <w:szCs w:val="17"/>
          <w:color w:val="auto"/>
        </w:rPr>
        <w:t>From time to time, we may disclose interim data from our clinical trials, including the preliminary data with respect to our CAM candidate, ALG-000184, our STOPS candidate, ALG-000133, and our ASO candidate ALG</w:t>
      </w:r>
      <w:r>
        <w:rPr>
          <w:rFonts w:ascii="MS PGothic" w:cs="MS PGothic" w:eastAsia="MS PGothic" w:hAnsi="MS PGothic"/>
          <w:sz w:val="17"/>
          <w:szCs w:val="17"/>
          <w:color w:val="auto"/>
        </w:rPr>
        <w:t>‑</w:t>
      </w:r>
      <w:r>
        <w:rPr>
          <w:rFonts w:ascii="Arial" w:cs="Arial" w:eastAsia="Arial" w:hAnsi="Arial"/>
          <w:sz w:val="17"/>
          <w:szCs w:val="17"/>
          <w:color w:val="auto"/>
        </w:rPr>
        <w:t>020572.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9"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52"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76" w:lineRule="exact"/>
        <w:rPr>
          <w:sz w:val="20"/>
          <w:szCs w:val="20"/>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44" w:lineRule="exact"/>
        <w:rPr>
          <w:rFonts w:ascii="Arial" w:cs="Arial" w:eastAsia="Arial" w:hAnsi="Arial"/>
          <w:sz w:val="18"/>
          <w:szCs w:val="18"/>
          <w:color w:val="auto"/>
        </w:rPr>
      </w:pPr>
    </w:p>
    <w:p>
      <w:pPr>
        <w:ind w:left="760" w:right="300" w:hanging="374"/>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62" w:lineRule="exact"/>
        <w:rPr>
          <w:rFonts w:ascii="Arial" w:cs="Arial" w:eastAsia="Arial" w:hAnsi="Arial"/>
          <w:sz w:val="18"/>
          <w:szCs w:val="18"/>
          <w:color w:val="auto"/>
        </w:rPr>
      </w:pPr>
    </w:p>
    <w:p>
      <w:pPr>
        <w:ind w:left="760" w:right="560" w:hanging="374"/>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in the trial through the completion of evaluation; and</w:t>
      </w:r>
    </w:p>
    <w:p>
      <w:pPr>
        <w:spacing w:after="0" w:line="144" w:lineRule="exact"/>
        <w:rPr>
          <w:rFonts w:ascii="Arial" w:cs="Arial" w:eastAsia="Arial" w:hAnsi="Arial"/>
          <w:sz w:val="18"/>
          <w:szCs w:val="18"/>
          <w:color w:val="auto"/>
        </w:rPr>
      </w:pPr>
    </w:p>
    <w:p>
      <w:pPr>
        <w:ind w:left="760" w:right="480" w:hanging="374"/>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 by man-made or natural disasters, or public health pandemics or epidemics or other business interruptions, including the current COVID-19 pandemic and future outbreaks of the virus.</w:t>
      </w:r>
    </w:p>
    <w:p>
      <w:pPr>
        <w:spacing w:after="0" w:line="170"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ind w:right="120"/>
        <w:spacing w:after="0" w:line="277" w:lineRule="auto"/>
        <w:rPr>
          <w:sz w:val="20"/>
          <w:szCs w:val="20"/>
          <w:color w:val="auto"/>
        </w:rPr>
      </w:pPr>
      <w:r>
        <w:rPr>
          <w:rFonts w:ascii="Arial" w:cs="Arial" w:eastAsia="Arial" w:hAnsi="Arial"/>
          <w:sz w:val="18"/>
          <w:szCs w:val="18"/>
          <w:color w:val="auto"/>
        </w:rPr>
        <w:t>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170" w:lineRule="exact"/>
        <w:rPr>
          <w:sz w:val="20"/>
          <w:szCs w:val="20"/>
          <w:color w:val="auto"/>
        </w:rPr>
      </w:pPr>
    </w:p>
    <w:p>
      <w:pPr>
        <w:ind w:right="260" w:firstLine="382"/>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drug candidate manufacturing or formulation may result in additional costs or delay.</w:t>
      </w:r>
    </w:p>
    <w:p>
      <w:pPr>
        <w:spacing w:after="0" w:line="117" w:lineRule="exact"/>
        <w:rPr>
          <w:sz w:val="20"/>
          <w:szCs w:val="20"/>
          <w:color w:val="auto"/>
        </w:rPr>
      </w:pPr>
    </w:p>
    <w:p>
      <w:pPr>
        <w:ind w:right="80" w:firstLine="382"/>
        <w:spacing w:after="0" w:line="296" w:lineRule="auto"/>
        <w:rPr>
          <w:sz w:val="20"/>
          <w:szCs w:val="20"/>
          <w:color w:val="auto"/>
        </w:rPr>
      </w:pPr>
      <w:r>
        <w:rPr>
          <w:rFonts w:ascii="Arial" w:cs="Arial" w:eastAsia="Arial" w:hAnsi="Arial"/>
          <w:sz w:val="16"/>
          <w:szCs w:val="16"/>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entails additional cost and risks potential delay if the reformulated or otherwise altered drug candidate performs different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161"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29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76"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p>
    <w:p>
      <w:pPr>
        <w:spacing w:after="0" w:line="187"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195"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188"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187" w:lineRule="exact"/>
        <w:rPr>
          <w:sz w:val="20"/>
          <w:szCs w:val="20"/>
          <w:color w:val="auto"/>
        </w:rPr>
      </w:pPr>
    </w:p>
    <w:p>
      <w:pPr>
        <w:ind w:right="160" w:firstLine="382"/>
        <w:spacing w:after="0" w:line="277" w:lineRule="auto"/>
        <w:rPr>
          <w:sz w:val="20"/>
          <w:szCs w:val="20"/>
          <w:color w:val="auto"/>
        </w:rPr>
      </w:pPr>
      <w:r>
        <w:rPr>
          <w:rFonts w:ascii="Arial" w:cs="Arial" w:eastAsia="Arial" w:hAnsi="Arial"/>
          <w:sz w:val="18"/>
          <w:szCs w:val="18"/>
          <w:color w:val="auto"/>
        </w:rPr>
        <w:t>If any of our drug candidates receives marketing approval and we or others later identify undesirable side effects caused by such products, a number of potentially significant negative consequences could occur, including:</w:t>
      </w:r>
    </w:p>
    <w:p>
      <w:pPr>
        <w:spacing w:after="0" w:line="62" w:lineRule="exact"/>
        <w:rPr>
          <w:sz w:val="20"/>
          <w:szCs w:val="20"/>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44" w:lineRule="exact"/>
        <w:rPr>
          <w:rFonts w:ascii="Arial" w:cs="Arial" w:eastAsia="Arial" w:hAnsi="Arial"/>
          <w:sz w:val="18"/>
          <w:szCs w:val="18"/>
          <w:color w:val="auto"/>
        </w:rPr>
      </w:pPr>
    </w:p>
    <w:p>
      <w:pPr>
        <w:ind w:left="760" w:right="720" w:hanging="374"/>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0" w:name="page51"/>
    <w:bookmarkEnd w:id="50"/>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44" w:lineRule="exact"/>
        <w:rPr>
          <w:rFonts w:ascii="Arial" w:cs="Arial" w:eastAsia="Arial" w:hAnsi="Arial"/>
          <w:sz w:val="18"/>
          <w:szCs w:val="18"/>
          <w:color w:val="auto"/>
        </w:rPr>
      </w:pPr>
    </w:p>
    <w:p>
      <w:pPr>
        <w:ind w:left="760" w:right="240" w:hanging="374"/>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(REMS) or create a Medication Guide outlining the risks of such side effects for distribution to patients;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400" w:firstLine="382"/>
        <w:spacing w:after="0" w:line="279" w:lineRule="auto"/>
        <w:rPr>
          <w:sz w:val="20"/>
          <w:szCs w:val="20"/>
          <w:color w:val="auto"/>
        </w:rPr>
      </w:pPr>
      <w:r>
        <w:rPr>
          <w:rFonts w:ascii="Arial" w:cs="Arial" w:eastAsia="Arial" w:hAnsi="Arial"/>
          <w:sz w:val="17"/>
          <w:szCs w:val="17"/>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2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76"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79" w:lineRule="exact"/>
        <w:rPr>
          <w:sz w:val="20"/>
          <w:szCs w:val="20"/>
          <w:color w:val="auto"/>
        </w:rPr>
      </w:pPr>
    </w:p>
    <w:p>
      <w:pPr>
        <w:ind w:right="60" w:firstLine="382"/>
        <w:spacing w:after="0" w:line="290"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165" w:lineRule="exact"/>
        <w:rPr>
          <w:sz w:val="20"/>
          <w:szCs w:val="20"/>
          <w:color w:val="auto"/>
        </w:rPr>
      </w:pPr>
    </w:p>
    <w:p>
      <w:pPr>
        <w:ind w:right="240" w:firstLine="382"/>
        <w:spacing w:after="0" w:line="342" w:lineRule="auto"/>
        <w:rPr>
          <w:sz w:val="20"/>
          <w:szCs w:val="20"/>
          <w:color w:val="auto"/>
        </w:rPr>
      </w:pPr>
      <w:r>
        <w:rPr>
          <w:rFonts w:ascii="Arial" w:cs="Arial" w:eastAsia="Arial" w:hAnsi="Arial"/>
          <w:sz w:val="16"/>
          <w:szCs w:val="16"/>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ind w:right="40"/>
        <w:spacing w:after="0" w:line="277" w:lineRule="auto"/>
        <w:rPr>
          <w:sz w:val="20"/>
          <w:szCs w:val="20"/>
          <w:color w:val="auto"/>
        </w:rPr>
      </w:pPr>
      <w:r>
        <w:rPr>
          <w:rFonts w:ascii="Arial" w:cs="Arial" w:eastAsia="Arial" w:hAnsi="Arial"/>
          <w:sz w:val="18"/>
          <w:szCs w:val="18"/>
          <w:color w:val="auto"/>
        </w:rPr>
        <w:t>product revenues and we may not become profitable. The degree of market acceptance of any drug candidate, if approved for commercial sale, will depend on a number of factors, including:</w:t>
      </w:r>
    </w:p>
    <w:p>
      <w:pPr>
        <w:spacing w:after="0" w:line="62" w:lineRule="exact"/>
        <w:rPr>
          <w:sz w:val="20"/>
          <w:szCs w:val="20"/>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760" w:right="200" w:hanging="374"/>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3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62"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192"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7"/>
          <w:szCs w:val="17"/>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273"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38" w:lineRule="exact"/>
        <w:rPr>
          <w:sz w:val="20"/>
          <w:szCs w:val="20"/>
          <w:color w:val="auto"/>
        </w:rPr>
      </w:pPr>
    </w:p>
    <w:p>
      <w:pPr>
        <w:ind w:right="160" w:firstLine="382"/>
        <w:spacing w:after="0" w:line="255" w:lineRule="auto"/>
        <w:rPr>
          <w:sz w:val="20"/>
          <w:szCs w:val="20"/>
          <w:color w:val="auto"/>
        </w:rPr>
      </w:pPr>
      <w:r>
        <w:rPr>
          <w:rFonts w:ascii="Arial" w:cs="Arial" w:eastAsia="Arial" w:hAnsi="Arial"/>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192" w:lineRule="exact"/>
        <w:rPr>
          <w:sz w:val="20"/>
          <w:szCs w:val="20"/>
          <w:color w:val="auto"/>
        </w:rPr>
      </w:pPr>
    </w:p>
    <w:p>
      <w:pPr>
        <w:ind w:right="60" w:firstLine="382"/>
        <w:spacing w:after="0" w:line="272" w:lineRule="auto"/>
        <w:rPr>
          <w:sz w:val="20"/>
          <w:szCs w:val="20"/>
          <w:color w:val="auto"/>
        </w:rPr>
      </w:pPr>
      <w:r>
        <w:rPr>
          <w:rFonts w:ascii="Arial" w:cs="Arial" w:eastAsia="Arial" w:hAnsi="Arial"/>
          <w:sz w:val="17"/>
          <w:szCs w:val="17"/>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28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76" w:lineRule="exact"/>
        <w:rPr>
          <w:sz w:val="20"/>
          <w:szCs w:val="20"/>
          <w:color w:val="auto"/>
        </w:rPr>
      </w:pPr>
    </w:p>
    <w:p>
      <w:pPr>
        <w:ind w:right="180" w:firstLine="382"/>
        <w:spacing w:after="0" w:line="263" w:lineRule="auto"/>
        <w:rPr>
          <w:sz w:val="20"/>
          <w:szCs w:val="20"/>
          <w:color w:val="auto"/>
        </w:rPr>
      </w:pPr>
      <w:r>
        <w:rPr>
          <w:rFonts w:ascii="Arial" w:cs="Arial" w:eastAsia="Arial" w:hAnsi="Arial"/>
          <w:sz w:val="18"/>
          <w:szCs w:val="18"/>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220"/>
        <w:spacing w:after="0" w:line="290" w:lineRule="auto"/>
        <w:rPr>
          <w:sz w:val="20"/>
          <w:szCs w:val="20"/>
          <w:color w:val="auto"/>
        </w:rPr>
      </w:pPr>
      <w:r>
        <w:rPr>
          <w:rFonts w:ascii="Arial" w:cs="Arial" w:eastAsia="Arial" w:hAnsi="Arial"/>
          <w:sz w:val="16"/>
          <w:szCs w:val="16"/>
          <w:color w:val="auto"/>
        </w:rPr>
        <w:t>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57" w:lineRule="exact"/>
        <w:rPr>
          <w:sz w:val="20"/>
          <w:szCs w:val="20"/>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44" w:lineRule="exact"/>
        <w:rPr>
          <w:rFonts w:ascii="Arial" w:cs="Arial" w:eastAsia="Arial" w:hAnsi="Arial"/>
          <w:sz w:val="18"/>
          <w:szCs w:val="18"/>
          <w:color w:val="auto"/>
        </w:rPr>
      </w:pPr>
    </w:p>
    <w:p>
      <w:pPr>
        <w:ind w:left="760" w:right="760" w:hanging="374"/>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we filed or suspension or revocation of license approvals;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62"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(the EU)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182" w:lineRule="exact"/>
        <w:rPr>
          <w:sz w:val="20"/>
          <w:szCs w:val="20"/>
          <w:color w:val="auto"/>
        </w:rPr>
      </w:pPr>
    </w:p>
    <w:p>
      <w:pPr>
        <w:ind w:right="40" w:firstLine="382"/>
        <w:spacing w:after="0" w:line="291" w:lineRule="auto"/>
        <w:rPr>
          <w:sz w:val="20"/>
          <w:szCs w:val="20"/>
          <w:color w:val="auto"/>
        </w:rPr>
      </w:pPr>
      <w:r>
        <w:rPr>
          <w:rFonts w:ascii="Arial" w:cs="Arial" w:eastAsia="Arial" w:hAnsi="Arial"/>
          <w:sz w:val="16"/>
          <w:szCs w:val="16"/>
          <w:color w:val="auto"/>
        </w:rPr>
        <w:t>Further, clinical trials conducted in one country may not be accepted by regulatory authorities in other countries. For example, we are conducting our initial clinical trials for ALG-010133, ALG-000184 and ALG-020572 in many countries, ALG-010133 and ALG-000184 in New Zealand, Hong Kong, the United Kingdom, South Korea, China and Moldova and ALG-020572 in New Zealand,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680"/>
        <w:spacing w:after="0" w:line="277" w:lineRule="auto"/>
        <w:rPr>
          <w:sz w:val="20"/>
          <w:szCs w:val="20"/>
          <w:color w:val="auto"/>
        </w:rPr>
      </w:pPr>
      <w:r>
        <w:rPr>
          <w:rFonts w:ascii="Arial" w:cs="Arial" w:eastAsia="Arial" w:hAnsi="Arial"/>
          <w:sz w:val="18"/>
          <w:szCs w:val="18"/>
          <w:b w:val="1"/>
          <w:bCs w:val="1"/>
          <w:i w:val="1"/>
          <w:iCs w:val="1"/>
          <w:color w:val="auto"/>
        </w:rPr>
        <w:t>Risks associated with our international operations, including seeking and obtaining approval to commercialize our drug candidates in foreign jurisdictions, could harm our business.</w:t>
      </w:r>
    </w:p>
    <w:p>
      <w:pPr>
        <w:spacing w:after="0" w:line="62" w:lineRule="exact"/>
        <w:rPr>
          <w:sz w:val="20"/>
          <w:szCs w:val="20"/>
          <w:color w:val="auto"/>
        </w:rPr>
      </w:pPr>
    </w:p>
    <w:p>
      <w:pPr>
        <w:ind w:right="20" w:firstLine="382"/>
        <w:spacing w:after="0" w:line="263" w:lineRule="auto"/>
        <w:rPr>
          <w:sz w:val="20"/>
          <w:szCs w:val="20"/>
          <w:color w:val="auto"/>
        </w:rPr>
      </w:pPr>
      <w:r>
        <w:rPr>
          <w:rFonts w:ascii="Arial" w:cs="Arial" w:eastAsia="Arial" w:hAnsi="Arial"/>
          <w:sz w:val="18"/>
          <w:szCs w:val="18"/>
          <w:color w:val="auto"/>
        </w:rPr>
        <w:t>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w:t>
      </w:r>
    </w:p>
    <w:p>
      <w:pPr>
        <w:spacing w:after="0" w:line="76" w:lineRule="exact"/>
        <w:rPr>
          <w:sz w:val="20"/>
          <w:szCs w:val="20"/>
          <w:color w:val="auto"/>
        </w:rPr>
      </w:pPr>
    </w:p>
    <w:p>
      <w:pPr>
        <w:ind w:left="760" w:right="880" w:hanging="374"/>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 candidates in foreign countries, including challenging processes for marketing biopharmaceutical products;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protection for and enforcement of intellectual property rights;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heightened or different data privacy and information security laws, regulations and policies;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760" w:right="200" w:hanging="374"/>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w:t>
      </w:r>
    </w:p>
    <w:p>
      <w:pPr>
        <w:spacing w:after="0" w:line="144" w:lineRule="exact"/>
        <w:rPr>
          <w:rFonts w:ascii="Arial" w:cs="Arial" w:eastAsia="Arial" w:hAnsi="Arial"/>
          <w:sz w:val="18"/>
          <w:szCs w:val="18"/>
          <w:color w:val="auto"/>
        </w:rPr>
      </w:pPr>
    </w:p>
    <w:p>
      <w:pPr>
        <w:ind w:left="760" w:right="380" w:hanging="374"/>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and</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disruptions resulting from the impact of public health pandemics or epidemics (including, for example, the ongoing COVID-19 pandemic).</w:t>
      </w:r>
    </w:p>
    <w:p>
      <w:pPr>
        <w:spacing w:after="0" w:line="264" w:lineRule="exact"/>
        <w:rPr>
          <w:sz w:val="20"/>
          <w:szCs w:val="20"/>
          <w:color w:val="auto"/>
        </w:rPr>
      </w:pPr>
    </w:p>
    <w:p>
      <w:pPr>
        <w:ind w:right="460" w:firstLine="382"/>
        <w:spacing w:after="0" w:line="277" w:lineRule="auto"/>
        <w:rPr>
          <w:sz w:val="20"/>
          <w:szCs w:val="20"/>
          <w:color w:val="auto"/>
        </w:rPr>
      </w:pPr>
      <w:r>
        <w:rPr>
          <w:rFonts w:ascii="Arial" w:cs="Arial" w:eastAsia="Arial" w:hAnsi="Arial"/>
          <w:sz w:val="18"/>
          <w:szCs w:val="18"/>
          <w:color w:val="auto"/>
        </w:rPr>
        <w:t>In addition, there are complex regulatory, tax, labor and other legal requirements imposed by many of the individual countries in which we may operate, with which we will need to comply.</w:t>
      </w:r>
    </w:p>
    <w:p>
      <w:pPr>
        <w:spacing w:after="0" w:line="27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ind w:right="100" w:firstLine="382"/>
        <w:spacing w:after="0" w:line="25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95"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Relatedly,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mission-critical inspections to resumption of all regulatory activities. The resumption of prioritized domestic inspections is dependent on the current COVID-19 data in a given state or county and the rules and guidelines established by state and local government. Regulatory authorities outside the United States may adopt similar restrictions or other policy measures in response to events such as the COVID-19 pandemic. 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4" w:name="page55"/>
    <w:bookmarkEnd w:id="54"/>
    <w:p>
      <w:pPr>
        <w:ind w:right="4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62"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COVID-19, HBV or other viral diseases as a result of their genetic makeup. In addition, the route of administration for our potential therapies could be inconvenient and/or not commercially viable, which could also limit the potential market for our therapies. If the market opportunities for our drug candidates are smaller than we estimate, it could have an adverse effect on our business, financial condition, results of operations and prospects.</w:t>
      </w:r>
    </w:p>
    <w:p>
      <w:pPr>
        <w:spacing w:after="0" w:line="179" w:lineRule="exact"/>
        <w:rPr>
          <w:sz w:val="20"/>
          <w:szCs w:val="20"/>
          <w:color w:val="auto"/>
        </w:rPr>
      </w:pPr>
    </w:p>
    <w:p>
      <w:pPr>
        <w:ind w:firstLine="386"/>
        <w:spacing w:after="0" w:line="253" w:lineRule="auto"/>
        <w:rPr>
          <w:sz w:val="20"/>
          <w:szCs w:val="20"/>
          <w:color w:val="auto"/>
        </w:rPr>
      </w:pPr>
      <w:r>
        <w:rPr>
          <w:rFonts w:ascii="Arial" w:cs="Arial" w:eastAsia="Arial" w:hAnsi="Arial"/>
          <w:sz w:val="18"/>
          <w:szCs w:val="18"/>
          <w:color w:val="auto"/>
        </w:rPr>
        <w:t>For example, we believe NASH to be one of the most prevalent chronic liver diseases worldwide, however, our projections of the number of people who have NASH, as well as the subset of people with the disease who have the potential to benefit from treatment with our drug candidates, are based on our beliefs and estimates. The effort to identify patients with NASH is in early stages, and we cannot accurately predict the number of patients for whom treatment might be possible. NASH is often undiagnosed and may be left undiagnosed for a long time, partly because a definitive diagnosis of NASH is currently based on a histological assessment of a liver biopsy, which impairs the ability to easily identify patients. If improved diagnostic techniques for identifying NASH patients who will benefit from treatment are not developed, our market opportunity may be smaller than we currently anticipate. Further, if government authorities and third-party payors choose to limit coverage and reimbursement of our NASH drug candidate, such as limiting the number of patients’ treatment that would be covered and reimbursable, this could result in a smaller market opportunity for our NASH drug candidate than we anticipate.</w:t>
      </w:r>
    </w:p>
    <w:p>
      <w:pPr>
        <w:spacing w:after="0" w:line="196" w:lineRule="exact"/>
        <w:rPr>
          <w:sz w:val="20"/>
          <w:szCs w:val="20"/>
          <w:color w:val="auto"/>
        </w:rPr>
      </w:pPr>
    </w:p>
    <w:p>
      <w:pPr>
        <w:ind w:right="200" w:firstLine="386"/>
        <w:spacing w:after="0" w:line="259" w:lineRule="auto"/>
        <w:rPr>
          <w:sz w:val="20"/>
          <w:szCs w:val="20"/>
          <w:color w:val="auto"/>
        </w:rPr>
      </w:pPr>
      <w:r>
        <w:rPr>
          <w:rFonts w:ascii="Arial" w:cs="Arial" w:eastAsia="Arial" w:hAnsi="Arial"/>
          <w:sz w:val="18"/>
          <w:szCs w:val="18"/>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p>
    <w:p>
      <w:pPr>
        <w:spacing w:after="0" w:line="2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62"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NASH,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185" w:lineRule="exact"/>
        <w:rPr>
          <w:sz w:val="20"/>
          <w:szCs w:val="20"/>
          <w:color w:val="auto"/>
        </w:rPr>
      </w:pPr>
    </w:p>
    <w:p>
      <w:pPr>
        <w:ind w:right="160" w:firstLine="382"/>
        <w:spacing w:after="0" w:line="263" w:lineRule="auto"/>
        <w:rPr>
          <w:sz w:val="20"/>
          <w:szCs w:val="20"/>
          <w:color w:val="auto"/>
        </w:rPr>
      </w:pPr>
      <w:r>
        <w:rPr>
          <w:rFonts w:ascii="Arial" w:cs="Arial" w:eastAsia="Arial" w:hAnsi="Arial"/>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5" w:name="page56"/>
    <w:bookmarkEnd w:id="55"/>
    <w:p>
      <w:pPr>
        <w:ind w:right="4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62"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86" w:lineRule="exact"/>
        <w:rPr>
          <w:sz w:val="20"/>
          <w:szCs w:val="20"/>
          <w:color w:val="auto"/>
        </w:rPr>
      </w:pPr>
    </w:p>
    <w:p>
      <w:pPr>
        <w:ind w:right="80" w:firstLine="382"/>
        <w:spacing w:after="0" w:line="253" w:lineRule="auto"/>
        <w:rPr>
          <w:sz w:val="20"/>
          <w:szCs w:val="20"/>
          <w:color w:val="auto"/>
        </w:rPr>
      </w:pPr>
      <w:r>
        <w:rPr>
          <w:rFonts w:ascii="Arial" w:cs="Arial" w:eastAsia="Arial" w:hAnsi="Arial"/>
          <w:sz w:val="18"/>
          <w:szCs w:val="18"/>
          <w:color w:val="auto"/>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w:t>
      </w:r>
    </w:p>
    <w:p>
      <w:pPr>
        <w:spacing w:after="0" w:line="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and Vaxart, Inc. For example, BioNTech SE (together with Pfizer Inc.), Janssen Pharmaceutical Companies of Johnson &amp; Johnson and Moderna Inc. have developed COVID-19 vaccines that have received authorization for emergency use and/or regulatory approval are being widely administered. In addition, Pfizer, Inc. recently announced its COVID-19 experimental drug (an orally administered protease inhibitor) which entered the clinic in March 2021, may be available by the end of 2021. Similarly, Merck (together with Ridgeback Bio), is developing the drug Molnupiravir, an antiviral drug which has been submitted to the FDA for EUA which has the potential to become the first oral COVID-19 treatment. The availability of such COVID-19 vaccines and Pfizer’s oral COVID-19 drug may reduce or eliminate the need for our potential COVID therapies to treat the disease and therefore negatively impact the commercial opportunity therefor.</w:t>
      </w:r>
    </w:p>
    <w:p>
      <w:pPr>
        <w:spacing w:after="0" w:line="76"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Furthermore, there are companies developing or marketing treatments for NASH,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Blade Therapeutics, Inc., Cirius Therapeutics, Inc., Enanta Pharmaceuticals,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w:t>
      </w:r>
    </w:p>
    <w:p>
      <w:pPr>
        <w:spacing w:after="0" w:line="195" w:lineRule="exact"/>
        <w:rPr>
          <w:sz w:val="20"/>
          <w:szCs w:val="20"/>
          <w:color w:val="auto"/>
        </w:rPr>
      </w:pPr>
    </w:p>
    <w:p>
      <w:pPr>
        <w:ind w:right="120" w:firstLine="382"/>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195" w:lineRule="exact"/>
        <w:rPr>
          <w:sz w:val="20"/>
          <w:szCs w:val="20"/>
          <w:color w:val="auto"/>
        </w:rPr>
      </w:pPr>
    </w:p>
    <w:p>
      <w:pPr>
        <w:ind w:right="380" w:firstLine="382"/>
        <w:spacing w:after="0" w:line="277" w:lineRule="auto"/>
        <w:rPr>
          <w:sz w:val="20"/>
          <w:szCs w:val="20"/>
          <w:color w:val="auto"/>
        </w:rPr>
      </w:pPr>
      <w:r>
        <w:rPr>
          <w:rFonts w:ascii="Arial" w:cs="Arial" w:eastAsia="Arial" w:hAnsi="Arial"/>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jc w:val="both"/>
        <w:ind w:right="120" w:firstLine="382"/>
        <w:spacing w:after="0" w:line="263" w:lineRule="auto"/>
        <w:rPr>
          <w:sz w:val="20"/>
          <w:szCs w:val="20"/>
          <w:color w:val="auto"/>
        </w:rPr>
      </w:pPr>
      <w:r>
        <w:rPr>
          <w:rFonts w:ascii="Arial" w:cs="Arial" w:eastAsia="Arial" w:hAnsi="Arial"/>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184" w:lineRule="exact"/>
        <w:rPr>
          <w:sz w:val="20"/>
          <w:szCs w:val="20"/>
          <w:color w:val="auto"/>
        </w:rPr>
      </w:pPr>
    </w:p>
    <w:p>
      <w:pPr>
        <w:ind w:right="80" w:firstLine="382"/>
        <w:spacing w:after="0" w:line="286" w:lineRule="auto"/>
        <w:rPr>
          <w:sz w:val="20"/>
          <w:szCs w:val="20"/>
          <w:color w:val="auto"/>
        </w:rPr>
      </w:pPr>
      <w:r>
        <w:rPr>
          <w:rFonts w:ascii="Arial" w:cs="Arial" w:eastAsia="Arial" w:hAnsi="Arial"/>
          <w:sz w:val="17"/>
          <w:szCs w:val="17"/>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62"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179"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176" w:lineRule="exact"/>
        <w:rPr>
          <w:sz w:val="20"/>
          <w:szCs w:val="20"/>
          <w:color w:val="auto"/>
        </w:rPr>
      </w:pPr>
    </w:p>
    <w:p>
      <w:pPr>
        <w:ind w:right="60" w:firstLine="382"/>
        <w:spacing w:after="0" w:line="279" w:lineRule="auto"/>
        <w:rPr>
          <w:sz w:val="20"/>
          <w:szCs w:val="20"/>
          <w:color w:val="auto"/>
        </w:rPr>
      </w:pPr>
      <w:r>
        <w:rPr>
          <w:rFonts w:ascii="Arial" w:cs="Arial" w:eastAsia="Arial" w:hAnsi="Arial"/>
          <w:sz w:val="17"/>
          <w:szCs w:val="17"/>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2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62" w:lineRule="exact"/>
        <w:rPr>
          <w:sz w:val="20"/>
          <w:szCs w:val="20"/>
          <w:color w:val="auto"/>
        </w:rPr>
      </w:pPr>
    </w:p>
    <w:p>
      <w:pPr>
        <w:ind w:right="40" w:firstLine="382"/>
        <w:spacing w:after="0" w:line="272" w:lineRule="auto"/>
        <w:rPr>
          <w:sz w:val="20"/>
          <w:szCs w:val="20"/>
          <w:color w:val="auto"/>
        </w:rPr>
      </w:pPr>
      <w:r>
        <w:rPr>
          <w:rFonts w:ascii="Arial" w:cs="Arial" w:eastAsia="Arial" w:hAnsi="Arial"/>
          <w:sz w:val="17"/>
          <w:szCs w:val="17"/>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177" w:lineRule="exact"/>
        <w:rPr>
          <w:sz w:val="20"/>
          <w:szCs w:val="20"/>
          <w:color w:val="auto"/>
        </w:rPr>
      </w:pPr>
    </w:p>
    <w:p>
      <w:pPr>
        <w:ind w:right="200" w:firstLine="382"/>
        <w:spacing w:after="0" w:line="275" w:lineRule="auto"/>
        <w:rPr>
          <w:sz w:val="20"/>
          <w:szCs w:val="20"/>
          <w:color w:val="auto"/>
        </w:rPr>
      </w:pPr>
      <w:r>
        <w:rPr>
          <w:rFonts w:ascii="Arial" w:cs="Arial" w:eastAsia="Arial" w:hAnsi="Arial"/>
          <w:sz w:val="17"/>
          <w:szCs w:val="17"/>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firstLine="382"/>
        <w:spacing w:after="0" w:line="253"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96"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2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62" w:lineRule="exact"/>
        <w:rPr>
          <w:sz w:val="20"/>
          <w:szCs w:val="20"/>
          <w:color w:val="auto"/>
        </w:rPr>
      </w:pPr>
    </w:p>
    <w:p>
      <w:pPr>
        <w:ind w:right="160" w:firstLine="382"/>
        <w:spacing w:after="0" w:line="259" w:lineRule="auto"/>
        <w:rPr>
          <w:sz w:val="20"/>
          <w:szCs w:val="20"/>
          <w:color w:val="auto"/>
        </w:rPr>
      </w:pPr>
      <w:r>
        <w:rPr>
          <w:rFonts w:ascii="Arial" w:cs="Arial" w:eastAsia="Arial" w:hAnsi="Arial"/>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187" w:lineRule="exact"/>
        <w:rPr>
          <w:sz w:val="20"/>
          <w:szCs w:val="20"/>
          <w:color w:val="auto"/>
        </w:rPr>
      </w:pPr>
    </w:p>
    <w:p>
      <w:pPr>
        <w:ind w:firstLine="382"/>
        <w:spacing w:after="0" w:line="217" w:lineRule="exact"/>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risk/benefit profiles through Phase 1 clinical trials of our drug candidates, ALG-010133, ALG-000184 and ALG</w:t>
      </w:r>
      <w:r>
        <w:rPr>
          <w:rFonts w:ascii="MS PGothic" w:cs="MS PGothic" w:eastAsia="MS PGothic" w:hAnsi="MS PGothic"/>
          <w:sz w:val="17"/>
          <w:szCs w:val="17"/>
          <w:color w:val="auto"/>
        </w:rPr>
        <w:t>‑</w:t>
      </w:r>
      <w:r>
        <w:rPr>
          <w:rFonts w:ascii="Arial" w:cs="Arial" w:eastAsia="Arial" w:hAnsi="Arial"/>
          <w:sz w:val="17"/>
          <w:szCs w:val="17"/>
          <w:color w:val="auto"/>
        </w:rPr>
        <w:t>020572.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206" w:lineRule="exact"/>
        <w:rPr>
          <w:sz w:val="20"/>
          <w:szCs w:val="20"/>
          <w:color w:val="auto"/>
        </w:rPr>
      </w:pPr>
    </w:p>
    <w:p>
      <w:pPr>
        <w:jc w:val="both"/>
        <w:ind w:right="80" w:firstLine="382"/>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right="60"/>
        <w:spacing w:after="0" w:line="301" w:lineRule="auto"/>
        <w:rPr>
          <w:sz w:val="20"/>
          <w:szCs w:val="20"/>
          <w:color w:val="auto"/>
        </w:rPr>
      </w:pPr>
      <w:r>
        <w:rPr>
          <w:rFonts w:ascii="Arial" w:cs="Arial" w:eastAsia="Arial" w:hAnsi="Arial"/>
          <w:sz w:val="16"/>
          <w:szCs w:val="16"/>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49"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92"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181" w:lineRule="exact"/>
        <w:rPr>
          <w:sz w:val="20"/>
          <w:szCs w:val="20"/>
          <w:color w:val="auto"/>
        </w:rPr>
      </w:pPr>
    </w:p>
    <w:p>
      <w:pPr>
        <w:ind w:right="40" w:firstLine="382"/>
        <w:spacing w:after="0" w:line="275" w:lineRule="auto"/>
        <w:rPr>
          <w:sz w:val="20"/>
          <w:szCs w:val="20"/>
          <w:color w:val="auto"/>
        </w:rPr>
      </w:pPr>
      <w:r>
        <w:rPr>
          <w:rFonts w:ascii="Arial" w:cs="Arial" w:eastAsia="Arial" w:hAnsi="Arial"/>
          <w:sz w:val="17"/>
          <w:szCs w:val="17"/>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176"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NASH.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right="140" w:firstLine="382"/>
        <w:spacing w:after="0" w:line="272" w:lineRule="auto"/>
        <w:rPr>
          <w:sz w:val="20"/>
          <w:szCs w:val="20"/>
          <w:color w:val="auto"/>
        </w:rPr>
      </w:pPr>
      <w:r>
        <w:rPr>
          <w:rFonts w:ascii="Arial" w:cs="Arial" w:eastAsia="Arial" w:hAnsi="Arial"/>
          <w:sz w:val="17"/>
          <w:szCs w:val="17"/>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9" w:name="page60"/>
    <w:bookmarkEnd w:id="59"/>
    <w:p>
      <w:pPr>
        <w:ind w:firstLine="382"/>
        <w:spacing w:after="0" w:line="290" w:lineRule="auto"/>
        <w:rPr>
          <w:sz w:val="20"/>
          <w:szCs w:val="20"/>
          <w:color w:val="auto"/>
        </w:rPr>
      </w:pPr>
      <w:r>
        <w:rPr>
          <w:rFonts w:ascii="Arial" w:cs="Arial" w:eastAsia="Arial" w:hAnsi="Arial"/>
          <w:sz w:val="16"/>
          <w:szCs w:val="16"/>
          <w:color w:val="auto"/>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65"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spacing w:after="0" w:line="188"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 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required to make significant payments under our license agreements with Emory University and Luxna Biotech Co., Ltd.</w:t>
      </w:r>
    </w:p>
    <w:p>
      <w:pPr>
        <w:spacing w:after="0" w:line="129"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We entered into a License Agreement with Emory in June 2018 (the Emory License Agreement), and a License Agreement with Luxna in December 2018 and an amendment in April 2020 (as amended, the Luxna Agreement). Under the Emory License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for the year ended December 31, 2020, previously filed with the SEC. If these payments become due under the terms of either the Emory University License Agreement or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62" w:lineRule="exact"/>
        <w:rPr>
          <w:sz w:val="20"/>
          <w:szCs w:val="20"/>
          <w:color w:val="auto"/>
        </w:rPr>
      </w:pPr>
    </w:p>
    <w:p>
      <w:pPr>
        <w:ind w:right="60" w:firstLine="382"/>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demand for any approved product;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monetary payments to trial participants or patients;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effects to our results of operations and business;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commercialize any drug candidate;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52" w:lineRule="exact"/>
        <w:rPr>
          <w:sz w:val="20"/>
          <w:szCs w:val="20"/>
          <w:color w:val="auto"/>
        </w:rPr>
      </w:pPr>
    </w:p>
    <w:p>
      <w:pPr>
        <w:ind w:right="340" w:firstLine="382"/>
        <w:spacing w:after="0" w:line="277" w:lineRule="auto"/>
        <w:rPr>
          <w:sz w:val="20"/>
          <w:szCs w:val="20"/>
          <w:color w:val="auto"/>
        </w:rPr>
      </w:pPr>
      <w:r>
        <w:rPr>
          <w:rFonts w:ascii="Arial" w:cs="Arial" w:eastAsia="Arial" w:hAnsi="Arial"/>
          <w:sz w:val="18"/>
          <w:szCs w:val="18"/>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170"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firstLine="386"/>
        <w:spacing w:after="0" w:line="291"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w:t>
      </w:r>
    </w:p>
    <w:p>
      <w:pPr>
        <w:spacing w:after="0" w:line="166" w:lineRule="exact"/>
        <w:rPr>
          <w:sz w:val="20"/>
          <w:szCs w:val="20"/>
          <w:color w:val="auto"/>
        </w:rPr>
      </w:pPr>
    </w:p>
    <w:p>
      <w:pPr>
        <w:ind w:right="40" w:firstLine="386"/>
        <w:spacing w:after="0" w:line="271"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the ACA or our business.</w:t>
      </w:r>
    </w:p>
    <w:p>
      <w:pPr>
        <w:spacing w:after="0" w:line="178" w:lineRule="exact"/>
        <w:rPr>
          <w:sz w:val="20"/>
          <w:szCs w:val="20"/>
          <w:color w:val="auto"/>
        </w:rPr>
      </w:pPr>
    </w:p>
    <w:p>
      <w:pPr>
        <w:ind w:right="40" w:firstLine="386"/>
        <w:spacing w:after="0" w:line="296"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December 31, 2021, unless additional Congressional action is taken. In addition, on January 2, 2013, the American Taxpayer Relief Act of 2012 was signed into law, which, among other things, further reduced Medicare payments to several types of providers.</w:t>
      </w:r>
    </w:p>
    <w:p>
      <w:pPr>
        <w:spacing w:after="0" w:line="161" w:lineRule="exact"/>
        <w:rPr>
          <w:sz w:val="20"/>
          <w:szCs w:val="20"/>
          <w:color w:val="auto"/>
        </w:rPr>
      </w:pPr>
    </w:p>
    <w:p>
      <w:pPr>
        <w:ind w:firstLine="386"/>
        <w:spacing w:after="0" w:line="259"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 For example, it is possible that additional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governmental action will be taken to address the COVID-19 pandemic, which could impact our business in an as-yet unknown manner.</w:t>
      </w:r>
    </w:p>
    <w:p>
      <w:pPr>
        <w:spacing w:after="0" w:line="225"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It is unclear whether the Biden administration will work to reverse these measures or pursue similar policy initiatives to control drug costs. Any reduction in reimbursement from Medicare and other government programs may result in a similar reduction in payments from private payers.</w:t>
      </w:r>
    </w:p>
    <w:p>
      <w:pPr>
        <w:spacing w:after="0" w:line="28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76" w:lineRule="exact"/>
        <w:rPr>
          <w:sz w:val="20"/>
          <w:szCs w:val="20"/>
          <w:color w:val="auto"/>
        </w:rPr>
      </w:pPr>
    </w:p>
    <w:p>
      <w:pPr>
        <w:ind w:right="40" w:firstLine="382"/>
        <w:spacing w:after="0" w:line="289" w:lineRule="auto"/>
        <w:rPr>
          <w:sz w:val="20"/>
          <w:szCs w:val="20"/>
          <w:color w:val="auto"/>
        </w:rPr>
      </w:pPr>
      <w:r>
        <w:rPr>
          <w:rFonts w:ascii="Arial" w:cs="Arial" w:eastAsia="Arial" w:hAnsi="Arial"/>
          <w:sz w:val="16"/>
          <w:szCs w:val="16"/>
          <w:color w:val="auto"/>
        </w:rPr>
        <w:t>We and our partners may be subject to federal, state and foreign data privacy and security laws and regulations. Failure by us or our third-party vendors, collaborators, contractors and consultants to comply with any of these laws and regulations could result in notification obligations or enforcement actions against us, which could result in, among other things, fines,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166" w:lineRule="exact"/>
        <w:rPr>
          <w:sz w:val="20"/>
          <w:szCs w:val="20"/>
          <w:color w:val="auto"/>
        </w:rPr>
      </w:pPr>
    </w:p>
    <w:p>
      <w:pPr>
        <w:ind w:right="20" w:firstLine="382"/>
        <w:spacing w:after="0" w:line="272"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provided to us by a HIPAA-covered entity in a manner that is not authorized or permitted by HIPAA.</w:t>
      </w:r>
    </w:p>
    <w:p>
      <w:pPr>
        <w:spacing w:after="0" w:line="177" w:lineRule="exact"/>
        <w:rPr>
          <w:sz w:val="20"/>
          <w:szCs w:val="20"/>
          <w:color w:val="auto"/>
        </w:rPr>
      </w:pPr>
    </w:p>
    <w:p>
      <w:pPr>
        <w:ind w:right="80" w:firstLine="382"/>
        <w:spacing w:after="0" w:line="286" w:lineRule="auto"/>
        <w:rPr>
          <w:sz w:val="20"/>
          <w:szCs w:val="20"/>
          <w:color w:val="auto"/>
        </w:rPr>
      </w:pPr>
      <w:r>
        <w:rPr>
          <w:rFonts w:ascii="Arial" w:cs="Arial" w:eastAsia="Arial" w:hAnsi="Arial"/>
          <w:sz w:val="16"/>
          <w:szCs w:val="16"/>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of 2018 (CCPA) went into effect on January 1, 2020. The CCPA, among other things, creates individual privacy rights for California consumers, such as the right to access and delete their personal information, opt-out of certain sales of personal information and receive detailed information about how their personal information is used. The CCPA provides for civil penalties for violations, as well as a private right of action for data breaches that is expected to increase the frequency of data breach litigation. The CCPA may increase our compliance costs and potential liability, and many similar laws have been proposed at the federal level and in other states. Further, the California Privacy Rights Act (CPRA) recently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or other domestic privacy and data protection laws, any liability from failure to comply with the requirements of these laws could adversely affect our financial condition.</w:t>
      </w:r>
    </w:p>
    <w:p>
      <w:pPr>
        <w:spacing w:after="0" w:line="201"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We currently operate in countries outside of the United States, including Belgium, Australia and China, where laws may in some cases be more stringent than the requirements in the United States. For example, in Europe, the General Data Protection Regulation (GDPR) went into effect in May 2018 and imposes strict requirements for the collection, storage, use, disclosure, transfer and other processing of the personal data of individuals within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limit retention of personal information and apply enhanced protections to health data and other special categories of personal data. The GDPR also applies to</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2" w:name="page63"/>
    <w:bookmarkEnd w:id="62"/>
    <w:p>
      <w:pPr>
        <w:spacing w:after="0" w:line="283" w:lineRule="auto"/>
        <w:rPr>
          <w:sz w:val="20"/>
          <w:szCs w:val="20"/>
          <w:color w:val="auto"/>
        </w:rPr>
      </w:pPr>
      <w:r>
        <w:rPr>
          <w:rFonts w:ascii="Arial" w:cs="Arial" w:eastAsia="Arial" w:hAnsi="Arial"/>
          <w:sz w:val="16"/>
          <w:szCs w:val="16"/>
          <w:color w:val="auto"/>
        </w:rPr>
        <w:t>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and EEA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could result in fines of up to €20 million or 4% of the total worldwide annual turnover of our preceding fiscal year, whichever is higher, and other administrative penalties. Further, from January 1, 2021, we have to comply with the GDPR and also the United Kingdom GDPR (UK GDPR), which, together, with the amended Data Protection Act 2018, retains the GDPR in UK national law, the latter regime having the ability to separately fine up to the greater of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U.K. Trade and Cooperation Agreement, ending</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June 30, 2021 at the latest, whilst the parties discuss an adequacy decision. The European Commission published a draft adequacy decision on February 19, 2021. If adopted, the decision will enable data transfers from EU member states to the United Kingdom for a four-year period, subject to subsequent extensions.</w:t>
      </w:r>
    </w:p>
    <w:p>
      <w:pPr>
        <w:spacing w:after="0" w:line="82" w:lineRule="exact"/>
        <w:rPr>
          <w:sz w:val="20"/>
          <w:szCs w:val="20"/>
          <w:color w:val="auto"/>
        </w:rPr>
      </w:pPr>
    </w:p>
    <w:p>
      <w:pPr>
        <w:ind w:right="60" w:firstLine="382"/>
        <w:spacing w:after="0" w:line="289" w:lineRule="auto"/>
        <w:rPr>
          <w:sz w:val="20"/>
          <w:szCs w:val="20"/>
          <w:color w:val="auto"/>
        </w:rPr>
      </w:pPr>
      <w:r>
        <w:rPr>
          <w:rFonts w:ascii="Arial" w:cs="Arial" w:eastAsia="Arial" w:hAnsi="Arial"/>
          <w:sz w:val="16"/>
          <w:szCs w:val="16"/>
          <w:color w:val="auto"/>
        </w:rPr>
        <w:t>The GDPR further prohibits, without an appropriate legal basis, the transfer of personal data to countries outside of the EEA, such as the United States, which are not considered by the European Commission to provide an adequate level of data protection. Recent legal developments in Europe have created complexity and uncertainty regarding transfers of personal data from the EEA to the United States. For example, on July 16, 2020, the Court of Justice of the European Union (CJEU) invalidated the EU-US Privacy Shield Framework (the Privacy Shield) under which personal data could be transferred from the EEA to United States entities that had self-certified under the Privacy Shield scheme. While the CJEU upheld the adequacy, subject to certain conditions, of the standard contractual clauses (a standard form of contract approved by the European Commission as an adequate personal data transfer mechanism), future regulatory guidance could result in changes to the use of standard contractual clauses. Failure to comply with the GDPR and other countries’ privacy or data security-related laws, rules or regulations could result in material penalties imposed by regulators, affect our compliance with contracts entered into with our collaborators and other third-party payors, and have an adverse effect on our business and financial condition.</w:t>
      </w:r>
    </w:p>
    <w:p>
      <w:pPr>
        <w:spacing w:after="0" w:line="58" w:lineRule="exact"/>
        <w:rPr>
          <w:sz w:val="20"/>
          <w:szCs w:val="20"/>
          <w:color w:val="auto"/>
        </w:rPr>
      </w:pPr>
    </w:p>
    <w:p>
      <w:pPr>
        <w:ind w:right="220" w:firstLine="382"/>
        <w:spacing w:after="0" w:line="275" w:lineRule="auto"/>
        <w:rPr>
          <w:sz w:val="20"/>
          <w:szCs w:val="20"/>
          <w:color w:val="auto"/>
        </w:rPr>
      </w:pPr>
      <w:r>
        <w:rPr>
          <w:rFonts w:ascii="Arial" w:cs="Arial" w:eastAsia="Arial" w:hAnsi="Arial"/>
          <w:sz w:val="17"/>
          <w:szCs w:val="17"/>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internal computer systems, or those used by our CROs or other contractors or consultants, may fail or suffer security breaches.</w:t>
      </w:r>
    </w:p>
    <w:p>
      <w:pPr>
        <w:spacing w:after="0" w:line="129" w:lineRule="exact"/>
        <w:rPr>
          <w:sz w:val="20"/>
          <w:szCs w:val="20"/>
          <w:color w:val="auto"/>
        </w:rPr>
      </w:pPr>
    </w:p>
    <w:p>
      <w:pPr>
        <w:ind w:right="80" w:firstLine="382"/>
        <w:spacing w:after="0" w:line="285"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contractors and consultants are vulnerable to damage from cyber-attacks, computer hacks, theft, viruses, malicious software, phishing, employee error, denial-of-service attacks, unauthorized access and other security breaches that could jeopardize the performance of our software and computer systems, and could expose us to financial and reputational harm.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development and commercialization of our future drug candidates could be delayed.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57"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We are currently collaborating with third parties to develop certain of our potential drug candidates. For example, we are collaborating with the Rega Institute and Centre for Drug Design and Discovery at KU Leuven with respect to potential protease inhibitors for the treatment of coronaviruses, including SARS-CoV-2, with Emory University with respect to certain aspects of our small molecule CHB program and with Merck with respect to the discovery, research and development of oligonucleotides against a NASH target.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Collaborations involving our current and future drug candidates may pose the following risks to us:</w:t>
      </w:r>
    </w:p>
    <w:p>
      <w:pPr>
        <w:spacing w:after="0" w:line="117" w:lineRule="exact"/>
        <w:rPr>
          <w:sz w:val="20"/>
          <w:szCs w:val="20"/>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44" w:lineRule="exact"/>
        <w:rPr>
          <w:rFonts w:ascii="Arial" w:cs="Arial" w:eastAsia="Arial" w:hAnsi="Arial"/>
          <w:sz w:val="18"/>
          <w:szCs w:val="18"/>
          <w:color w:val="auto"/>
        </w:rPr>
      </w:pPr>
    </w:p>
    <w:p>
      <w:pPr>
        <w:ind w:left="760" w:right="300" w:hanging="374"/>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62" w:lineRule="exact"/>
        <w:rPr>
          <w:rFonts w:ascii="Arial" w:cs="Arial" w:eastAsia="Arial" w:hAnsi="Arial"/>
          <w:sz w:val="18"/>
          <w:szCs w:val="18"/>
          <w:color w:val="auto"/>
        </w:rPr>
      </w:pPr>
    </w:p>
    <w:p>
      <w:pPr>
        <w:ind w:left="760" w:right="160" w:hanging="374"/>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(if any) or drug candidates;</w:t>
      </w:r>
    </w:p>
    <w:p>
      <w:pPr>
        <w:spacing w:after="0" w:line="62" w:lineRule="exact"/>
        <w:rPr>
          <w:rFonts w:ascii="Arial" w:cs="Arial" w:eastAsia="Arial" w:hAnsi="Arial"/>
          <w:sz w:val="18"/>
          <w:szCs w:val="18"/>
          <w:color w:val="auto"/>
        </w:rPr>
      </w:pPr>
    </w:p>
    <w:p>
      <w:pPr>
        <w:ind w:left="760" w:right="380" w:hanging="374"/>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62" w:lineRule="exact"/>
        <w:rPr>
          <w:rFonts w:ascii="Arial" w:cs="Arial" w:eastAsia="Arial" w:hAnsi="Arial"/>
          <w:sz w:val="18"/>
          <w:szCs w:val="18"/>
          <w:color w:val="auto"/>
        </w:rPr>
      </w:pPr>
    </w:p>
    <w:p>
      <w:pPr>
        <w:ind w:left="760" w:right="20" w:hanging="374"/>
        <w:spacing w:after="0" w:line="263"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7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44" w:lineRule="exact"/>
        <w:rPr>
          <w:rFonts w:ascii="Arial" w:cs="Arial" w:eastAsia="Arial" w:hAnsi="Arial"/>
          <w:sz w:val="18"/>
          <w:szCs w:val="18"/>
          <w:color w:val="auto"/>
        </w:rPr>
      </w:pPr>
    </w:p>
    <w:p>
      <w:pPr>
        <w:ind w:left="760" w:right="340" w:hanging="374"/>
        <w:spacing w:after="0" w:line="342"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760" w:right="420" w:hanging="374"/>
        <w:spacing w:after="0" w:line="308"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146" w:lineRule="exact"/>
        <w:rPr>
          <w:sz w:val="20"/>
          <w:szCs w:val="20"/>
          <w:color w:val="auto"/>
        </w:rPr>
      </w:pPr>
    </w:p>
    <w:p>
      <w:pPr>
        <w:ind w:right="40" w:firstLine="382"/>
        <w:spacing w:after="0" w:line="255" w:lineRule="auto"/>
        <w:rPr>
          <w:sz w:val="20"/>
          <w:szCs w:val="20"/>
          <w:color w:val="auto"/>
        </w:rPr>
      </w:pPr>
      <w:r>
        <w:rPr>
          <w:rFonts w:ascii="Arial" w:cs="Arial" w:eastAsia="Arial" w:hAnsi="Arial"/>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200" w:firstLine="382"/>
        <w:spacing w:after="0" w:line="257" w:lineRule="auto"/>
        <w:rPr>
          <w:sz w:val="20"/>
          <w:szCs w:val="20"/>
          <w:color w:val="auto"/>
        </w:rPr>
      </w:pPr>
      <w:r>
        <w:rPr>
          <w:rFonts w:ascii="Arial" w:cs="Arial" w:eastAsia="Arial" w:hAnsi="Arial"/>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4" w:name="page65"/>
    <w:bookmarkEnd w:id="64"/>
    <w:p>
      <w:pPr>
        <w:ind w:right="40" w:firstLine="382"/>
        <w:spacing w:after="0" w:line="287"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p>
    <w:p>
      <w:pPr>
        <w:spacing w:after="0" w:line="172" w:lineRule="exact"/>
        <w:rPr>
          <w:sz w:val="20"/>
          <w:szCs w:val="20"/>
          <w:color w:val="auto"/>
        </w:rPr>
      </w:pPr>
    </w:p>
    <w:p>
      <w:pPr>
        <w:ind w:right="960" w:firstLine="382"/>
        <w:spacing w:after="0" w:line="277" w:lineRule="auto"/>
        <w:rPr>
          <w:sz w:val="20"/>
          <w:szCs w:val="20"/>
          <w:color w:val="auto"/>
        </w:rPr>
      </w:pPr>
      <w:r>
        <w:rPr>
          <w:rFonts w:ascii="Arial" w:cs="Arial" w:eastAsia="Arial" w:hAnsi="Arial"/>
          <w:sz w:val="18"/>
          <w:szCs w:val="18"/>
          <w:color w:val="auto"/>
        </w:rPr>
        <w:t>We may also be restricted under future collaboration agreements from entering into additional agreements on certain terms with potential collaborators.</w:t>
      </w:r>
    </w:p>
    <w:p>
      <w:pPr>
        <w:spacing w:after="0" w:line="170" w:lineRule="exact"/>
        <w:rPr>
          <w:sz w:val="20"/>
          <w:szCs w:val="20"/>
          <w:color w:val="auto"/>
        </w:rPr>
      </w:pPr>
    </w:p>
    <w:p>
      <w:pPr>
        <w:ind w:right="440" w:firstLine="382"/>
        <w:spacing w:after="0" w:line="277"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170" w:lineRule="exact"/>
        <w:rPr>
          <w:sz w:val="20"/>
          <w:szCs w:val="20"/>
          <w:color w:val="auto"/>
        </w:rPr>
      </w:pPr>
    </w:p>
    <w:p>
      <w:pPr>
        <w:ind w:right="80" w:firstLine="382"/>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2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2"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184"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296"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23" w:lineRule="exact"/>
        <w:rPr>
          <w:sz w:val="20"/>
          <w:szCs w:val="20"/>
          <w:color w:val="auto"/>
        </w:rPr>
      </w:pPr>
    </w:p>
    <w:p>
      <w:pPr>
        <w:ind w:right="60" w:firstLine="382"/>
        <w:spacing w:after="0" w:line="218" w:lineRule="exact"/>
        <w:rPr>
          <w:sz w:val="20"/>
          <w:szCs w:val="20"/>
          <w:color w:val="auto"/>
        </w:rPr>
      </w:pPr>
      <w:r>
        <w:rPr>
          <w:rFonts w:ascii="Arial" w:cs="Arial" w:eastAsia="Arial" w:hAnsi="Arial"/>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010133, ALG</w:t>
      </w:r>
      <w:r>
        <w:rPr>
          <w:rFonts w:ascii="MS PGothic" w:cs="MS PGothic" w:eastAsia="MS PGothic" w:hAnsi="MS PGothic"/>
          <w:sz w:val="18"/>
          <w:szCs w:val="18"/>
          <w:color w:val="auto"/>
        </w:rPr>
        <w:t>‑</w:t>
      </w:r>
      <w:r>
        <w:rPr>
          <w:rFonts w:ascii="Arial" w:cs="Arial" w:eastAsia="Arial" w:hAnsi="Arial"/>
          <w:sz w:val="18"/>
          <w:szCs w:val="18"/>
          <w:color w:val="auto"/>
        </w:rPr>
        <w:t>000184 and ALG</w:t>
      </w:r>
      <w:r>
        <w:rPr>
          <w:rFonts w:ascii="MS PGothic" w:cs="MS PGothic" w:eastAsia="MS PGothic" w:hAnsi="MS PGothic"/>
          <w:sz w:val="18"/>
          <w:szCs w:val="18"/>
          <w:color w:val="auto"/>
        </w:rPr>
        <w:t>‑</w:t>
      </w:r>
      <w:r>
        <w:rPr>
          <w:rFonts w:ascii="Arial" w:cs="Arial" w:eastAsia="Arial" w:hAnsi="Arial"/>
          <w:sz w:val="18"/>
          <w:szCs w:val="18"/>
          <w:color w:val="auto"/>
        </w:rPr>
        <w:t>020572,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ind w:firstLine="382"/>
        <w:spacing w:after="0" w:line="268" w:lineRule="auto"/>
        <w:rPr>
          <w:sz w:val="20"/>
          <w:szCs w:val="20"/>
          <w:color w:val="auto"/>
        </w:rPr>
      </w:pPr>
      <w:r>
        <w:rPr>
          <w:rFonts w:ascii="Arial" w:cs="Arial" w:eastAsia="Arial" w:hAnsi="Arial"/>
          <w:sz w:val="17"/>
          <w:szCs w:val="17"/>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4"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4" w:lineRule="exact"/>
        <w:rPr>
          <w:sz w:val="20"/>
          <w:szCs w:val="20"/>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undergo changes in priorities;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become financially distressed; or</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52" w:lineRule="exact"/>
        <w:rPr>
          <w:sz w:val="20"/>
          <w:szCs w:val="20"/>
          <w:color w:val="auto"/>
        </w:rPr>
      </w:pPr>
    </w:p>
    <w:p>
      <w:pPr>
        <w:ind w:right="40" w:firstLine="382"/>
        <w:spacing w:after="0" w:line="272"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177" w:lineRule="exact"/>
        <w:rPr>
          <w:sz w:val="20"/>
          <w:szCs w:val="20"/>
          <w:color w:val="auto"/>
        </w:rPr>
      </w:pPr>
    </w:p>
    <w:p>
      <w:pPr>
        <w:ind w:right="60" w:firstLine="382"/>
        <w:spacing w:after="0" w:line="272"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if the quality or accuracy of the nonclinical or clinical data they obtain are compromised due to the failure to adhere to our protocols, regulatory requirements or for other reasons, or if they are negatively impacted by the COVID-19 pandemic,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28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57" w:lineRule="exact"/>
        <w:rPr>
          <w:sz w:val="20"/>
          <w:szCs w:val="20"/>
          <w:color w:val="auto"/>
        </w:rPr>
      </w:pPr>
    </w:p>
    <w:p>
      <w:pPr>
        <w:ind w:right="40" w:firstLine="382"/>
        <w:spacing w:after="0" w:line="293" w:lineRule="auto"/>
        <w:rPr>
          <w:sz w:val="20"/>
          <w:szCs w:val="20"/>
          <w:color w:val="auto"/>
        </w:rPr>
      </w:pPr>
      <w:r>
        <w:rPr>
          <w:rFonts w:ascii="Arial" w:cs="Arial" w:eastAsia="Arial" w:hAnsi="Arial"/>
          <w:sz w:val="16"/>
          <w:szCs w:val="16"/>
          <w:color w:val="auto"/>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firstLine="382"/>
        <w:spacing w:after="0" w:line="291" w:lineRule="auto"/>
        <w:rPr>
          <w:sz w:val="20"/>
          <w:szCs w:val="20"/>
          <w:color w:val="auto"/>
        </w:rPr>
      </w:pPr>
      <w:r>
        <w:rPr>
          <w:rFonts w:ascii="Arial" w:cs="Arial" w:eastAsia="Arial" w:hAnsi="Arial"/>
          <w:sz w:val="16"/>
          <w:szCs w:val="16"/>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166" w:lineRule="exact"/>
        <w:rPr>
          <w:sz w:val="20"/>
          <w:szCs w:val="20"/>
          <w:color w:val="auto"/>
        </w:rPr>
      </w:pPr>
    </w:p>
    <w:p>
      <w:pPr>
        <w:ind w:right="560" w:firstLine="382"/>
        <w:spacing w:after="0" w:line="286" w:lineRule="auto"/>
        <w:rPr>
          <w:sz w:val="20"/>
          <w:szCs w:val="20"/>
          <w:color w:val="auto"/>
        </w:rPr>
      </w:pPr>
      <w:r>
        <w:rPr>
          <w:rFonts w:ascii="Arial" w:cs="Arial" w:eastAsia="Arial" w:hAnsi="Arial"/>
          <w:sz w:val="17"/>
          <w:szCs w:val="17"/>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165"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187" w:lineRule="exact"/>
        <w:rPr>
          <w:sz w:val="20"/>
          <w:szCs w:val="20"/>
          <w:color w:val="auto"/>
        </w:rPr>
      </w:pPr>
    </w:p>
    <w:p>
      <w:pPr>
        <w:ind w:right="160" w:firstLine="382"/>
        <w:spacing w:after="0" w:line="342" w:lineRule="auto"/>
        <w:rPr>
          <w:sz w:val="20"/>
          <w:szCs w:val="20"/>
          <w:color w:val="auto"/>
        </w:rPr>
      </w:pPr>
      <w:r>
        <w:rPr>
          <w:rFonts w:ascii="Arial" w:cs="Arial" w:eastAsia="Arial" w:hAnsi="Arial"/>
          <w:sz w:val="16"/>
          <w:szCs w:val="16"/>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24" w:lineRule="exact"/>
        <w:rPr>
          <w:sz w:val="20"/>
          <w:szCs w:val="20"/>
          <w:color w:val="auto"/>
        </w:rPr>
      </w:pPr>
    </w:p>
    <w:p>
      <w:pPr>
        <w:ind w:right="220" w:firstLine="382"/>
        <w:spacing w:after="0" w:line="259"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79" w:lineRule="exact"/>
        <w:rPr>
          <w:sz w:val="20"/>
          <w:szCs w:val="20"/>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jc w:val="both"/>
        <w:ind w:right="320" w:firstLine="382"/>
        <w:spacing w:after="0" w:line="301" w:lineRule="auto"/>
        <w:rPr>
          <w:sz w:val="20"/>
          <w:szCs w:val="20"/>
          <w:color w:val="auto"/>
        </w:rPr>
      </w:pPr>
      <w:r>
        <w:rPr>
          <w:rFonts w:ascii="Arial" w:cs="Arial" w:eastAsia="Arial" w:hAnsi="Arial"/>
          <w:sz w:val="16"/>
          <w:szCs w:val="16"/>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157" w:lineRule="exact"/>
        <w:rPr>
          <w:sz w:val="20"/>
          <w:szCs w:val="20"/>
          <w:color w:val="auto"/>
        </w:rPr>
      </w:pPr>
    </w:p>
    <w:p>
      <w:pPr>
        <w:ind w:right="100" w:firstLine="382"/>
        <w:spacing w:after="0" w:line="342" w:lineRule="auto"/>
        <w:rPr>
          <w:sz w:val="20"/>
          <w:szCs w:val="20"/>
          <w:color w:val="auto"/>
        </w:rPr>
      </w:pPr>
      <w:r>
        <w:rPr>
          <w:rFonts w:ascii="Arial" w:cs="Arial" w:eastAsia="Arial" w:hAnsi="Arial"/>
          <w:sz w:val="16"/>
          <w:szCs w:val="16"/>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124"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188" w:lineRule="exact"/>
        <w:rPr>
          <w:sz w:val="20"/>
          <w:szCs w:val="20"/>
          <w:color w:val="auto"/>
        </w:rPr>
      </w:pPr>
    </w:p>
    <w:p>
      <w:pPr>
        <w:ind w:right="340" w:firstLine="382"/>
        <w:spacing w:after="0" w:line="263" w:lineRule="auto"/>
        <w:rPr>
          <w:sz w:val="20"/>
          <w:szCs w:val="20"/>
          <w:color w:val="auto"/>
        </w:rPr>
      </w:pPr>
      <w:r>
        <w:rPr>
          <w:rFonts w:ascii="Arial" w:cs="Arial" w:eastAsia="Arial" w:hAnsi="Arial"/>
          <w:sz w:val="18"/>
          <w:szCs w:val="18"/>
          <w:color w:val="auto"/>
        </w:rPr>
        <w:t>Some of our third-party manufacturers which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our clinical development.</w:t>
      </w:r>
    </w:p>
    <w:p>
      <w:pPr>
        <w:spacing w:after="0" w:line="184"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jc w:val="both"/>
        <w:ind w:right="200"/>
        <w:spacing w:after="0" w:line="311" w:lineRule="auto"/>
        <w:rPr>
          <w:sz w:val="20"/>
          <w:szCs w:val="20"/>
          <w:color w:val="auto"/>
        </w:rPr>
      </w:pPr>
      <w:r>
        <w:rPr>
          <w:rFonts w:ascii="Arial" w:cs="Arial" w:eastAsia="Arial" w:hAnsi="Arial"/>
          <w:sz w:val="16"/>
          <w:szCs w:val="16"/>
          <w:b w:val="1"/>
          <w:bCs w:val="1"/>
          <w:i w:val="1"/>
          <w:iCs w:val="1"/>
          <w:color w:val="auto"/>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41"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69" w:lineRule="exact"/>
        <w:rPr>
          <w:sz w:val="20"/>
          <w:szCs w:val="20"/>
          <w:color w:val="auto"/>
        </w:rPr>
      </w:pPr>
    </w:p>
    <w:p>
      <w:pPr>
        <w:ind w:left="760" w:right="80" w:hanging="374"/>
        <w:spacing w:after="0" w:line="254"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86" w:lineRule="exact"/>
        <w:rPr>
          <w:rFonts w:ascii="Arial" w:cs="Arial" w:eastAsia="Arial" w:hAnsi="Arial"/>
          <w:sz w:val="18"/>
          <w:szCs w:val="18"/>
          <w:color w:val="auto"/>
        </w:rPr>
      </w:pPr>
    </w:p>
    <w:p>
      <w:pPr>
        <w:ind w:left="760" w:right="40" w:hanging="374"/>
        <w:spacing w:after="0" w:line="257"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79" w:lineRule="exact"/>
        <w:rPr>
          <w:rFonts w:ascii="Arial" w:cs="Arial" w:eastAsia="Arial" w:hAnsi="Arial"/>
          <w:sz w:val="18"/>
          <w:szCs w:val="18"/>
          <w:color w:val="auto"/>
        </w:rPr>
      </w:pPr>
    </w:p>
    <w:p>
      <w:pPr>
        <w:ind w:left="760" w:right="40" w:hanging="374"/>
        <w:spacing w:after="0" w:line="293"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56" w:lineRule="exact"/>
        <w:rPr>
          <w:rFonts w:ascii="Arial" w:cs="Arial" w:eastAsia="Arial" w:hAnsi="Arial"/>
          <w:sz w:val="16"/>
          <w:szCs w:val="16"/>
          <w:color w:val="auto"/>
        </w:rPr>
      </w:pPr>
    </w:p>
    <w:p>
      <w:pPr>
        <w:ind w:left="760" w:hanging="374"/>
        <w:spacing w:after="0" w:line="272" w:lineRule="auto"/>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such obligations will include payments and other transfers of value provided in the previous year to certain other healthcare professionals, including physician assistants, nurse practitioners, clinical nurse specialists, certified nurse anesthetists, anesthesiology assistants and certified nurse-midwives;</w:t>
      </w:r>
    </w:p>
    <w:p>
      <w:pPr>
        <w:spacing w:after="0" w:line="69" w:lineRule="exact"/>
        <w:rPr>
          <w:rFonts w:ascii="Arial" w:cs="Arial" w:eastAsia="Arial" w:hAnsi="Arial"/>
          <w:sz w:val="17"/>
          <w:szCs w:val="17"/>
          <w:color w:val="auto"/>
        </w:rPr>
      </w:pPr>
    </w:p>
    <w:p>
      <w:pPr>
        <w:ind w:left="760" w:right="480" w:hanging="374"/>
        <w:spacing w:after="0" w:line="277"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760" w:right="40" w:hanging="374"/>
        <w:spacing w:after="0" w:line="254"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ind w:firstLine="382"/>
        <w:spacing w:after="0" w:line="272"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177" w:lineRule="exact"/>
        <w:rPr>
          <w:sz w:val="20"/>
          <w:szCs w:val="20"/>
          <w:color w:val="auto"/>
        </w:rPr>
      </w:pPr>
    </w:p>
    <w:p>
      <w:pPr>
        <w:ind w:right="60" w:firstLine="382"/>
        <w:spacing w:after="0" w:line="253"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57" w:lineRule="exact"/>
        <w:rPr>
          <w:sz w:val="20"/>
          <w:szCs w:val="20"/>
          <w:color w:val="auto"/>
        </w:rPr>
      </w:pPr>
    </w:p>
    <w:p>
      <w:pPr>
        <w:ind w:right="60" w:firstLine="382"/>
        <w:spacing w:after="0" w:line="217" w:lineRule="exact"/>
        <w:rPr>
          <w:sz w:val="20"/>
          <w:szCs w:val="20"/>
          <w:color w:val="auto"/>
        </w:rPr>
      </w:pPr>
      <w:r>
        <w:rPr>
          <w:rFonts w:ascii="Arial" w:cs="Arial" w:eastAsia="Arial" w:hAnsi="Arial"/>
          <w:sz w:val="16"/>
          <w:szCs w:val="16"/>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CHB and NASH programs, we do not own or in-license any issued patents with claims that specifically recite our ALG</w:t>
      </w:r>
      <w:r>
        <w:rPr>
          <w:rFonts w:ascii="MS PGothic" w:cs="MS PGothic" w:eastAsia="MS PGothic" w:hAnsi="MS PGothic"/>
          <w:sz w:val="16"/>
          <w:szCs w:val="16"/>
          <w:color w:val="auto"/>
        </w:rPr>
        <w:t>‑</w:t>
      </w:r>
      <w:r>
        <w:rPr>
          <w:rFonts w:ascii="Arial" w:cs="Arial" w:eastAsia="Arial" w:hAnsi="Arial"/>
          <w:sz w:val="16"/>
          <w:szCs w:val="16"/>
          <w:color w:val="auto"/>
        </w:rPr>
        <w:t>020572 or ALG</w:t>
      </w:r>
      <w:r>
        <w:rPr>
          <w:rFonts w:ascii="MS PGothic" w:cs="MS PGothic" w:eastAsia="MS PGothic" w:hAnsi="MS PGothic"/>
          <w:sz w:val="16"/>
          <w:szCs w:val="16"/>
          <w:color w:val="auto"/>
        </w:rPr>
        <w:t>‑</w:t>
      </w:r>
      <w:r>
        <w:rPr>
          <w:rFonts w:ascii="Arial" w:cs="Arial" w:eastAsia="Arial" w:hAnsi="Arial"/>
          <w:sz w:val="16"/>
          <w:szCs w:val="16"/>
          <w:color w:val="auto"/>
        </w:rPr>
        <w:t>125755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 For example, there are certain patents and patent applications (and there may be other patents and patent applications) that are owned by third parties, including our competitors, that have (or may have) an earlier filing date, and such third parties may challenge our allowed patent relating to our STOPS candidate, ALG-010133. If such challenge is successful, we may be required to obtain one or more licenses from such third parties or be prohibited from commercializing ALG-010133. We may not be able to obtain these licenses on acceptable or commercially reasonable terms, if at all, or these licenses may be non-exclusive, which could result in our competitors using the same intellectual property.</w:t>
      </w:r>
    </w:p>
    <w:p>
      <w:pPr>
        <w:spacing w:after="0" w:line="212" w:lineRule="exact"/>
        <w:rPr>
          <w:sz w:val="20"/>
          <w:szCs w:val="20"/>
          <w:color w:val="auto"/>
        </w:rPr>
      </w:pPr>
    </w:p>
    <w:p>
      <w:pPr>
        <w:ind w:right="220" w:firstLine="382"/>
        <w:spacing w:after="0" w:line="255" w:lineRule="auto"/>
        <w:rPr>
          <w:sz w:val="20"/>
          <w:szCs w:val="20"/>
          <w:color w:val="auto"/>
        </w:rPr>
      </w:pPr>
      <w:r>
        <w:rPr>
          <w:rFonts w:ascii="Arial" w:cs="Arial" w:eastAsia="Arial" w:hAnsi="Arial"/>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right="140"/>
        <w:spacing w:after="0" w:line="277" w:lineRule="auto"/>
        <w:rPr>
          <w:sz w:val="20"/>
          <w:szCs w:val="20"/>
          <w:color w:val="auto"/>
        </w:rPr>
      </w:pPr>
      <w:r>
        <w:rPr>
          <w:rFonts w:ascii="Arial" w:cs="Arial" w:eastAsia="Arial" w:hAnsi="Arial"/>
          <w:sz w:val="18"/>
          <w:szCs w:val="18"/>
          <w:color w:val="auto"/>
        </w:rPr>
        <w:t>the right to control the preparation, filing, prosecution and maintenance of patent applications, or to maintain the rights to patents licensed to or from third parties.</w:t>
      </w:r>
    </w:p>
    <w:p>
      <w:pPr>
        <w:spacing w:after="0" w:line="170" w:lineRule="exact"/>
        <w:rPr>
          <w:sz w:val="20"/>
          <w:szCs w:val="20"/>
          <w:color w:val="auto"/>
        </w:rPr>
      </w:pPr>
    </w:p>
    <w:p>
      <w:pPr>
        <w:ind w:right="120" w:firstLine="382"/>
        <w:spacing w:after="0" w:line="293" w:lineRule="auto"/>
        <w:rPr>
          <w:sz w:val="20"/>
          <w:szCs w:val="20"/>
          <w:color w:val="auto"/>
        </w:rPr>
      </w:pPr>
      <w:r>
        <w:rPr>
          <w:rFonts w:ascii="Arial" w:cs="Arial" w:eastAsia="Arial" w:hAnsi="Arial"/>
          <w:sz w:val="16"/>
          <w:szCs w:val="16"/>
          <w:color w:val="auto"/>
        </w:rPr>
        <w:t>We currently are the assignee of a number of U.S. provisional patent applications. U.S. provisional patent applications are not eligible to become issued patents until, among other things, we file a non-provisional patent application within 12 months of filing of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164" w:lineRule="exact"/>
        <w:rPr>
          <w:sz w:val="20"/>
          <w:szCs w:val="20"/>
          <w:color w:val="auto"/>
        </w:rPr>
      </w:pPr>
    </w:p>
    <w:p>
      <w:pPr>
        <w:ind w:right="60" w:firstLine="382"/>
        <w:spacing w:after="0" w:line="272" w:lineRule="auto"/>
        <w:rPr>
          <w:sz w:val="20"/>
          <w:szCs w:val="20"/>
          <w:color w:val="auto"/>
        </w:rPr>
      </w:pPr>
      <w:r>
        <w:rPr>
          <w:rFonts w:ascii="Arial" w:cs="Arial" w:eastAsia="Arial" w:hAnsi="Arial"/>
          <w:sz w:val="17"/>
          <w:szCs w:val="17"/>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77"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185" w:lineRule="exact"/>
        <w:rPr>
          <w:sz w:val="20"/>
          <w:szCs w:val="20"/>
          <w:color w:val="auto"/>
        </w:rPr>
      </w:pPr>
    </w:p>
    <w:p>
      <w:pPr>
        <w:ind w:right="40" w:firstLine="382"/>
        <w:spacing w:after="0" w:line="268"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186" w:lineRule="exact"/>
        <w:rPr>
          <w:sz w:val="20"/>
          <w:szCs w:val="20"/>
          <w:color w:val="auto"/>
        </w:rPr>
      </w:pPr>
    </w:p>
    <w:p>
      <w:pPr>
        <w:ind w:right="40" w:firstLine="382"/>
        <w:spacing w:after="0" w:line="271"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ind w:right="60"/>
        <w:spacing w:after="0" w:line="259" w:lineRule="auto"/>
        <w:rPr>
          <w:sz w:val="20"/>
          <w:szCs w:val="20"/>
          <w:color w:val="auto"/>
        </w:rPr>
      </w:pPr>
      <w:r>
        <w:rPr>
          <w:rFonts w:ascii="Arial" w:cs="Arial" w:eastAsia="Arial" w:hAnsi="Arial"/>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9" w:lineRule="exact"/>
        <w:rPr>
          <w:sz w:val="20"/>
          <w:szCs w:val="20"/>
          <w:color w:val="auto"/>
        </w:rPr>
      </w:pPr>
    </w:p>
    <w:p>
      <w:pPr>
        <w:ind w:right="40" w:firstLine="382"/>
        <w:spacing w:after="0" w:line="275" w:lineRule="auto"/>
        <w:rPr>
          <w:sz w:val="20"/>
          <w:szCs w:val="20"/>
          <w:color w:val="auto"/>
        </w:rPr>
      </w:pPr>
      <w:r>
        <w:rPr>
          <w:rFonts w:ascii="Arial" w:cs="Arial" w:eastAsia="Arial" w:hAnsi="Arial"/>
          <w:sz w:val="17"/>
          <w:szCs w:val="17"/>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p>
    <w:p>
      <w:pPr>
        <w:spacing w:after="0" w:line="176"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Centre for Drug Design and Discovery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80"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182" w:lineRule="exact"/>
        <w:rPr>
          <w:sz w:val="20"/>
          <w:szCs w:val="20"/>
          <w:color w:val="auto"/>
        </w:rPr>
      </w:pPr>
    </w:p>
    <w:p>
      <w:pPr>
        <w:ind w:right="40" w:firstLine="382"/>
        <w:spacing w:after="0" w:line="289" w:lineRule="auto"/>
        <w:rPr>
          <w:sz w:val="20"/>
          <w:szCs w:val="20"/>
          <w:color w:val="auto"/>
        </w:rPr>
      </w:pPr>
      <w:r>
        <w:rPr>
          <w:rFonts w:ascii="Arial" w:cs="Arial" w:eastAsia="Arial" w:hAnsi="Arial"/>
          <w:sz w:val="16"/>
          <w:szCs w:val="16"/>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ind w:right="60" w:firstLine="382"/>
        <w:spacing w:after="0" w:line="270" w:lineRule="auto"/>
        <w:rPr>
          <w:sz w:val="20"/>
          <w:szCs w:val="20"/>
          <w:color w:val="auto"/>
        </w:rPr>
      </w:pPr>
      <w:r>
        <w:rPr>
          <w:rFonts w:ascii="Arial" w:cs="Arial" w:eastAsia="Arial" w:hAnsi="Arial"/>
          <w:sz w:val="17"/>
          <w:szCs w:val="17"/>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1" w:lineRule="exact"/>
        <w:rPr>
          <w:sz w:val="20"/>
          <w:szCs w:val="20"/>
          <w:color w:val="auto"/>
        </w:rPr>
      </w:pPr>
    </w:p>
    <w:p>
      <w:pPr>
        <w:jc w:val="both"/>
        <w:ind w:right="460" w:firstLine="382"/>
        <w:spacing w:after="0" w:line="263"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76" w:lineRule="exact"/>
        <w:rPr>
          <w:sz w:val="20"/>
          <w:szCs w:val="20"/>
          <w:color w:val="auto"/>
        </w:rPr>
      </w:pPr>
    </w:p>
    <w:p>
      <w:pPr>
        <w:ind w:left="760" w:hanging="374"/>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760" w:right="120" w:hanging="374"/>
        <w:spacing w:after="0" w:line="27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intellectual property of the other party that are not subject to the licensing agreement;</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44" w:lineRule="exact"/>
        <w:rPr>
          <w:rFonts w:ascii="Arial" w:cs="Arial" w:eastAsia="Arial" w:hAnsi="Arial"/>
          <w:sz w:val="18"/>
          <w:szCs w:val="18"/>
          <w:color w:val="auto"/>
        </w:rPr>
      </w:pPr>
    </w:p>
    <w:p>
      <w:pPr>
        <w:ind w:left="760" w:right="600" w:hanging="374"/>
        <w:spacing w:after="0" w:line="27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252"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192"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187" w:lineRule="exact"/>
        <w:rPr>
          <w:sz w:val="20"/>
          <w:szCs w:val="20"/>
          <w:color w:val="auto"/>
        </w:rPr>
      </w:pPr>
    </w:p>
    <w:p>
      <w:pPr>
        <w:ind w:right="160" w:firstLine="382"/>
        <w:spacing w:after="0" w:line="279" w:lineRule="auto"/>
        <w:rPr>
          <w:sz w:val="20"/>
          <w:szCs w:val="20"/>
          <w:color w:val="auto"/>
        </w:rPr>
      </w:pPr>
      <w:r>
        <w:rPr>
          <w:rFonts w:ascii="Arial" w:cs="Arial" w:eastAsia="Arial" w:hAnsi="Arial"/>
          <w:sz w:val="17"/>
          <w:szCs w:val="17"/>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2020, previously filed with the SEC.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117"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right="20"/>
        <w:spacing w:after="0" w:line="270" w:lineRule="auto"/>
        <w:rPr>
          <w:sz w:val="20"/>
          <w:szCs w:val="20"/>
          <w:color w:val="auto"/>
        </w:rPr>
      </w:pPr>
      <w:r>
        <w:rPr>
          <w:rFonts w:ascii="Arial" w:cs="Arial" w:eastAsia="Arial" w:hAnsi="Arial"/>
          <w:sz w:val="17"/>
          <w:szCs w:val="17"/>
          <w:color w:val="auto"/>
        </w:rPr>
        <w:t>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Beginning in June 2022, the license to such patents will become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2020, previously filed with the SEC. Any of the foregoing could harm our competitive position, business, financial condition, results of operations and prospects.</w:t>
      </w:r>
    </w:p>
    <w:p>
      <w:pPr>
        <w:spacing w:after="0" w:line="28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38" w:lineRule="exact"/>
        <w:rPr>
          <w:sz w:val="20"/>
          <w:szCs w:val="20"/>
          <w:color w:val="auto"/>
        </w:rPr>
      </w:pPr>
    </w:p>
    <w:p>
      <w:pPr>
        <w:ind w:right="80" w:firstLine="382"/>
        <w:spacing w:after="0" w:line="286"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171" w:lineRule="exact"/>
        <w:rPr>
          <w:sz w:val="20"/>
          <w:szCs w:val="20"/>
          <w:color w:val="auto"/>
        </w:rPr>
      </w:pPr>
    </w:p>
    <w:p>
      <w:pPr>
        <w:ind w:right="20" w:firstLine="382"/>
        <w:spacing w:after="0" w:line="218" w:lineRule="exact"/>
        <w:rPr>
          <w:sz w:val="20"/>
          <w:szCs w:val="20"/>
          <w:color w:val="auto"/>
        </w:rPr>
      </w:pPr>
      <w:r>
        <w:rPr>
          <w:rFonts w:ascii="Arial" w:cs="Arial" w:eastAsia="Arial" w:hAnsi="Arial"/>
          <w:sz w:val="17"/>
          <w:szCs w:val="17"/>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7"/>
          <w:szCs w:val="17"/>
          <w:color w:val="auto"/>
        </w:rPr>
        <w:t>‑</w:t>
      </w:r>
      <w:r>
        <w:rPr>
          <w:rFonts w:ascii="Arial" w:cs="Arial" w:eastAsia="Arial" w:hAnsi="Arial"/>
          <w:sz w:val="17"/>
          <w:szCs w:val="17"/>
          <w:color w:val="auto"/>
        </w:rPr>
        <w:t>055009, ALG</w:t>
      </w:r>
      <w:r>
        <w:rPr>
          <w:rFonts w:ascii="MS PGothic" w:cs="MS PGothic" w:eastAsia="MS PGothic" w:hAnsi="MS PGothic"/>
          <w:sz w:val="17"/>
          <w:szCs w:val="17"/>
          <w:color w:val="auto"/>
        </w:rPr>
        <w:t>‑</w:t>
      </w:r>
      <w:r>
        <w:rPr>
          <w:rFonts w:ascii="Arial" w:cs="Arial" w:eastAsia="Arial" w:hAnsi="Arial"/>
          <w:sz w:val="17"/>
          <w:szCs w:val="17"/>
          <w:color w:val="auto"/>
        </w:rPr>
        <w:t>125755 and ALG</w:t>
      </w:r>
      <w:r>
        <w:rPr>
          <w:rFonts w:ascii="MS PGothic" w:cs="MS PGothic" w:eastAsia="MS PGothic" w:hAnsi="MS PGothic"/>
          <w:sz w:val="17"/>
          <w:szCs w:val="17"/>
          <w:color w:val="auto"/>
        </w:rPr>
        <w:t>‑</w:t>
      </w:r>
      <w:r>
        <w:rPr>
          <w:rFonts w:ascii="Arial" w:cs="Arial" w:eastAsia="Arial" w:hAnsi="Arial"/>
          <w:sz w:val="17"/>
          <w:szCs w:val="17"/>
          <w:color w:val="auto"/>
        </w:rPr>
        <w:t>010133.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206"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establish our competitive position on our drug candidates for an adequate amount of time.</w:t>
      </w:r>
    </w:p>
    <w:p>
      <w:pPr>
        <w:spacing w:after="0" w:line="117"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3" w:name="page74"/>
    <w:bookmarkEnd w:id="73"/>
    <w:p>
      <w:pPr>
        <w:ind w:right="40" w:firstLine="382"/>
        <w:spacing w:after="0" w:line="268" w:lineRule="auto"/>
        <w:rPr>
          <w:sz w:val="20"/>
          <w:szCs w:val="20"/>
          <w:color w:val="auto"/>
        </w:rPr>
      </w:pPr>
      <w:r>
        <w:rPr>
          <w:rFonts w:ascii="Arial" w:cs="Arial" w:eastAsia="Arial" w:hAnsi="Arial"/>
          <w:sz w:val="17"/>
          <w:szCs w:val="17"/>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186" w:lineRule="exact"/>
        <w:rPr>
          <w:sz w:val="20"/>
          <w:szCs w:val="20"/>
          <w:color w:val="auto"/>
        </w:rPr>
      </w:pPr>
    </w:p>
    <w:p>
      <w:pPr>
        <w:jc w:val="both"/>
        <w:ind w:right="120" w:firstLine="382"/>
        <w:spacing w:after="0" w:line="293" w:lineRule="auto"/>
        <w:rPr>
          <w:sz w:val="20"/>
          <w:szCs w:val="20"/>
          <w:color w:val="auto"/>
        </w:rPr>
      </w:pPr>
      <w:r>
        <w:rPr>
          <w:rFonts w:ascii="Arial" w:cs="Arial" w:eastAsia="Arial" w:hAnsi="Arial"/>
          <w:sz w:val="16"/>
          <w:szCs w:val="16"/>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178"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95"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drug candidates.</w:t>
      </w:r>
    </w:p>
    <w:p>
      <w:pPr>
        <w:spacing w:after="0" w:line="117"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164"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 xml:space="preserve">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USPTO has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288"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1"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68" w:lineRule="exact"/>
        <w:rPr>
          <w:sz w:val="20"/>
          <w:szCs w:val="20"/>
          <w:color w:val="auto"/>
        </w:rPr>
      </w:pPr>
    </w:p>
    <w:p>
      <w:pPr>
        <w:ind w:right="40" w:firstLine="382"/>
        <w:spacing w:after="0" w:line="289" w:lineRule="auto"/>
        <w:rPr>
          <w:sz w:val="20"/>
          <w:szCs w:val="20"/>
          <w:color w:val="auto"/>
        </w:rPr>
      </w:pPr>
      <w:r>
        <w:rPr>
          <w:rFonts w:ascii="Arial" w:cs="Arial" w:eastAsia="Arial" w:hAnsi="Arial"/>
          <w:sz w:val="16"/>
          <w:szCs w:val="16"/>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ind w:right="100"/>
        <w:spacing w:after="0" w:line="257" w:lineRule="auto"/>
        <w:rPr>
          <w:sz w:val="20"/>
          <w:szCs w:val="20"/>
          <w:color w:val="auto"/>
        </w:rPr>
      </w:pPr>
      <w:r>
        <w:rPr>
          <w:rFonts w:ascii="Arial" w:cs="Arial" w:eastAsia="Arial" w:hAnsi="Arial"/>
          <w:sz w:val="18"/>
          <w:szCs w:val="18"/>
          <w:color w:val="auto"/>
        </w:rPr>
        <w:t>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188"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87" w:lineRule="exact"/>
        <w:rPr>
          <w:sz w:val="20"/>
          <w:szCs w:val="20"/>
          <w:color w:val="auto"/>
        </w:rPr>
      </w:pPr>
    </w:p>
    <w:p>
      <w:pPr>
        <w:ind w:right="280" w:firstLine="382"/>
        <w:spacing w:after="0" w:line="27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0" w:lineRule="exact"/>
        <w:rPr>
          <w:sz w:val="20"/>
          <w:szCs w:val="20"/>
          <w:color w:val="auto"/>
        </w:rPr>
      </w:pPr>
    </w:p>
    <w:p>
      <w:pPr>
        <w:ind w:right="20" w:firstLine="382"/>
        <w:spacing w:after="0" w:line="289" w:lineRule="auto"/>
        <w:rPr>
          <w:sz w:val="20"/>
          <w:szCs w:val="20"/>
          <w:color w:val="auto"/>
        </w:rPr>
      </w:pPr>
      <w:r>
        <w:rPr>
          <w:rFonts w:ascii="Arial" w:cs="Arial" w:eastAsia="Arial" w:hAnsi="Arial"/>
          <w:sz w:val="16"/>
          <w:szCs w:val="16"/>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2" w:lineRule="exact"/>
        <w:rPr>
          <w:sz w:val="20"/>
          <w:szCs w:val="20"/>
          <w:color w:val="auto"/>
        </w:rPr>
      </w:pPr>
    </w:p>
    <w:p>
      <w:pPr>
        <w:ind w:right="140" w:firstLine="382"/>
        <w:spacing w:after="0" w:line="291" w:lineRule="auto"/>
        <w:rPr>
          <w:sz w:val="20"/>
          <w:szCs w:val="20"/>
          <w:color w:val="auto"/>
        </w:rPr>
      </w:pPr>
      <w:r>
        <w:rPr>
          <w:rFonts w:ascii="Arial" w:cs="Arial" w:eastAsia="Arial" w:hAnsi="Arial"/>
          <w:sz w:val="16"/>
          <w:szCs w:val="16"/>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166" w:lineRule="exact"/>
        <w:rPr>
          <w:sz w:val="20"/>
          <w:szCs w:val="20"/>
          <w:color w:val="auto"/>
        </w:rPr>
      </w:pPr>
    </w:p>
    <w:p>
      <w:pPr>
        <w:ind w:firstLine="382"/>
        <w:spacing w:after="0" w:line="285"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62"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192" w:lineRule="exact"/>
        <w:rPr>
          <w:sz w:val="20"/>
          <w:szCs w:val="20"/>
          <w:color w:val="auto"/>
        </w:rPr>
      </w:pPr>
    </w:p>
    <w:p>
      <w:pPr>
        <w:jc w:val="both"/>
        <w:ind w:right="180" w:firstLine="382"/>
        <w:spacing w:after="0" w:line="259"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20" w:firstLine="382"/>
        <w:spacing w:after="0" w:line="287"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300" w:firstLine="382"/>
        <w:spacing w:after="0" w:line="277" w:lineRule="auto"/>
        <w:rPr>
          <w:sz w:val="20"/>
          <w:szCs w:val="20"/>
          <w:color w:val="auto"/>
        </w:rPr>
      </w:pPr>
      <w:r>
        <w:rPr>
          <w:rFonts w:ascii="Arial" w:cs="Arial" w:eastAsia="Arial" w:hAnsi="Arial"/>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760" w:right="620" w:hanging="374"/>
        <w:spacing w:after="0" w:line="277"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62" w:lineRule="exact"/>
        <w:rPr>
          <w:rFonts w:ascii="Arial" w:cs="Arial" w:eastAsia="Arial" w:hAnsi="Arial"/>
          <w:sz w:val="18"/>
          <w:szCs w:val="18"/>
          <w:color w:val="auto"/>
        </w:rPr>
      </w:pPr>
    </w:p>
    <w:p>
      <w:pPr>
        <w:ind w:left="760" w:right="580" w:hanging="374"/>
        <w:spacing w:after="0" w:line="277"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760" w:right="420" w:hanging="374"/>
        <w:spacing w:after="0" w:line="277"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760" w:right="500" w:hanging="374"/>
        <w:spacing w:after="0" w:line="277"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760" w:right="420" w:hanging="374"/>
        <w:spacing w:after="0" w:line="277"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55" w:lineRule="exact"/>
        <w:rPr>
          <w:rFonts w:ascii="Arial" w:cs="Arial" w:eastAsia="Arial" w:hAnsi="Arial"/>
          <w:sz w:val="17"/>
          <w:szCs w:val="17"/>
          <w:color w:val="auto"/>
        </w:rPr>
      </w:pPr>
    </w:p>
    <w:p>
      <w:pPr>
        <w:ind w:left="760" w:right="80" w:hanging="374"/>
        <w:spacing w:after="0" w:line="277"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intellectual property rights of others may harm our business;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ind w:left="760" w:right="520" w:hanging="374"/>
        <w:spacing w:after="0" w:line="277"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directed to such intellectual property.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Should any of these events occur, they could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100" w:firstLine="382"/>
        <w:spacing w:after="0" w:line="311" w:lineRule="auto"/>
        <w:rPr>
          <w:sz w:val="20"/>
          <w:szCs w:val="20"/>
          <w:color w:val="auto"/>
        </w:rPr>
      </w:pPr>
      <w:r>
        <w:rPr>
          <w:rFonts w:ascii="Arial" w:cs="Arial" w:eastAsia="Arial" w:hAnsi="Arial"/>
          <w:sz w:val="16"/>
          <w:szCs w:val="16"/>
          <w:color w:val="auto"/>
        </w:rPr>
        <w:t>We are highly dependent on our management, scientific and medical personnel, including our Chief Executive Officer, Dr. Blatt, and our President, Dr. Beigelman.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149"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3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62" w:lineRule="exact"/>
        <w:rPr>
          <w:sz w:val="20"/>
          <w:szCs w:val="20"/>
          <w:color w:val="auto"/>
        </w:rPr>
      </w:pPr>
    </w:p>
    <w:p>
      <w:pPr>
        <w:ind w:right="60" w:firstLine="382"/>
        <w:spacing w:after="0" w:line="268" w:lineRule="auto"/>
        <w:rPr>
          <w:sz w:val="20"/>
          <w:szCs w:val="20"/>
          <w:color w:val="auto"/>
        </w:rPr>
      </w:pPr>
      <w:r>
        <w:rPr>
          <w:rFonts w:ascii="Arial" w:cs="Arial" w:eastAsia="Arial" w:hAnsi="Arial"/>
          <w:sz w:val="17"/>
          <w:szCs w:val="17"/>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ind w:right="200" w:firstLine="382"/>
        <w:spacing w:after="0" w:line="259" w:lineRule="auto"/>
        <w:rPr>
          <w:sz w:val="20"/>
          <w:szCs w:val="20"/>
          <w:color w:val="auto"/>
        </w:rPr>
      </w:pPr>
      <w:r>
        <w:rPr>
          <w:rFonts w:ascii="Arial" w:cs="Arial" w:eastAsia="Arial" w:hAnsi="Arial"/>
          <w:sz w:val="18"/>
          <w:szCs w:val="18"/>
          <w:color w:val="auto"/>
        </w:rPr>
        <w:t>As of September 30, 2021, we had 86 full-time employees, including 71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9" w:lineRule="exact"/>
        <w:rPr>
          <w:sz w:val="20"/>
          <w:szCs w:val="20"/>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44" w:lineRule="exact"/>
        <w:rPr>
          <w:rFonts w:ascii="Arial" w:cs="Arial" w:eastAsia="Arial" w:hAnsi="Arial"/>
          <w:sz w:val="18"/>
          <w:szCs w:val="18"/>
          <w:color w:val="auto"/>
        </w:rPr>
      </w:pPr>
    </w:p>
    <w:p>
      <w:pPr>
        <w:ind w:left="760" w:right="240" w:hanging="374"/>
        <w:spacing w:after="0" w:line="308" w:lineRule="auto"/>
        <w:tabs>
          <w:tab w:leader="none" w:pos="7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38" w:lineRule="exact"/>
        <w:rPr>
          <w:rFonts w:ascii="Arial" w:cs="Arial" w:eastAsia="Arial" w:hAnsi="Arial"/>
          <w:sz w:val="17"/>
          <w:szCs w:val="17"/>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expanding and enhancing our operational, financial and management controls, reporting systems and procedures.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8" w:name="page79"/>
    <w:bookmarkEnd w:id="78"/>
    <w:p>
      <w:pPr>
        <w:ind w:right="100" w:firstLine="382"/>
        <w:spacing w:after="0" w:line="259" w:lineRule="auto"/>
        <w:rPr>
          <w:sz w:val="20"/>
          <w:szCs w:val="20"/>
          <w:color w:val="auto"/>
        </w:rPr>
      </w:pPr>
      <w:r>
        <w:rPr>
          <w:rFonts w:ascii="Arial" w:cs="Arial" w:eastAsia="Arial" w:hAnsi="Arial"/>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ind w:right="40" w:firstLine="382"/>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jc w:val="both"/>
        <w:ind w:right="140" w:firstLine="382"/>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2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40" w:firstLine="382"/>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164"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firstLine="382"/>
        <w:spacing w:after="0" w:line="217" w:lineRule="exact"/>
        <w:rPr>
          <w:sz w:val="20"/>
          <w:szCs w:val="20"/>
          <w:color w:val="auto"/>
        </w:rPr>
      </w:pPr>
      <w:r>
        <w:rPr>
          <w:rFonts w:ascii="Arial" w:cs="Arial" w:eastAsia="Arial" w:hAnsi="Arial"/>
          <w:sz w:val="16"/>
          <w:szCs w:val="16"/>
          <w:color w:val="auto"/>
        </w:rPr>
        <w:t>Our corporate headquarters and other facilities are located in the San Francisco Bay Area, which in the past has experienced both severe earthquakes and wildfires. We are also conducting our initial clinical trials for ALG</w:t>
      </w:r>
      <w:r>
        <w:rPr>
          <w:rFonts w:ascii="MS PGothic" w:cs="MS PGothic" w:eastAsia="MS PGothic" w:hAnsi="MS PGothic"/>
          <w:sz w:val="16"/>
          <w:szCs w:val="16"/>
          <w:color w:val="auto"/>
        </w:rPr>
        <w:t>‑</w:t>
      </w:r>
      <w:r>
        <w:rPr>
          <w:rFonts w:ascii="Arial" w:cs="Arial" w:eastAsia="Arial" w:hAnsi="Arial"/>
          <w:sz w:val="16"/>
          <w:szCs w:val="16"/>
          <w:color w:val="auto"/>
        </w:rPr>
        <w:t>010133, ALG</w:t>
      </w:r>
      <w:r>
        <w:rPr>
          <w:rFonts w:ascii="MS PGothic" w:cs="MS PGothic" w:eastAsia="MS PGothic" w:hAnsi="MS PGothic"/>
          <w:sz w:val="16"/>
          <w:szCs w:val="16"/>
          <w:color w:val="auto"/>
        </w:rPr>
        <w:t>‑</w:t>
      </w:r>
      <w:r>
        <w:rPr>
          <w:rFonts w:ascii="Arial" w:cs="Arial" w:eastAsia="Arial" w:hAnsi="Arial"/>
          <w:sz w:val="16"/>
          <w:szCs w:val="16"/>
          <w:color w:val="auto"/>
        </w:rPr>
        <w:t>000184 and ALG</w:t>
      </w:r>
      <w:r>
        <w:rPr>
          <w:rFonts w:ascii="MS PGothic" w:cs="MS PGothic" w:eastAsia="MS PGothic" w:hAnsi="MS PGothic"/>
          <w:sz w:val="16"/>
          <w:szCs w:val="16"/>
          <w:color w:val="auto"/>
        </w:rPr>
        <w:t>‑</w:t>
      </w:r>
      <w:r>
        <w:rPr>
          <w:rFonts w:ascii="Arial" w:cs="Arial" w:eastAsia="Arial" w:hAnsi="Arial"/>
          <w:sz w:val="16"/>
          <w:szCs w:val="16"/>
          <w:color w:val="auto"/>
        </w:rPr>
        <w:t>020572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9" w:name="page80"/>
    <w:bookmarkEnd w:id="79"/>
    <w:p>
      <w:pPr>
        <w:ind w:right="36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firstLine="382"/>
        <w:spacing w:after="0" w:line="267"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investors.</w:t>
      </w:r>
    </w:p>
    <w:p>
      <w:pPr>
        <w:spacing w:after="0" w:line="117" w:lineRule="exact"/>
        <w:rPr>
          <w:sz w:val="20"/>
          <w:szCs w:val="20"/>
          <w:color w:val="auto"/>
        </w:rPr>
      </w:pPr>
    </w:p>
    <w:p>
      <w:pPr>
        <w:ind w:right="80" w:firstLine="382"/>
        <w:spacing w:after="0" w:line="259"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ongoing COVID-19 pandemic, for example, has negatively affected the stock market and investor sentiment and has resulted in significant volatility. The market price for our common stock may be influenced by many factors, including:</w:t>
      </w:r>
    </w:p>
    <w:p>
      <w:pPr>
        <w:spacing w:after="0" w:line="79" w:lineRule="exact"/>
        <w:rPr>
          <w:sz w:val="20"/>
          <w:szCs w:val="20"/>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our and competitive products or technologies;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clinical trials and nonclinical studies or those of our competitors;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expenses related to our drug candidates or clinical development programs;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drug candidates;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fluctuations in the financial markets in the United States and abroad;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ind w:firstLine="382"/>
        <w:spacing w:after="0" w:line="263"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84" w:lineRule="exact"/>
        <w:rPr>
          <w:sz w:val="20"/>
          <w:szCs w:val="20"/>
          <w:color w:val="auto"/>
        </w:rPr>
      </w:pPr>
    </w:p>
    <w:p>
      <w:pPr>
        <w:ind w:right="100" w:firstLine="382"/>
        <w:spacing w:after="0" w:line="27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right="220" w:firstLine="382"/>
        <w:spacing w:after="0" w:line="263" w:lineRule="auto"/>
        <w:rPr>
          <w:sz w:val="20"/>
          <w:szCs w:val="20"/>
          <w:color w:val="auto"/>
        </w:rPr>
      </w:pPr>
      <w:r>
        <w:rPr>
          <w:rFonts w:ascii="Arial" w:cs="Arial" w:eastAsia="Arial" w:hAnsi="Arial"/>
          <w:sz w:val="18"/>
          <w:szCs w:val="18"/>
          <w:color w:val="auto"/>
        </w:rPr>
        <w:t>Prior to our initial public offering in October 2020, there was no public market for shares of our common stock and an active trading market for our shares may not be sustained. In the absence of an active trading market for our common stock, investors may not be able to sell their common stock at a price or at the time that they would like to sell.</w:t>
      </w:r>
    </w:p>
    <w:p>
      <w:pPr>
        <w:spacing w:after="0" w:line="184" w:lineRule="exact"/>
        <w:rPr>
          <w:sz w:val="20"/>
          <w:szCs w:val="20"/>
          <w:color w:val="auto"/>
        </w:rPr>
      </w:pPr>
    </w:p>
    <w:p>
      <w:pPr>
        <w:ind w:right="780" w:firstLine="382"/>
        <w:spacing w:after="0" w:line="277" w:lineRule="auto"/>
        <w:rPr>
          <w:sz w:val="20"/>
          <w:szCs w:val="20"/>
          <w:color w:val="auto"/>
        </w:rPr>
      </w:pPr>
      <w:r>
        <w:rPr>
          <w:rFonts w:ascii="Arial" w:cs="Arial" w:eastAsia="Arial" w:hAnsi="Arial"/>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29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38" w:lineRule="exact"/>
        <w:rPr>
          <w:sz w:val="20"/>
          <w:szCs w:val="20"/>
          <w:color w:val="auto"/>
        </w:rPr>
      </w:pPr>
    </w:p>
    <w:p>
      <w:pPr>
        <w:ind w:firstLine="382"/>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requires the market value of our common stock that is held by non-affiliates to exceed</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$700.0 million as of the prior June 30th, and (2) the date on which we have issued more than $1.0 billion in non-convertible debt during the prior three-year period.</w:t>
      </w:r>
    </w:p>
    <w:p>
      <w:pPr>
        <w:spacing w:after="0" w:line="185" w:lineRule="exact"/>
        <w:rPr>
          <w:sz w:val="20"/>
          <w:szCs w:val="20"/>
          <w:color w:val="auto"/>
        </w:rPr>
      </w:pPr>
    </w:p>
    <w:p>
      <w:pPr>
        <w:ind w:right="40" w:firstLine="382"/>
        <w:spacing w:after="0" w:line="275"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76" w:lineRule="exact"/>
        <w:rPr>
          <w:sz w:val="20"/>
          <w:szCs w:val="20"/>
          <w:color w:val="auto"/>
        </w:rPr>
      </w:pPr>
    </w:p>
    <w:p>
      <w:pPr>
        <w:ind w:right="120" w:firstLine="382"/>
        <w:spacing w:after="0" w:line="255" w:lineRule="auto"/>
        <w:rPr>
          <w:sz w:val="20"/>
          <w:szCs w:val="20"/>
          <w:color w:val="auto"/>
        </w:rPr>
      </w:pPr>
      <w:r>
        <w:rPr>
          <w:rFonts w:ascii="Arial" w:cs="Arial" w:eastAsia="Arial" w:hAnsi="Arial"/>
          <w:sz w:val="18"/>
          <w:szCs w:val="18"/>
          <w:color w:val="auto"/>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1" w:name="page82"/>
    <w:bookmarkEnd w:id="81"/>
    <w:p>
      <w:pPr>
        <w:ind w:right="180" w:firstLine="382"/>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p>
    <w:p>
      <w:pPr>
        <w:spacing w:after="0" w:line="2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62"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As of September 30, 2021, our executive officers, directors and their affiliates beneficially own, in the aggregate, approximately 51.6% of our outstanding common stock (assuming all shares of non-voting common stock are converted into voting common stock in accordance with the terms of our amended and restated certificate of incorporation).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53" w:lineRule="exact"/>
        <w:rPr>
          <w:sz w:val="20"/>
          <w:szCs w:val="20"/>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62" w:lineRule="exact"/>
        <w:rPr>
          <w:sz w:val="20"/>
          <w:szCs w:val="20"/>
          <w:color w:val="auto"/>
        </w:rPr>
      </w:pPr>
    </w:p>
    <w:p>
      <w:pPr>
        <w:ind w:right="60" w:firstLine="382"/>
        <w:spacing w:after="0" w:line="269" w:lineRule="auto"/>
        <w:rPr>
          <w:sz w:val="20"/>
          <w:szCs w:val="20"/>
          <w:color w:val="auto"/>
        </w:rPr>
      </w:pPr>
      <w:r>
        <w:rPr>
          <w:rFonts w:ascii="Arial" w:cs="Arial" w:eastAsia="Arial" w:hAnsi="Arial"/>
          <w:sz w:val="17"/>
          <w:szCs w:val="17"/>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June 30, 2021,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Exchange Act of 1934, as amended (the Exchange Act), and may not be subject to the short-swing profit provisions of Section 16(b) of the Exchange Act.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w:t>
      </w:r>
    </w:p>
    <w:p>
      <w:pPr>
        <w:spacing w:after="0" w:line="170"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As of September 30, 2021, approximately 8,529,194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87" w:lineRule="exact"/>
        <w:rPr>
          <w:sz w:val="20"/>
          <w:szCs w:val="20"/>
          <w:color w:val="auto"/>
        </w:rPr>
      </w:pPr>
    </w:p>
    <w:p>
      <w:pPr>
        <w:ind w:right="40" w:firstLine="382"/>
        <w:spacing w:after="0" w:line="301" w:lineRule="auto"/>
        <w:rPr>
          <w:sz w:val="20"/>
          <w:szCs w:val="20"/>
          <w:color w:val="auto"/>
        </w:rPr>
      </w:pPr>
      <w:r>
        <w:rPr>
          <w:rFonts w:ascii="Arial" w:cs="Arial" w:eastAsia="Arial" w:hAnsi="Arial"/>
          <w:sz w:val="16"/>
          <w:szCs w:val="16"/>
          <w:color w:val="auto"/>
        </w:rPr>
        <w:t>In addition, the holders of approximately 42.6 million of our total common stock and non-voting common stock (including 3,092,338 shares of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an IRC Section 382 analysis in 2020 and determined there was an ownership change that resulted in Section 382 limitations. The ownership change limited our ability to utilize net operating losses against future taxable income but will not result in the expiration of any NOLs. We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ind w:right="60"/>
        <w:spacing w:after="0" w:line="259" w:lineRule="auto"/>
        <w:rPr>
          <w:sz w:val="20"/>
          <w:szCs w:val="20"/>
          <w:color w:val="auto"/>
        </w:rPr>
      </w:pPr>
      <w:r>
        <w:rPr>
          <w:rFonts w:ascii="Arial" w:cs="Arial" w:eastAsia="Arial" w:hAnsi="Arial"/>
          <w:sz w:val="18"/>
          <w:szCs w:val="18"/>
          <w:color w:val="auto"/>
        </w:rPr>
        <w:t>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95"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 w:lineRule="exact"/>
        <w:rPr>
          <w:sz w:val="20"/>
          <w:szCs w:val="20"/>
          <w:color w:val="auto"/>
        </w:rPr>
      </w:pPr>
    </w:p>
    <w:p>
      <w:pPr>
        <w:ind w:right="100" w:firstLine="382"/>
        <w:spacing w:after="0" w:line="254"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2021.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p>
    <w:p>
      <w:pPr>
        <w:spacing w:after="0" w:line="195"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360" w:firstLine="382"/>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38" w:lineRule="exact"/>
        <w:rPr>
          <w:sz w:val="20"/>
          <w:szCs w:val="20"/>
          <w:color w:val="auto"/>
        </w:rPr>
      </w:pPr>
    </w:p>
    <w:p>
      <w:pPr>
        <w:ind w:left="760" w:right="520" w:hanging="374"/>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44" w:lineRule="exact"/>
        <w:rPr>
          <w:rFonts w:ascii="Arial" w:cs="Arial" w:eastAsia="Arial" w:hAnsi="Arial"/>
          <w:sz w:val="18"/>
          <w:szCs w:val="18"/>
          <w:color w:val="auto"/>
        </w:rPr>
      </w:pPr>
    </w:p>
    <w:p>
      <w:pPr>
        <w:ind w:left="760" w:right="760" w:hanging="374"/>
        <w:spacing w:after="0" w:line="342" w:lineRule="auto"/>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jc w:val="both"/>
        <w:ind w:left="760" w:right="380" w:hanging="374"/>
        <w:spacing w:after="0" w:line="263"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3" w:name="page84"/>
    <w:bookmarkEnd w:id="83"/>
    <w:p>
      <w:pPr>
        <w:ind w:left="760" w:right="80" w:hanging="374"/>
        <w:spacing w:after="0" w:line="342" w:lineRule="auto"/>
        <w:tabs>
          <w:tab w:leader="none" w:pos="7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15" w:lineRule="exact"/>
        <w:rPr>
          <w:rFonts w:ascii="Arial" w:cs="Arial" w:eastAsia="Arial" w:hAnsi="Arial"/>
          <w:sz w:val="16"/>
          <w:szCs w:val="16"/>
          <w:color w:val="auto"/>
        </w:rPr>
      </w:pPr>
    </w:p>
    <w:p>
      <w:pPr>
        <w:ind w:left="760" w:right="580" w:hanging="374"/>
        <w:spacing w:after="0" w:line="277"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760" w:right="220" w:hanging="374"/>
        <w:spacing w:after="0" w:line="263"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75" w:lineRule="exact"/>
        <w:rPr>
          <w:rFonts w:ascii="Arial" w:cs="Arial" w:eastAsia="Arial" w:hAnsi="Arial"/>
          <w:sz w:val="18"/>
          <w:szCs w:val="18"/>
          <w:color w:val="auto"/>
        </w:rPr>
      </w:pPr>
    </w:p>
    <w:p>
      <w:pPr>
        <w:ind w:left="760" w:right="80" w:hanging="374"/>
        <w:spacing w:after="0" w:line="263"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4" w:lineRule="exact"/>
        <w:rPr>
          <w:sz w:val="20"/>
          <w:szCs w:val="20"/>
          <w:color w:val="auto"/>
        </w:rPr>
      </w:pPr>
    </w:p>
    <w:p>
      <w:pPr>
        <w:ind w:right="140" w:firstLine="382"/>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160" w:firstLine="382"/>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600" w:firstLine="382"/>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62" w:lineRule="exact"/>
        <w:rPr>
          <w:sz w:val="20"/>
          <w:szCs w:val="20"/>
          <w:color w:val="auto"/>
        </w:rPr>
      </w:pPr>
    </w:p>
    <w:p>
      <w:pPr>
        <w:ind w:left="760" w:hanging="374"/>
        <w:spacing w:after="0" w:line="279" w:lineRule="auto"/>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760" w:hanging="374"/>
        <w:spacing w:after="0"/>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155" w:lineRule="exact"/>
        <w:rPr>
          <w:rFonts w:ascii="Arial" w:cs="Arial" w:eastAsia="Arial" w:hAnsi="Arial"/>
          <w:sz w:val="17"/>
          <w:szCs w:val="17"/>
          <w:color w:val="auto"/>
        </w:rPr>
      </w:pPr>
    </w:p>
    <w:p>
      <w:pPr>
        <w:jc w:val="both"/>
        <w:ind w:left="760" w:right="440" w:hanging="374"/>
        <w:spacing w:after="0" w:line="342" w:lineRule="auto"/>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760" w:right="80" w:hanging="374"/>
        <w:spacing w:after="0" w:line="277"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62" w:lineRule="exact"/>
        <w:rPr>
          <w:rFonts w:ascii="Arial" w:cs="Arial" w:eastAsia="Arial" w:hAnsi="Arial"/>
          <w:sz w:val="18"/>
          <w:szCs w:val="18"/>
          <w:color w:val="auto"/>
        </w:rPr>
      </w:pPr>
    </w:p>
    <w:p>
      <w:pPr>
        <w:ind w:left="760" w:right="120" w:hanging="374"/>
        <w:spacing w:after="0" w:line="308" w:lineRule="auto"/>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38" w:lineRule="exact"/>
        <w:rPr>
          <w:rFonts w:ascii="Arial" w:cs="Arial" w:eastAsia="Arial" w:hAnsi="Arial"/>
          <w:sz w:val="17"/>
          <w:szCs w:val="17"/>
          <w:color w:val="auto"/>
        </w:rPr>
      </w:pPr>
    </w:p>
    <w:p>
      <w:pPr>
        <w:ind w:left="760" w:right="400" w:hanging="374"/>
        <w:spacing w:after="0" w:line="277"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7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4" w:name="page85"/>
    <w:bookmarkEnd w:id="84"/>
    <w:p>
      <w:pPr>
        <w:ind w:right="20"/>
        <w:spacing w:after="0" w:line="269" w:lineRule="auto"/>
        <w:rPr>
          <w:sz w:val="20"/>
          <w:szCs w:val="20"/>
          <w:color w:val="auto"/>
        </w:rPr>
      </w:pPr>
      <w:r>
        <w:rPr>
          <w:rFonts w:ascii="Arial" w:cs="Arial" w:eastAsia="Arial" w:hAnsi="Arial"/>
          <w:sz w:val="17"/>
          <w:szCs w:val="17"/>
          <w:color w:val="auto"/>
        </w:rPr>
        <w:t>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w:t>
      </w:r>
    </w:p>
    <w:p>
      <w:pPr>
        <w:spacing w:after="0" w:line="140"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29"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2008 global financial crisis caused extreme volatility and disruptions in the capital and credit markets. A severe or prolonged economic downturn, such as the 2008 global financial crisis,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40"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5" w:name="page86"/>
    <w:bookmarkEnd w:id="85"/>
    <w:p>
      <w:pPr>
        <w:ind w:right="140" w:firstLine="382"/>
        <w:spacing w:after="0" w:line="259" w:lineRule="auto"/>
        <w:rPr>
          <w:sz w:val="20"/>
          <w:szCs w:val="20"/>
          <w:color w:val="auto"/>
        </w:rPr>
      </w:pPr>
      <w:r>
        <w:rPr>
          <w:rFonts w:ascii="Arial" w:cs="Arial" w:eastAsia="Arial" w:hAnsi="Arial"/>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United Kingdom’s withdrawal from the EU may have a negative effect on global economic conditions, financial markets and our business.</w:t>
      </w:r>
    </w:p>
    <w:p>
      <w:pPr>
        <w:spacing w:after="0" w:line="140" w:lineRule="exact"/>
        <w:rPr>
          <w:sz w:val="20"/>
          <w:szCs w:val="20"/>
          <w:color w:val="auto"/>
        </w:rPr>
      </w:pPr>
    </w:p>
    <w:p>
      <w:pPr>
        <w:ind w:right="80" w:firstLine="382"/>
        <w:spacing w:after="0" w:line="254" w:lineRule="auto"/>
        <w:rPr>
          <w:sz w:val="20"/>
          <w:szCs w:val="20"/>
          <w:color w:val="auto"/>
        </w:rPr>
      </w:pPr>
      <w:r>
        <w:rPr>
          <w:rFonts w:ascii="Arial" w:cs="Arial" w:eastAsia="Arial" w:hAnsi="Arial"/>
          <w:sz w:val="18"/>
          <w:szCs w:val="18"/>
          <w:color w:val="auto"/>
        </w:rPr>
        <w:t>Following the United Kingdom’s departure from the EU on January 31, 2020, and the end of the “transition period” on December 31, 2020, the EU and the United Kingdom have entered into a trade and cooperation agreement (TCA) which governs certain aspects of their future relationship, including ensuring tariff-free trade for certain goods and services. Since the regulatory framework for pharmaceutical products in the United Kingdom relating to quality, safety and efficacy of pharmaceutical products, clinical trials, marketing authorization, commercial sales and distribution of pharmaceutical products is derived from EU directives and regulations, Brexit will materially impact the future regulatory regime which applies to products and the approval of product candidates in the United Kingdom. Longer term, the United Kingdom is likely to develop its own legislation that diverges from that in the EU.</w:t>
      </w:r>
    </w:p>
    <w:p>
      <w:pPr>
        <w:spacing w:after="0" w:line="87" w:lineRule="exact"/>
        <w:rPr>
          <w:sz w:val="20"/>
          <w:szCs w:val="20"/>
          <w:color w:val="auto"/>
        </w:rPr>
      </w:pPr>
    </w:p>
    <w:p>
      <w:pPr>
        <w:ind w:right="60" w:firstLine="382"/>
        <w:spacing w:after="0" w:line="273" w:lineRule="auto"/>
        <w:rPr>
          <w:sz w:val="20"/>
          <w:szCs w:val="20"/>
          <w:color w:val="auto"/>
        </w:rPr>
      </w:pPr>
      <w:r>
        <w:rPr>
          <w:rFonts w:ascii="Arial" w:cs="Arial" w:eastAsia="Arial" w:hAnsi="Arial"/>
          <w:sz w:val="17"/>
          <w:szCs w:val="17"/>
          <w:color w:val="auto"/>
        </w:rPr>
        <w:t>The TCA provides details on how some aspects of the United Kingdom’s and EU’s relationship will operate going forwards, however there are still many uncertainties. The uncertainty concerning the United Kingdom’s legal, political and economic relationship with the EU since Brexit may be a source of instability in the international markets, create significant currency fluctuations, and/or otherwise adversely affect trading agreements or similar cross-border co-operation arrangements (whether economic, tax, fiscal, legal, regulatory or otherwise). 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w:t>
      </w:r>
    </w:p>
    <w:p>
      <w:pPr>
        <w:spacing w:after="0" w:line="2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62"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29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76"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160" w:firstLine="382"/>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166" w:lineRule="exact"/>
        <w:rPr>
          <w:sz w:val="20"/>
          <w:szCs w:val="20"/>
          <w:color w:val="auto"/>
        </w:rPr>
      </w:pPr>
    </w:p>
    <w:p>
      <w:pPr>
        <w:ind w:right="80" w:firstLine="382"/>
        <w:spacing w:after="0" w:line="272" w:lineRule="auto"/>
        <w:rPr>
          <w:sz w:val="20"/>
          <w:szCs w:val="20"/>
          <w:color w:val="auto"/>
        </w:rPr>
      </w:pPr>
      <w:r>
        <w:rPr>
          <w:rFonts w:ascii="Arial" w:cs="Arial" w:eastAsia="Arial" w:hAnsi="Arial"/>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7" w:name="page88"/>
    <w:bookmarkEnd w:id="87"/>
    <w:p>
      <w:pPr>
        <w:ind w:right="540"/>
        <w:spacing w:after="0" w:line="308" w:lineRule="auto"/>
        <w:rPr>
          <w:sz w:val="20"/>
          <w:szCs w:val="20"/>
          <w:color w:val="auto"/>
        </w:rPr>
      </w:pPr>
      <w:r>
        <w:rPr>
          <w:rFonts w:ascii="Arial" w:cs="Arial" w:eastAsia="Arial" w:hAnsi="Arial"/>
          <w:sz w:val="17"/>
          <w:szCs w:val="17"/>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38" w:lineRule="exact"/>
        <w:rPr>
          <w:sz w:val="20"/>
          <w:szCs w:val="20"/>
          <w:color w:val="auto"/>
        </w:rPr>
      </w:pPr>
    </w:p>
    <w:p>
      <w:pPr>
        <w:ind w:right="360" w:firstLine="382"/>
        <w:spacing w:after="0" w:line="277"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w:t>
      </w:r>
    </w:p>
    <w:p>
      <w:pPr>
        <w:spacing w:after="0" w:line="170"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2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62"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Current or future litigation or administrative proceedings could have a material adverse effect on our business, our financial condition and our results of operations.</w:t>
      </w:r>
    </w:p>
    <w:p>
      <w:pPr>
        <w:spacing w:after="0" w:line="62" w:lineRule="exact"/>
        <w:rPr>
          <w:sz w:val="20"/>
          <w:szCs w:val="20"/>
          <w:color w:val="auto"/>
        </w:rPr>
      </w:pPr>
    </w:p>
    <w:p>
      <w:pPr>
        <w:ind w:firstLine="382"/>
        <w:spacing w:after="0" w:line="301" w:lineRule="auto"/>
        <w:rPr>
          <w:sz w:val="20"/>
          <w:szCs w:val="20"/>
          <w:color w:val="auto"/>
        </w:rPr>
      </w:pPr>
      <w:r>
        <w:rPr>
          <w:rFonts w:ascii="Arial" w:cs="Arial" w:eastAsia="Arial" w:hAnsi="Arial"/>
          <w:sz w:val="16"/>
          <w:szCs w:val="16"/>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2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As a public company, we are incurring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68" w:lineRule="exact"/>
        <w:rPr>
          <w:sz w:val="20"/>
          <w:szCs w:val="20"/>
          <w:color w:val="auto"/>
        </w:rPr>
      </w:pPr>
    </w:p>
    <w:p>
      <w:pPr>
        <w:ind w:right="40" w:firstLine="382"/>
        <w:spacing w:after="0" w:line="290" w:lineRule="auto"/>
        <w:rPr>
          <w:sz w:val="20"/>
          <w:szCs w:val="20"/>
          <w:color w:val="auto"/>
        </w:rPr>
      </w:pPr>
      <w:r>
        <w:rPr>
          <w:rFonts w:ascii="Arial" w:cs="Arial" w:eastAsia="Arial" w:hAnsi="Arial"/>
          <w:sz w:val="16"/>
          <w:szCs w:val="16"/>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i w:val="1"/>
          <w:iCs w:val="1"/>
          <w:color w:val="auto"/>
        </w:rPr>
        <w:t>We may experience fluctuations in our tax obligations and effective tax rate, which could materially and adversely affect our results of operations.</w:t>
      </w:r>
    </w:p>
    <w:p>
      <w:pPr>
        <w:spacing w:after="0" w:line="140"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mix and level of earnings in a given taxing jurisdiction or our ownership or capital structures.</w:t>
      </w:r>
    </w:p>
    <w:p>
      <w:pPr>
        <w:spacing w:after="0" w:line="30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9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6" w:lineRule="exact"/>
        <w:rPr>
          <w:sz w:val="20"/>
          <w:szCs w:val="20"/>
          <w:color w:val="auto"/>
        </w:rPr>
      </w:pPr>
    </w:p>
    <w:p>
      <w:pPr>
        <w:ind w:right="140" w:firstLine="382"/>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IPO</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October 15, 2020, our registration statement on Form S-1 (File No. 333-249077) relating to our IPO of Common Stock became effective. The IPO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closed on October 20, 2020 at which time we issued 10,000,000 shares of common stock at a public offering price of $15.00 per share. We received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IPO of approximately $135.4 million, after deducting the underwriting discounts and commissions of $10.5 million and expenses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 million. None of the expenses associated with the IPO were paid to directors, officers, persons owning 10% or more of any class of equity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to our affiliates. On November 5, 2020 the underwriters of the IPO partially exercised their overallotment option by purchasing an additional 1,150,000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from us at the IPO price, resulting in an additional $16.0 million in net proceeds after deducting the underwriting discounts and commissions. J.P.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Morgan Securities LLC, Jefferies LLC, Piper Sandler &amp; Co. acted as joint book-running managers for the offering.</w:t>
      </w:r>
    </w:p>
    <w:p>
      <w:pPr>
        <w:spacing w:after="0" w:line="211" w:lineRule="exact"/>
        <w:rPr>
          <w:sz w:val="20"/>
          <w:szCs w:val="20"/>
          <w:color w:val="auto"/>
        </w:rPr>
      </w:pPr>
    </w:p>
    <w:p>
      <w:pPr>
        <w:ind w:right="180" w:firstLine="382"/>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19,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purchasers of equity securities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ind w:left="20"/>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620" w:type="dxa"/>
            <w:vAlign w:val="bottom"/>
            <w:tcBorders>
              <w:bottom w:val="single" w:sz="8" w:color="auto"/>
            </w:tcBorders>
          </w:tcPr>
          <w:p>
            <w:pPr>
              <w:spacing w:after="0"/>
              <w:rPr>
                <w:sz w:val="14"/>
                <w:szCs w:val="14"/>
                <w:color w:val="auto"/>
              </w:rPr>
            </w:pPr>
          </w:p>
        </w:tc>
      </w:tr>
      <w:tr>
        <w:trPr>
          <w:trHeight w:val="142"/>
        </w:trPr>
        <w:tc>
          <w:tcPr>
            <w:tcW w:w="92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500" w:type="dxa"/>
            <w:vAlign w:val="bottom"/>
            <w:tcBorders>
              <w:bottom w:val="single" w:sz="8" w:color="auto"/>
            </w:tcBorders>
            <w:gridSpan w:val="13"/>
          </w:tcPr>
          <w:p>
            <w:pPr>
              <w:spacing w:after="0" w:line="142" w:lineRule="exact"/>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2"/>
                <w:szCs w:val="12"/>
                <w:color w:val="auto"/>
              </w:rPr>
            </w:pPr>
          </w:p>
        </w:tc>
        <w:tc>
          <w:tcPr>
            <w:tcW w:w="6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Form</w:t>
            </w:r>
          </w:p>
        </w:tc>
        <w:tc>
          <w:tcPr>
            <w:tcW w:w="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tcPr>
          <w:p>
            <w:pPr>
              <w:jc w:val="center"/>
              <w:ind w:left="48"/>
              <w:spacing w:after="0" w:line="142" w:lineRule="exact"/>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6060" w:type="dxa"/>
            <w:vAlign w:val="bottom"/>
            <w:gridSpan w:val="17"/>
          </w:tcPr>
          <w:p>
            <w:pPr>
              <w:spacing w:after="0"/>
              <w:rPr>
                <w:rFonts w:ascii="Arial" w:cs="Arial" w:eastAsia="Arial" w:hAnsi="Arial"/>
                <w:sz w:val="18"/>
                <w:szCs w:val="18"/>
                <w:color w:val="0000EE"/>
              </w:rPr>
            </w:pPr>
            <w:hyperlink r:id="rId112">
              <w:r>
                <w:rPr>
                  <w:rFonts w:ascii="Arial" w:cs="Arial" w:eastAsia="Arial" w:hAnsi="Arial"/>
                  <w:sz w:val="18"/>
                  <w:szCs w:val="18"/>
                  <w:color w:val="0000EE"/>
                </w:rPr>
                <w:t>Amended and Restated Certificate of Incorporation.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75"/>
              <w:spacing w:after="0"/>
              <w:rPr>
                <w:sz w:val="20"/>
                <w:szCs w:val="20"/>
                <w:color w:val="auto"/>
              </w:rPr>
            </w:pPr>
            <w:r>
              <w:rPr>
                <w:rFonts w:ascii="Arial" w:cs="Arial" w:eastAsia="Arial" w:hAnsi="Arial"/>
                <w:sz w:val="18"/>
                <w:szCs w:val="18"/>
                <w:color w:val="auto"/>
                <w:w w:val="90"/>
              </w:rPr>
              <w:t>10/20/2020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3.1</w:t>
            </w:r>
          </w:p>
        </w:tc>
      </w:tr>
      <w:tr>
        <w:trPr>
          <w:trHeight w:val="317"/>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740" w:type="dxa"/>
            <w:vAlign w:val="bottom"/>
            <w:tcBorders>
              <w:top w:val="single" w:sz="8" w:color="0000EE"/>
            </w:tcBorders>
            <w:gridSpan w:val="8"/>
          </w:tcPr>
          <w:p>
            <w:pPr>
              <w:spacing w:after="0"/>
              <w:rPr>
                <w:rFonts w:ascii="Arial" w:cs="Arial" w:eastAsia="Arial" w:hAnsi="Arial"/>
                <w:sz w:val="18"/>
                <w:szCs w:val="18"/>
                <w:color w:val="0000EE"/>
              </w:rPr>
            </w:pPr>
            <w:hyperlink r:id="rId113">
              <w:r>
                <w:rPr>
                  <w:rFonts w:ascii="Arial" w:cs="Arial" w:eastAsia="Arial" w:hAnsi="Arial"/>
                  <w:sz w:val="18"/>
                  <w:szCs w:val="18"/>
                  <w:color w:val="0000EE"/>
                </w:rPr>
                <w:t>Amended and Restated Bylaws.</w:t>
              </w:r>
            </w:hyperlink>
          </w:p>
        </w:tc>
        <w:tc>
          <w:tcPr>
            <w:tcW w:w="2320" w:type="dxa"/>
            <w:vAlign w:val="bottom"/>
            <w:gridSpan w:val="9"/>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75"/>
              <w:spacing w:after="0"/>
              <w:rPr>
                <w:sz w:val="20"/>
                <w:szCs w:val="20"/>
                <w:color w:val="auto"/>
              </w:rPr>
            </w:pPr>
            <w:r>
              <w:rPr>
                <w:rFonts w:ascii="Arial" w:cs="Arial" w:eastAsia="Arial" w:hAnsi="Arial"/>
                <w:sz w:val="18"/>
                <w:szCs w:val="18"/>
                <w:color w:val="auto"/>
                <w:w w:val="90"/>
              </w:rPr>
              <w:t>10/20/2020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6060" w:type="dxa"/>
            <w:vAlign w:val="bottom"/>
            <w:gridSpan w:val="17"/>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112">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13">
              <w:r>
                <w:rPr>
                  <w:rFonts w:ascii="Arial" w:cs="Arial" w:eastAsia="Arial" w:hAnsi="Arial"/>
                  <w:sz w:val="18"/>
                  <w:szCs w:val="18"/>
                  <w:color w:val="0000EE"/>
                </w:rPr>
                <w:t>3.2</w:t>
              </w:r>
            </w:hyperlink>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620" w:type="dxa"/>
            <w:vAlign w:val="bottom"/>
            <w:tcBorders>
              <w:bottom w:val="single" w:sz="8" w:color="0000EE"/>
            </w:tcBorders>
            <w:gridSpan w:val="4"/>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Form of Common Stock Certificate.</w:t>
              </w:r>
            </w:hyperlink>
          </w:p>
        </w:tc>
        <w:tc>
          <w:tcPr>
            <w:tcW w:w="3440" w:type="dxa"/>
            <w:vAlign w:val="bottom"/>
            <w:gridSpan w:val="13"/>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80" w:type="dxa"/>
            <w:vAlign w:val="bottom"/>
            <w:gridSpan w:val="3"/>
          </w:tcPr>
          <w:p>
            <w:pPr>
              <w:jc w:val="center"/>
              <w:ind w:left="95"/>
              <w:spacing w:after="0"/>
              <w:rPr>
                <w:sz w:val="20"/>
                <w:szCs w:val="20"/>
                <w:color w:val="auto"/>
              </w:rPr>
            </w:pPr>
            <w:r>
              <w:rPr>
                <w:rFonts w:ascii="Arial" w:cs="Arial" w:eastAsia="Arial" w:hAnsi="Arial"/>
                <w:sz w:val="18"/>
                <w:szCs w:val="18"/>
                <w:color w:val="auto"/>
                <w:w w:val="89"/>
              </w:rPr>
              <w:t>10/9/2020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4.2</w:t>
            </w:r>
          </w:p>
        </w:tc>
      </w:tr>
      <w:tr>
        <w:trPr>
          <w:trHeight w:val="439"/>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8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92">
              <w:r>
                <w:rPr>
                  <w:rFonts w:ascii="Arial" w:cs="Arial" w:eastAsia="Arial" w:hAnsi="Arial"/>
                  <w:sz w:val="18"/>
                  <w:szCs w:val="18"/>
                  <w:color w:val="0000EE"/>
                  <w:w w:val="91"/>
                </w:rPr>
                <w:t>Certification of Principal Executive Officer Pursuant to Rules 13a-14(a) and 15d-</w:t>
              </w:r>
            </w:hyperlink>
          </w:p>
        </w:tc>
        <w:tc>
          <w:tcPr>
            <w:tcW w:w="18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gridSpan w:val="1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14(a) under the Securities Exchange Act of 1934, as Adopted Pursuant to</w:t>
              </w:r>
            </w:hyperlink>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Section 302 of the Sarbanes-Oxley Act of 2002.</w:t>
              </w:r>
            </w:hyperlink>
          </w:p>
        </w:tc>
        <w:tc>
          <w:tcPr>
            <w:tcW w:w="78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7"/>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6060" w:type="dxa"/>
            <w:vAlign w:val="bottom"/>
            <w:gridSpan w:val="17"/>
          </w:tcPr>
          <w:p>
            <w:pPr>
              <w:spacing w:after="0"/>
              <w:rPr>
                <w:rFonts w:ascii="Arial" w:cs="Arial" w:eastAsia="Arial" w:hAnsi="Arial"/>
                <w:sz w:val="18"/>
                <w:szCs w:val="18"/>
                <w:color w:val="0000EE"/>
                <w:w w:val="95"/>
              </w:rPr>
            </w:pPr>
            <w:hyperlink w:anchor="page93">
              <w:r>
                <w:rPr>
                  <w:rFonts w:ascii="Arial" w:cs="Arial" w:eastAsia="Arial" w:hAnsi="Arial"/>
                  <w:sz w:val="18"/>
                  <w:szCs w:val="18"/>
                  <w:color w:val="0000EE"/>
                  <w:w w:val="95"/>
                </w:rPr>
                <w:t>Certification of Principal Financial Officer Pursuant to Rules 13a-14(a) and 15d-</w:t>
              </w:r>
            </w:hyperlink>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20" w:type="dxa"/>
            <w:vAlign w:val="bottom"/>
            <w:tcBorders>
              <w:top w:val="single" w:sz="8" w:color="0000EE"/>
            </w:tcBorders>
            <w:gridSpan w:val="13"/>
          </w:tcPr>
          <w:p>
            <w:pPr>
              <w:spacing w:after="0" w:line="196" w:lineRule="exact"/>
              <w:rPr>
                <w:rFonts w:ascii="Arial" w:cs="Arial" w:eastAsia="Arial" w:hAnsi="Arial"/>
                <w:sz w:val="18"/>
                <w:szCs w:val="18"/>
                <w:color w:val="0000EE"/>
                <w:w w:val="98"/>
              </w:rPr>
            </w:pPr>
            <w:hyperlink w:anchor="page93">
              <w:r>
                <w:rPr>
                  <w:rFonts w:ascii="Arial" w:cs="Arial" w:eastAsia="Arial" w:hAnsi="Arial"/>
                  <w:sz w:val="18"/>
                  <w:szCs w:val="18"/>
                  <w:color w:val="0000EE"/>
                  <w:w w:val="98"/>
                </w:rPr>
                <w:t>14(a) under the Securities Exchange Act of 1934, as Adopted Pursuant to</w:t>
              </w:r>
            </w:hyperlink>
          </w:p>
        </w:tc>
        <w:tc>
          <w:tcPr>
            <w:tcW w:w="24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Section 302 of the Sarbanes-Oxley Act of 2002.</w:t>
              </w:r>
            </w:hyperlink>
          </w:p>
        </w:tc>
        <w:tc>
          <w:tcPr>
            <w:tcW w:w="78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7"/>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6060" w:type="dxa"/>
            <w:vAlign w:val="bottom"/>
            <w:gridSpan w:val="17"/>
          </w:tcPr>
          <w:p>
            <w:pPr>
              <w:spacing w:after="0"/>
              <w:rPr>
                <w:rFonts w:ascii="Arial" w:cs="Arial" w:eastAsia="Arial" w:hAnsi="Arial"/>
                <w:sz w:val="18"/>
                <w:szCs w:val="18"/>
                <w:color w:val="0000EE"/>
                <w:w w:val="96"/>
              </w:rPr>
            </w:pPr>
            <w:hyperlink w:anchor="page94">
              <w:r>
                <w:rPr>
                  <w:rFonts w:ascii="Arial" w:cs="Arial" w:eastAsia="Arial" w:hAnsi="Arial"/>
                  <w:sz w:val="18"/>
                  <w:szCs w:val="18"/>
                  <w:color w:val="0000EE"/>
                  <w:w w:val="96"/>
                </w:rPr>
                <w:t>Certification of Principal Executive Officer Pursuant to 18 U.S.C. Section 1350,</w:t>
              </w:r>
            </w:hyperlink>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as Adopted Pursuant to Section 906 of the Sarbanes-Oxley Act of 2002.</w:t>
              </w:r>
            </w:hyperlink>
          </w:p>
        </w:tc>
        <w:tc>
          <w:tcPr>
            <w:tcW w:w="28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gridSpan w:val="9"/>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6060" w:type="dxa"/>
            <w:vAlign w:val="bottom"/>
            <w:gridSpan w:val="17"/>
          </w:tcPr>
          <w:p>
            <w:pPr>
              <w:spacing w:after="0"/>
              <w:rPr>
                <w:rFonts w:ascii="Arial" w:cs="Arial" w:eastAsia="Arial" w:hAnsi="Arial"/>
                <w:sz w:val="18"/>
                <w:szCs w:val="18"/>
                <w:color w:val="0000EE"/>
                <w:w w:val="93"/>
              </w:rPr>
            </w:pPr>
            <w:hyperlink w:anchor="page95">
              <w:r>
                <w:rPr>
                  <w:rFonts w:ascii="Arial" w:cs="Arial" w:eastAsia="Arial" w:hAnsi="Arial"/>
                  <w:sz w:val="18"/>
                  <w:szCs w:val="18"/>
                  <w:color w:val="0000EE"/>
                  <w:w w:val="93"/>
                </w:rPr>
                <w:t>Certification of Principal Financial Officer Pursuant to 18 U.S.C. Section 1350, as</w:t>
              </w:r>
            </w:hyperlink>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Adopted Pursuant to Section 906 of the Sarbanes-Oxley Act of 2002.</w:t>
              </w:r>
            </w:hyperlink>
          </w:p>
        </w:tc>
        <w:tc>
          <w:tcPr>
            <w:tcW w:w="1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498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Inline XBRL Instance Document.</w:t>
            </w:r>
          </w:p>
        </w:tc>
        <w:tc>
          <w:tcPr>
            <w:tcW w:w="1080" w:type="dxa"/>
            <w:vAlign w:val="bottom"/>
            <w:gridSpan w:val="8"/>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60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606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606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60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606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80" w:lineRule="exact"/>
        <w:rPr>
          <w:sz w:val="20"/>
          <w:szCs w:val="20"/>
          <w:color w:val="auto"/>
        </w:rPr>
      </w:pPr>
    </w:p>
    <w:p>
      <w:pPr>
        <w:ind w:left="1040" w:right="3500" w:hanging="1032"/>
        <w:spacing w:after="0" w:line="194" w:lineRule="auto"/>
        <w:tabs>
          <w:tab w:leader="none" w:pos="1040" w:val="left"/>
        </w:tabs>
        <w:numPr>
          <w:ilvl w:val="0"/>
          <w:numId w:val="54"/>
        </w:numPr>
        <w:rPr>
          <w:rFonts w:ascii="Arial" w:cs="Arial" w:eastAsia="Arial" w:hAnsi="Arial"/>
          <w:sz w:val="32"/>
          <w:szCs w:val="32"/>
          <w:color w:val="auto"/>
          <w:vertAlign w:val="subscript"/>
        </w:rPr>
      </w:pPr>
      <w:r>
        <w:rPr>
          <w:rFonts w:ascii="Arial" w:cs="Arial" w:eastAsia="Arial" w:hAnsi="Arial"/>
          <w:sz w:val="16"/>
          <w:szCs w:val="16"/>
          <w:color w:val="auto"/>
        </w:rPr>
        <w:t>The cover page from the Company’s Quarterly Report on Form 10-Q for the quarter ended September 30, 2021 has been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24942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Provided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3810</wp:posOffset>
            </wp:positionV>
            <wp:extent cx="6858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331" w:lineRule="exact"/>
        <w:rPr>
          <w:sz w:val="20"/>
          <w:szCs w:val="20"/>
          <w:color w:val="auto"/>
        </w:rPr>
      </w:pPr>
    </w:p>
    <w:p>
      <w:pPr>
        <w:sectPr>
          <w:pgSz w:w="11900" w:h="16838" w:orient="portrait"/>
          <w:cols w:equalWidth="0" w:num="2">
            <w:col w:w="10040" w:space="440"/>
            <w:col w:w="740"/>
          </w:cols>
          <w:pgMar w:left="320" w:top="337" w:right="359" w:bottom="1440" w:gutter="0" w:footer="0" w:header="0"/>
        </w:sectPr>
      </w:pPr>
    </w:p>
    <w:p>
      <w:pPr>
        <w:spacing w:after="0" w:line="110" w:lineRule="exact"/>
        <w:rPr>
          <w:sz w:val="20"/>
          <w:szCs w:val="20"/>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17" w:lineRule="exact"/>
        <w:rPr>
          <w:sz w:val="20"/>
          <w:szCs w:val="20"/>
          <w:color w:val="auto"/>
        </w:rPr>
      </w:pPr>
    </w:p>
    <w:p>
      <w:pPr>
        <w:ind w:left="380" w:hanging="372"/>
        <w:spacing w:after="0" w:line="279" w:lineRule="auto"/>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ALIGOS THERAPEUTICS, INC.</w:t>
      </w:r>
    </w:p>
    <w:p>
      <w:pPr>
        <w:spacing w:after="0" w:line="225" w:lineRule="exact"/>
        <w:rPr>
          <w:sz w:val="20"/>
          <w:szCs w:val="20"/>
          <w:color w:val="auto"/>
        </w:rPr>
      </w:pPr>
    </w:p>
    <w:p>
      <w:pPr>
        <w:spacing w:after="0"/>
        <w:tabs>
          <w:tab w:leader="none" w:pos="5600" w:val="left"/>
          <w:tab w:leader="none" w:pos="79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Lawrence Blatt</w:t>
      </w:r>
    </w:p>
    <w:p>
      <w:pPr>
        <w:spacing w:after="0" w:line="23"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November 4, 2021</w:t>
            </w: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rPr>
              <w:t>/s/ Lesley Ann Calhoun</w:t>
            </w:r>
          </w:p>
        </w:tc>
      </w:tr>
      <w:tr>
        <w:trPr>
          <w:trHeight w:val="191"/>
        </w:trPr>
        <w:tc>
          <w:tcPr>
            <w:tcW w:w="36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40" w:type="dxa"/>
            <w:vAlign w:val="bottom"/>
          </w:tcPr>
          <w:p>
            <w:pPr>
              <w:jc w:val="right"/>
              <w:ind w:right="1670"/>
              <w:spacing w:after="0" w:line="191" w:lineRule="exact"/>
              <w:rPr>
                <w:sz w:val="20"/>
                <w:szCs w:val="20"/>
                <w:color w:val="auto"/>
              </w:rPr>
            </w:pPr>
            <w:r>
              <w:rPr>
                <w:rFonts w:ascii="Arial" w:cs="Arial" w:eastAsia="Arial" w:hAnsi="Arial"/>
                <w:sz w:val="18"/>
                <w:szCs w:val="18"/>
                <w:b w:val="1"/>
                <w:bCs w:val="1"/>
                <w:color w:val="auto"/>
              </w:rPr>
              <w:t>Lesley Ann Calhoun</w:t>
            </w:r>
          </w:p>
        </w:tc>
      </w:tr>
      <w:tr>
        <w:trPr>
          <w:trHeight w:val="234"/>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jc w:val="right"/>
              <w:ind w:right="1570"/>
              <w:spacing w:after="0"/>
              <w:rPr>
                <w:sz w:val="20"/>
                <w:szCs w:val="20"/>
                <w:color w:val="auto"/>
              </w:rPr>
            </w:pPr>
            <w:r>
              <w:rPr>
                <w:rFonts w:ascii="Arial" w:cs="Arial" w:eastAsia="Arial" w:hAnsi="Arial"/>
                <w:sz w:val="18"/>
                <w:szCs w:val="18"/>
                <w:b w:val="1"/>
                <w:bCs w:val="1"/>
                <w:color w:val="auto"/>
              </w:rPr>
              <w:t>Chief Financial Officer</w:t>
            </w:r>
          </w:p>
        </w:tc>
      </w:tr>
      <w:tr>
        <w:trPr>
          <w:trHeight w:val="648"/>
        </w:trPr>
        <w:tc>
          <w:tcPr>
            <w:tcW w:w="3660" w:type="dxa"/>
            <w:vAlign w:val="bottom"/>
          </w:tcPr>
          <w:p>
            <w:pPr>
              <w:spacing w:after="0"/>
              <w:rPr>
                <w:sz w:val="24"/>
                <w:szCs w:val="24"/>
                <w:color w:val="auto"/>
              </w:rPr>
            </w:pP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86</w:t>
            </w:r>
          </w:p>
        </w:tc>
        <w:tc>
          <w:tcPr>
            <w:tcW w:w="52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Lawrence Blatt, certify that:</w:t>
      </w:r>
    </w:p>
    <w:p>
      <w:pPr>
        <w:spacing w:after="0" w:line="117"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Aligos Therapeutics,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498"/>
        <w:spacing w:after="0" w:line="263"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hanging="498"/>
        <w:spacing w:after="0"/>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1140" w:right="380" w:hanging="498"/>
        <w:spacing w:after="0" w:line="342" w:lineRule="auto"/>
        <w:tabs>
          <w:tab w:leader="none" w:pos="11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80" w:hanging="498"/>
        <w:spacing w:after="0" w:line="263"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498"/>
        <w:spacing w:after="0" w:line="342" w:lineRule="auto"/>
        <w:tabs>
          <w:tab w:leader="none" w:pos="11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00" w:hanging="498"/>
        <w:spacing w:after="0" w:line="277"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20" w:val="left"/>
          <w:tab w:leader="none" w:pos="792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Lawrence Blatt</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240"/>
          </w:cols>
          <w:pgMar w:left="320" w:top="35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Lesley Ann Calhoun, certify that:</w:t>
      </w:r>
    </w:p>
    <w:p>
      <w:pPr>
        <w:spacing w:after="0" w:line="117"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Aligos Therapeutics,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498"/>
        <w:spacing w:after="0" w:line="263"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hanging="498"/>
        <w:spacing w:after="0"/>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1140" w:right="380" w:hanging="498"/>
        <w:spacing w:after="0" w:line="342" w:lineRule="auto"/>
        <w:tabs>
          <w:tab w:leader="none" w:pos="11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80" w:hanging="498"/>
        <w:spacing w:after="0" w:line="263"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498"/>
        <w:spacing w:after="0" w:line="342" w:lineRule="auto"/>
        <w:tabs>
          <w:tab w:leader="none" w:pos="11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00" w:hanging="498"/>
        <w:spacing w:after="0" w:line="277"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20" w:val="left"/>
          <w:tab w:leader="none" w:pos="772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Lesley Ann Calhoun</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connection with the Quarterly Report of Aligos Therapeutics, Inc.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140" w:hanging="498"/>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right="500" w:hanging="498"/>
        <w:spacing w:after="0" w:line="277"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880" w:val="left"/>
          <w:tab w:leader="none" w:pos="806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14605</wp:posOffset>
            </wp:positionV>
            <wp:extent cx="31718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Lawrence Blatt</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240"/>
          </w:cols>
          <w:pgMar w:left="320" w:top="35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connection with the Quarterly Report of Aligos Therapeutics, Inc.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140" w:hanging="498"/>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right="500" w:hanging="498"/>
        <w:spacing w:after="0" w:line="277"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880" w:val="left"/>
          <w:tab w:leader="none" w:pos="78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14605</wp:posOffset>
            </wp:positionV>
            <wp:extent cx="31718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Lesley Ann Calhoun</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2"/>
    </w:lvl>
  </w:abstractNum>
  <w:abstractNum w:abstractNumId="5">
    <w:nsid w:val="4516DDE9"/>
    <w:multiLevelType w:val="hybridMultilevel"/>
    <w:lvl w:ilvl="0">
      <w:lvlJc w:val="left"/>
      <w:lvlText w:val="%1."/>
      <w:numFmt w:val="decimal"/>
      <w:start w:val="3"/>
    </w:lvl>
  </w:abstractNum>
  <w:abstractNum w:abstractNumId="6">
    <w:nsid w:val="3006C83E"/>
    <w:multiLevelType w:val="hybridMultilevel"/>
    <w:lvl w:ilvl="0">
      <w:lvlJc w:val="left"/>
      <w:lvlText w:val="%1."/>
      <w:numFmt w:val="decimal"/>
      <w:start w:val="4"/>
    </w:lvl>
  </w:abstractNum>
  <w:abstractNum w:abstractNumId="7">
    <w:nsid w:val="614FD4A1"/>
    <w:multiLevelType w:val="hybridMultilevel"/>
    <w:lvl w:ilvl="0">
      <w:lvlJc w:val="left"/>
      <w:lvlText w:val="%1."/>
      <w:numFmt w:val="decimal"/>
      <w:start w:val="6"/>
    </w:lvl>
  </w:abstractNum>
  <w:abstractNum w:abstractNumId="8">
    <w:nsid w:val="419AC241"/>
    <w:multiLevelType w:val="hybridMultilevel"/>
    <w:lvl w:ilvl="0">
      <w:lvlJc w:val="left"/>
      <w:lvlText w:val="%1."/>
      <w:numFmt w:val="decimal"/>
      <w:start w:val="7"/>
    </w:lvl>
  </w:abstractNum>
  <w:abstractNum w:abstractNumId="9">
    <w:nsid w:val="5577F8E1"/>
    <w:multiLevelType w:val="hybridMultilevel"/>
    <w:lvl w:ilvl="0">
      <w:lvlJc w:val="left"/>
      <w:lvlText w:val="%1."/>
      <w:numFmt w:val="decimal"/>
      <w:start w:val="8"/>
    </w:lvl>
  </w:abstractNum>
  <w:abstractNum w:abstractNumId="10">
    <w:nsid w:val="440BADFC"/>
    <w:multiLevelType w:val="hybridMultilevel"/>
    <w:lvl w:ilvl="0">
      <w:lvlJc w:val="left"/>
      <w:lvlText w:val="%1."/>
      <w:numFmt w:val="decimal"/>
      <w:start w:val="9"/>
    </w:lvl>
  </w:abstractNum>
  <w:abstractNum w:abstractNumId="11">
    <w:nsid w:val="5072367"/>
    <w:multiLevelType w:val="hybridMultilevel"/>
    <w:lvl w:ilvl="0">
      <w:lvlJc w:val="left"/>
      <w:lvlText w:val="%1."/>
      <w:numFmt w:val="decimal"/>
      <w:start w:val="10"/>
    </w:lvl>
  </w:abstractNum>
  <w:abstractNum w:abstractNumId="12">
    <w:nsid w:val="3804823E"/>
    <w:multiLevelType w:val="hybridMultilevel"/>
    <w:lvl w:ilvl="0">
      <w:lvlJc w:val="left"/>
      <w:lvlText w:val="%1."/>
      <w:numFmt w:val="decimal"/>
      <w:start w:val="11"/>
    </w:lvl>
  </w:abstractNum>
  <w:abstractNum w:abstractNumId="13">
    <w:nsid w:val="77465F01"/>
    <w:multiLevelType w:val="hybridMultilevel"/>
    <w:lvl w:ilvl="0">
      <w:lvlJc w:val="left"/>
      <w:lvlText w:val="%1."/>
      <w:numFmt w:val="decimal"/>
      <w:start w:val="13"/>
    </w:lvl>
  </w:abstractNum>
  <w:abstractNum w:abstractNumId="14">
    <w:nsid w:val="7724C67E"/>
    <w:multiLevelType w:val="hybridMultilevel"/>
    <w:lvl w:ilvl="0">
      <w:lvlJc w:val="left"/>
      <w:lvlText w:val="%1."/>
      <w:numFmt w:val="decimal"/>
      <w:start w:val="14"/>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decimal"/>
      <w:start w:val="104"/>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12" Type="http://schemas.openxmlformats.org/officeDocument/2006/relationships/hyperlink" Target="http://www.sec.gov/Archives/edgar/data/1799448/000119312520272852/d46540dex31.htm" TargetMode="External"/><Relationship Id="rId113" Type="http://schemas.openxmlformats.org/officeDocument/2006/relationships/hyperlink" Target="http://www.sec.gov/Archives/edgar/data/1799448/000119312520272852/d46540dex32.htm" TargetMode="External"/><Relationship Id="rId114" Type="http://schemas.openxmlformats.org/officeDocument/2006/relationships/hyperlink" Target="http://www.sec.gov/Archives/edgar/data/1799448/000119312520267346/d3140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2021-11-04T15:56:26Z</dcterms:created>
  <dcterms:modified xsi:type="dcterms:W3CDTF">2021-11-04T15:56:26Z</dcterms:modified>
</cp:coreProperties>
</file>