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Preston Heather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ALIGOS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CORPORATE DRIVE,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Aligos Therapeutics, Inc.</w:t>
              </w:r>
            </w:hyperlink>
            <w:r>
              <w:rPr/>
              <w:t xml:space="preserve"> [ </w:t>
            </w:r>
            <w:r>
              <w:rPr>
                <w:rFonts w:ascii="Times;serif" w:hAnsi="Times;serif"/>
                <w:color w:val="0000FF"/>
                <w:sz w:val="24"/>
                <w:shd w:fill="FFFFFF" w:val="clear"/>
              </w:rPr>
              <w:t>ALGS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and become exercisable as to 100% of the total number of shares subject to the option on the earlier of the first anniversary of the grant date or immediately prior to the annual meeting in 2027 of the Issuer's stockholders, subject to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Lesley Ann Calhoun, as attorney-in fact for Heather Preston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6826" TargetMode="External"/><Relationship Id="rId5" Type="http://schemas.openxmlformats.org/officeDocument/2006/relationships/hyperlink" Target="http://www.sec.gov/cgi-bin/browse-edgar?action=getcompany&amp;CIK=0001799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3418</Characters>
  <CharactersWithSpaces>3993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