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29"/>
          <w:szCs w:val="29"/>
          <w:color w:val="auto"/>
          <w:highlight w:val="black"/>
          <w:vertAlign w:val="superscript"/>
        </w:rPr>
      </w:pPr>
      <w:r>
        <w:rPr>
          <w:rFonts w:ascii="Arial" w:cs="Arial" w:eastAsia="Arial" w:hAnsi="Arial"/>
          <w:sz w:val="14"/>
          <w:szCs w:val="14"/>
          <w:b w:val="1"/>
          <w:bCs w:val="1"/>
          <w:color w:val="auto"/>
        </w:rPr>
        <w:t>ANNUAL REPORT PURSUANT TO SECTION 13 OR 15(d) OF THE SECURITIES EXCHANGE ACT OF 1934</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26" w:lineRule="exact"/>
        <w:rPr>
          <w:sz w:val="24"/>
          <w:szCs w:val="24"/>
          <w:color w:val="auto"/>
        </w:rPr>
      </w:pPr>
    </w:p>
    <w:p>
      <w:pPr>
        <w:ind w:left="480" w:right="740" w:hanging="459"/>
        <w:spacing w:after="0"/>
        <w:tabs>
          <w:tab w:leader="none" w:pos="480" w:val="left"/>
        </w:tabs>
        <w:numPr>
          <w:ilvl w:val="0"/>
          <w:numId w:val="2"/>
        </w:numPr>
        <w:rPr>
          <w:rFonts w:ascii="MS PGothic" w:cs="MS PGothic" w:eastAsia="MS PGothic" w:hAnsi="MS PGothic"/>
          <w:sz w:val="29"/>
          <w:szCs w:val="29"/>
          <w:color w:val="auto"/>
          <w:highlight w:val="black"/>
          <w:vertAlign w:val="superscript"/>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pacing w:after="0" w:line="79"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Commission File Number: 001-39617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Aligos Therapeutics, Inc.</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8" w:lineRule="exact"/>
        <w:rPr>
          <w:sz w:val="24"/>
          <w:szCs w:val="24"/>
          <w:color w:val="auto"/>
        </w:rPr>
      </w:pPr>
    </w:p>
    <w:tbl>
      <w:tblPr>
        <w:tblLayout w:type="fixed"/>
        <w:tblInd w:w="1780" w:type="dxa"/>
        <w:tblCellMar>
          <w:top w:w="0" w:type="dxa"/>
          <w:left w:w="0" w:type="dxa"/>
          <w:bottom w:w="0" w:type="dxa"/>
          <w:right w:w="0" w:type="dxa"/>
        </w:tblCellMar>
      </w:tblPr>
      <w:tr>
        <w:trPr>
          <w:trHeight w:val="176"/>
        </w:trPr>
        <w:tc>
          <w:tcPr>
            <w:tcW w:w="4120" w:type="dxa"/>
            <w:vAlign w:val="bottom"/>
          </w:tcPr>
          <w:p>
            <w:pPr>
              <w:jc w:val="center"/>
              <w:ind w:right="1973"/>
              <w:spacing w:after="0"/>
              <w:rPr>
                <w:sz w:val="20"/>
                <w:szCs w:val="20"/>
                <w:color w:val="auto"/>
              </w:rPr>
            </w:pPr>
            <w:r>
              <w:rPr>
                <w:rFonts w:ascii="Arial" w:cs="Arial" w:eastAsia="Arial" w:hAnsi="Arial"/>
                <w:sz w:val="14"/>
                <w:szCs w:val="14"/>
                <w:color w:val="auto"/>
                <w:w w:val="94"/>
              </w:rPr>
              <w:t>Delaware</w:t>
            </w:r>
          </w:p>
        </w:tc>
        <w:tc>
          <w:tcPr>
            <w:tcW w:w="3020" w:type="dxa"/>
            <w:vAlign w:val="bottom"/>
          </w:tcPr>
          <w:p>
            <w:pPr>
              <w:jc w:val="right"/>
              <w:ind w:right="73"/>
              <w:spacing w:after="0"/>
              <w:rPr>
                <w:sz w:val="20"/>
                <w:szCs w:val="20"/>
                <w:color w:val="auto"/>
              </w:rPr>
            </w:pPr>
            <w:r>
              <w:rPr>
                <w:rFonts w:ascii="Arial" w:cs="Arial" w:eastAsia="Arial" w:hAnsi="Arial"/>
                <w:sz w:val="14"/>
                <w:szCs w:val="14"/>
                <w:color w:val="auto"/>
              </w:rPr>
              <w:t>82-4724808</w:t>
            </w:r>
          </w:p>
        </w:tc>
      </w:tr>
      <w:tr>
        <w:trPr>
          <w:trHeight w:val="135"/>
        </w:trPr>
        <w:tc>
          <w:tcPr>
            <w:tcW w:w="4120" w:type="dxa"/>
            <w:vAlign w:val="bottom"/>
          </w:tcPr>
          <w:p>
            <w:pPr>
              <w:jc w:val="center"/>
              <w:ind w:right="199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73"/>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40"/>
        </w:trPr>
        <w:tc>
          <w:tcPr>
            <w:tcW w:w="4120" w:type="dxa"/>
            <w:vAlign w:val="bottom"/>
          </w:tcPr>
          <w:p>
            <w:pPr>
              <w:jc w:val="center"/>
              <w:ind w:right="1973"/>
              <w:spacing w:after="0" w:line="141" w:lineRule="exact"/>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73"/>
              <w:spacing w:after="0" w:line="141" w:lineRule="exact"/>
              <w:rPr>
                <w:sz w:val="20"/>
                <w:szCs w:val="20"/>
                <w:color w:val="auto"/>
              </w:rPr>
            </w:pPr>
            <w:r>
              <w:rPr>
                <w:rFonts w:ascii="Arial" w:cs="Arial" w:eastAsia="Arial" w:hAnsi="Arial"/>
                <w:sz w:val="13"/>
                <w:szCs w:val="13"/>
                <w:b w:val="1"/>
                <w:bCs w:val="1"/>
                <w:color w:val="auto"/>
                <w:w w:val="89"/>
              </w:rPr>
              <w:t>Identification No.)</w:t>
            </w:r>
          </w:p>
        </w:tc>
      </w:tr>
      <w:tr>
        <w:trPr>
          <w:trHeight w:val="170"/>
        </w:trPr>
        <w:tc>
          <w:tcPr>
            <w:tcW w:w="4120" w:type="dxa"/>
            <w:vAlign w:val="bottom"/>
          </w:tcPr>
          <w:p>
            <w:pPr>
              <w:jc w:val="center"/>
              <w:ind w:right="1973"/>
              <w:spacing w:after="0" w:line="170" w:lineRule="exact"/>
              <w:rPr>
                <w:sz w:val="20"/>
                <w:szCs w:val="20"/>
                <w:color w:val="auto"/>
              </w:rPr>
            </w:pPr>
            <w:r>
              <w:rPr>
                <w:rFonts w:ascii="Arial" w:cs="Arial" w:eastAsia="Arial" w:hAnsi="Arial"/>
                <w:sz w:val="14"/>
                <w:szCs w:val="14"/>
                <w:color w:val="auto"/>
                <w:w w:val="92"/>
              </w:rPr>
              <w:t>One Corporate Drive, 2</w:t>
            </w:r>
            <w:r>
              <w:rPr>
                <w:rFonts w:ascii="Arial" w:cs="Arial" w:eastAsia="Arial" w:hAnsi="Arial"/>
                <w:sz w:val="19"/>
                <w:szCs w:val="19"/>
                <w:color w:val="auto"/>
                <w:w w:val="92"/>
                <w:vertAlign w:val="superscript"/>
              </w:rPr>
              <w:t>nd</w:t>
            </w:r>
            <w:r>
              <w:rPr>
                <w:rFonts w:ascii="Arial" w:cs="Arial" w:eastAsia="Arial" w:hAnsi="Arial"/>
                <w:sz w:val="14"/>
                <w:szCs w:val="14"/>
                <w:color w:val="auto"/>
                <w:w w:val="92"/>
              </w:rPr>
              <w:t xml:space="preserve"> Floor</w:t>
            </w:r>
          </w:p>
        </w:tc>
        <w:tc>
          <w:tcPr>
            <w:tcW w:w="3020" w:type="dxa"/>
            <w:vAlign w:val="bottom"/>
          </w:tcPr>
          <w:p>
            <w:pPr>
              <w:spacing w:after="0"/>
              <w:rPr>
                <w:sz w:val="14"/>
                <w:szCs w:val="14"/>
                <w:color w:val="auto"/>
              </w:rPr>
            </w:pPr>
          </w:p>
        </w:tc>
      </w:tr>
      <w:tr>
        <w:trPr>
          <w:trHeight w:val="176"/>
        </w:trPr>
        <w:tc>
          <w:tcPr>
            <w:tcW w:w="4120" w:type="dxa"/>
            <w:vAlign w:val="bottom"/>
          </w:tcPr>
          <w:p>
            <w:pPr>
              <w:jc w:val="center"/>
              <w:ind w:right="1973"/>
              <w:spacing w:after="0"/>
              <w:rPr>
                <w:sz w:val="20"/>
                <w:szCs w:val="20"/>
                <w:color w:val="auto"/>
              </w:rPr>
            </w:pPr>
            <w:r>
              <w:rPr>
                <w:rFonts w:ascii="Arial" w:cs="Arial" w:eastAsia="Arial" w:hAnsi="Arial"/>
                <w:sz w:val="14"/>
                <w:szCs w:val="14"/>
                <w:color w:val="auto"/>
                <w:w w:val="93"/>
              </w:rPr>
              <w:t>South San Francisco, California</w:t>
            </w:r>
          </w:p>
        </w:tc>
        <w:tc>
          <w:tcPr>
            <w:tcW w:w="3020" w:type="dxa"/>
            <w:vAlign w:val="bottom"/>
          </w:tcPr>
          <w:p>
            <w:pPr>
              <w:jc w:val="right"/>
              <w:ind w:right="233"/>
              <w:spacing w:after="0"/>
              <w:rPr>
                <w:sz w:val="20"/>
                <w:szCs w:val="20"/>
                <w:color w:val="auto"/>
              </w:rPr>
            </w:pPr>
            <w:r>
              <w:rPr>
                <w:rFonts w:ascii="Arial" w:cs="Arial" w:eastAsia="Arial" w:hAnsi="Arial"/>
                <w:sz w:val="14"/>
                <w:szCs w:val="14"/>
                <w:color w:val="auto"/>
              </w:rPr>
              <w:t>94080</w:t>
            </w:r>
          </w:p>
        </w:tc>
      </w:tr>
      <w:tr>
        <w:trPr>
          <w:trHeight w:val="164"/>
        </w:trPr>
        <w:tc>
          <w:tcPr>
            <w:tcW w:w="4120" w:type="dxa"/>
            <w:vAlign w:val="bottom"/>
          </w:tcPr>
          <w:p>
            <w:pPr>
              <w:jc w:val="center"/>
              <w:ind w:right="197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73"/>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ind w:left="3000"/>
        <w:spacing w:after="0"/>
        <w:rPr>
          <w:sz w:val="20"/>
          <w:szCs w:val="20"/>
          <w:color w:val="auto"/>
        </w:rPr>
      </w:pPr>
      <w:r>
        <w:rPr>
          <w:rFonts w:ascii="Arial" w:cs="Arial" w:eastAsia="Arial" w:hAnsi="Arial"/>
          <w:sz w:val="18"/>
          <w:szCs w:val="18"/>
          <w:b w:val="1"/>
          <w:bCs w:val="1"/>
          <w:color w:val="auto"/>
        </w:rPr>
        <w:t>Registrant’s telephone number, including area code: (800) 466-6059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7"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Title of each class</w:t>
            </w:r>
          </w:p>
        </w:tc>
        <w:tc>
          <w:tcPr>
            <w:tcW w:w="120" w:type="dxa"/>
            <w:vAlign w:val="bottom"/>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Trading Symbol(s)</w:t>
            </w:r>
          </w:p>
        </w:tc>
        <w:tc>
          <w:tcPr>
            <w:tcW w:w="100" w:type="dxa"/>
            <w:vAlign w:val="bottom"/>
          </w:tcPr>
          <w:p>
            <w:pPr>
              <w:spacing w:after="0"/>
              <w:rPr>
                <w:sz w:val="14"/>
                <w:szCs w:val="1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138"/>
        </w:trPr>
        <w:tc>
          <w:tcPr>
            <w:tcW w:w="4400" w:type="dxa"/>
            <w:vAlign w:val="bottom"/>
          </w:tcPr>
          <w:p>
            <w:pPr>
              <w:jc w:val="center"/>
              <w:spacing w:after="0" w:line="138" w:lineRule="exact"/>
              <w:rPr>
                <w:sz w:val="20"/>
                <w:szCs w:val="20"/>
                <w:color w:val="auto"/>
              </w:rPr>
            </w:pPr>
            <w:r>
              <w:rPr>
                <w:rFonts w:ascii="Arial" w:cs="Arial" w:eastAsia="Arial" w:hAnsi="Arial"/>
                <w:sz w:val="14"/>
                <w:szCs w:val="14"/>
                <w:color w:val="auto"/>
                <w:w w:val="92"/>
              </w:rPr>
              <w:t>Common Stock, par value, $0.0001 per share</w:t>
            </w:r>
          </w:p>
        </w:tc>
        <w:tc>
          <w:tcPr>
            <w:tcW w:w="120" w:type="dxa"/>
            <w:vAlign w:val="bottom"/>
          </w:tcPr>
          <w:p>
            <w:pPr>
              <w:spacing w:after="0"/>
              <w:rPr>
                <w:sz w:val="12"/>
                <w:szCs w:val="12"/>
                <w:color w:val="auto"/>
              </w:rPr>
            </w:pPr>
          </w:p>
        </w:tc>
        <w:tc>
          <w:tcPr>
            <w:tcW w:w="2240" w:type="dxa"/>
            <w:vAlign w:val="bottom"/>
          </w:tcPr>
          <w:p>
            <w:pPr>
              <w:jc w:val="center"/>
              <w:spacing w:after="0" w:line="138" w:lineRule="exact"/>
              <w:rPr>
                <w:sz w:val="20"/>
                <w:szCs w:val="20"/>
                <w:color w:val="auto"/>
              </w:rPr>
            </w:pPr>
            <w:r>
              <w:rPr>
                <w:rFonts w:ascii="Arial" w:cs="Arial" w:eastAsia="Arial" w:hAnsi="Arial"/>
                <w:sz w:val="14"/>
                <w:szCs w:val="14"/>
                <w:color w:val="auto"/>
              </w:rPr>
              <w:t>ALGS</w:t>
            </w:r>
          </w:p>
        </w:tc>
        <w:tc>
          <w:tcPr>
            <w:tcW w:w="100" w:type="dxa"/>
            <w:vAlign w:val="bottom"/>
          </w:tcPr>
          <w:p>
            <w:pPr>
              <w:spacing w:after="0"/>
              <w:rPr>
                <w:sz w:val="12"/>
                <w:szCs w:val="12"/>
                <w:color w:val="auto"/>
              </w:rPr>
            </w:pPr>
          </w:p>
        </w:tc>
        <w:tc>
          <w:tcPr>
            <w:tcW w:w="4380" w:type="dxa"/>
            <w:vAlign w:val="bottom"/>
          </w:tcPr>
          <w:p>
            <w:pPr>
              <w:jc w:val="center"/>
              <w:spacing w:after="0" w:line="138" w:lineRule="exact"/>
              <w:rPr>
                <w:sz w:val="20"/>
                <w:szCs w:val="20"/>
                <w:color w:val="auto"/>
              </w:rPr>
            </w:pPr>
            <w:r>
              <w:rPr>
                <w:rFonts w:ascii="Arial" w:cs="Arial" w:eastAsia="Arial" w:hAnsi="Arial"/>
                <w:sz w:val="14"/>
                <w:szCs w:val="14"/>
                <w:color w:val="auto"/>
                <w:w w:val="95"/>
              </w:rPr>
              <w:t>The Nasdaq Stock Market LLC</w:t>
            </w:r>
          </w:p>
        </w:tc>
      </w:tr>
      <w:tr>
        <w:trPr>
          <w:trHeight w:val="182"/>
        </w:trPr>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jc w:val="center"/>
              <w:spacing w:after="0"/>
              <w:rPr>
                <w:sz w:val="20"/>
                <w:szCs w:val="20"/>
                <w:color w:val="auto"/>
              </w:rPr>
            </w:pPr>
            <w:r>
              <w:rPr>
                <w:rFonts w:ascii="Arial" w:cs="Arial" w:eastAsia="Arial" w:hAnsi="Arial"/>
                <w:sz w:val="14"/>
                <w:szCs w:val="14"/>
                <w:color w:val="auto"/>
                <w:w w:val="92"/>
              </w:rPr>
              <w:t>(Nasdaq Global Select Market)</w:t>
            </w:r>
          </w:p>
        </w:tc>
      </w:tr>
      <w:tr>
        <w:trPr>
          <w:trHeight w:val="230"/>
        </w:trPr>
        <w:tc>
          <w:tcPr>
            <w:tcW w:w="4400" w:type="dxa"/>
            <w:vAlign w:val="bottom"/>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tcPr>
          <w:p>
            <w:pPr>
              <w:spacing w:after="0"/>
              <w:rPr>
                <w:sz w:val="19"/>
                <w:szCs w:val="19"/>
                <w:color w:val="auto"/>
              </w:rPr>
            </w:pPr>
          </w:p>
        </w:tc>
      </w:tr>
    </w:tbl>
    <w:p>
      <w:pPr>
        <w:spacing w:after="0" w:line="6" w:lineRule="exact"/>
        <w:rPr>
          <w:sz w:val="24"/>
          <w:szCs w:val="24"/>
          <w:color w:val="auto"/>
        </w:rPr>
      </w:pPr>
    </w:p>
    <w:p>
      <w:pPr>
        <w:ind w:right="3540"/>
        <w:spacing w:after="0" w:line="22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38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19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10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320"/>
              <w:spacing w:after="0"/>
              <w:rPr>
                <w:sz w:val="20"/>
                <w:szCs w:val="20"/>
                <w:color w:val="auto"/>
              </w:rPr>
            </w:pPr>
            <w:r>
              <w:rPr>
                <w:rFonts w:ascii="Arial" w:cs="Arial" w:eastAsia="Arial" w:hAnsi="Arial"/>
                <w:sz w:val="15"/>
                <w:szCs w:val="15"/>
                <w:color w:val="auto"/>
              </w:rPr>
              <w:t>Accelerated filer</w:t>
            </w:r>
          </w:p>
        </w:tc>
        <w:tc>
          <w:tcPr>
            <w:tcW w:w="2960" w:type="dxa"/>
            <w:vAlign w:val="bottom"/>
          </w:tcPr>
          <w:p>
            <w:pPr>
              <w:ind w:left="28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401"/>
        </w:trPr>
        <w:tc>
          <w:tcPr>
            <w:tcW w:w="1940" w:type="dxa"/>
            <w:vAlign w:val="bottom"/>
          </w:tcPr>
          <w:p>
            <w:pPr>
              <w:spacing w:after="0"/>
              <w:rPr>
                <w:sz w:val="20"/>
                <w:szCs w:val="20"/>
                <w:color w:val="auto"/>
              </w:rPr>
            </w:pPr>
            <w:r>
              <w:rPr>
                <w:rFonts w:ascii="Arial" w:cs="Arial" w:eastAsia="Arial" w:hAnsi="Arial"/>
                <w:sz w:val="15"/>
                <w:szCs w:val="15"/>
                <w:color w:val="auto"/>
              </w:rPr>
              <w:t>Non-accelerated filer</w:t>
            </w:r>
          </w:p>
        </w:tc>
        <w:tc>
          <w:tcPr>
            <w:tcW w:w="10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320"/>
              <w:spacing w:after="0"/>
              <w:rPr>
                <w:sz w:val="20"/>
                <w:szCs w:val="20"/>
                <w:color w:val="auto"/>
              </w:rPr>
            </w:pPr>
            <w:r>
              <w:rPr>
                <w:rFonts w:ascii="Arial" w:cs="Arial" w:eastAsia="Arial" w:hAnsi="Arial"/>
                <w:sz w:val="15"/>
                <w:szCs w:val="15"/>
                <w:color w:val="auto"/>
              </w:rPr>
              <w:t>Smaller reporting company</w:t>
            </w:r>
          </w:p>
        </w:tc>
        <w:tc>
          <w:tcPr>
            <w:tcW w:w="2960" w:type="dxa"/>
            <w:vAlign w:val="bottom"/>
          </w:tcPr>
          <w:p>
            <w:pPr>
              <w:ind w:left="28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18"/>
        </w:trPr>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20" w:type="dxa"/>
            <w:vAlign w:val="bottom"/>
          </w:tcPr>
          <w:p>
            <w:pPr>
              <w:ind w:left="320"/>
              <w:spacing w:after="0"/>
              <w:rPr>
                <w:sz w:val="20"/>
                <w:szCs w:val="20"/>
                <w:color w:val="auto"/>
              </w:rPr>
            </w:pPr>
            <w:r>
              <w:rPr>
                <w:rFonts w:ascii="Arial" w:cs="Arial" w:eastAsia="Arial" w:hAnsi="Arial"/>
                <w:sz w:val="15"/>
                <w:szCs w:val="15"/>
                <w:color w:val="auto"/>
              </w:rPr>
              <w:t>Emerging growth company</w:t>
            </w:r>
          </w:p>
        </w:tc>
        <w:tc>
          <w:tcPr>
            <w:tcW w:w="2960" w:type="dxa"/>
            <w:vAlign w:val="bottom"/>
          </w:tcPr>
          <w:p>
            <w:pPr>
              <w:ind w:left="28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85" w:lineRule="exact"/>
        <w:rPr>
          <w:sz w:val="24"/>
          <w:szCs w:val="24"/>
          <w:color w:val="auto"/>
        </w:rPr>
      </w:pPr>
    </w:p>
    <w:p>
      <w:pPr>
        <w:ind w:right="5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236"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audit report. </w:t>
      </w:r>
      <w:r>
        <w:rPr>
          <w:rFonts w:ascii="MS PGothic" w:cs="MS PGothic" w:eastAsia="MS PGothic" w:hAnsi="MS PGothic"/>
          <w:sz w:val="14"/>
          <w:szCs w:val="14"/>
          <w:color w:val="auto"/>
        </w:rPr>
        <w:t>☐</w:t>
      </w:r>
    </w:p>
    <w:p>
      <w:pPr>
        <w:spacing w:after="0" w:line="143"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13"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checkmark whether any of those error corrections are restatements that required a recovery analysis of incentive-based compensation received by any of the registrant's executive</w:t>
      </w:r>
    </w:p>
    <w:p>
      <w:pPr>
        <w:spacing w:after="0" w:line="19" w:lineRule="exact"/>
        <w:rPr>
          <w:sz w:val="24"/>
          <w:szCs w:val="24"/>
          <w:color w:val="auto"/>
        </w:rPr>
      </w:pPr>
    </w:p>
    <w:p>
      <w:pPr>
        <w:spacing w:after="0" w:line="161" w:lineRule="exact"/>
        <w:tabs>
          <w:tab w:leader="none" w:pos="5460" w:val="left"/>
        </w:tabs>
        <w:rPr>
          <w:sz w:val="20"/>
          <w:szCs w:val="20"/>
          <w:color w:val="auto"/>
        </w:rPr>
      </w:pPr>
      <w:r>
        <w:rPr>
          <w:rFonts w:ascii="Arial" w:cs="Arial" w:eastAsia="Arial" w:hAnsi="Arial"/>
          <w:sz w:val="14"/>
          <w:szCs w:val="14"/>
          <w:color w:val="auto"/>
        </w:rPr>
        <w:t>officers during the relevant recover period pursuant to Section 240.10D-1(b).</w:t>
      </w:r>
      <w:r>
        <w:rPr>
          <w:sz w:val="20"/>
          <w:szCs w:val="20"/>
          <w:color w:val="auto"/>
        </w:rPr>
        <w:tab/>
      </w:r>
      <w:r>
        <w:rPr>
          <w:rFonts w:ascii="MS PGothic" w:cs="MS PGothic" w:eastAsia="MS PGothic" w:hAnsi="MS PGothic"/>
          <w:sz w:val="14"/>
          <w:szCs w:val="14"/>
          <w:color w:val="auto"/>
        </w:rPr>
        <w:t>☐</w:t>
      </w:r>
    </w:p>
    <w:p>
      <w:pPr>
        <w:spacing w:after="0" w:line="15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31" w:lineRule="exact"/>
        <w:rPr>
          <w:sz w:val="24"/>
          <w:szCs w:val="24"/>
          <w:color w:val="auto"/>
        </w:rPr>
      </w:pPr>
    </w:p>
    <w:p>
      <w:pPr>
        <w:ind w:right="40"/>
        <w:spacing w:after="0" w:line="233" w:lineRule="auto"/>
        <w:rPr>
          <w:sz w:val="20"/>
          <w:szCs w:val="20"/>
          <w:color w:val="auto"/>
        </w:rPr>
      </w:pPr>
      <w:r>
        <w:rPr>
          <w:rFonts w:ascii="Arial" w:cs="Arial" w:eastAsia="Arial" w:hAnsi="Arial"/>
          <w:sz w:val="14"/>
          <w:szCs w:val="14"/>
          <w:color w:val="auto"/>
        </w:rPr>
        <w:t>The aggregate market value of common stock held by non-affiliates of the Registrant was approximately $35.2 million as of June 30, 2022, the last business day of the Registrant's most recently completed second fiscal quarter, based on (i) 42,809,339 shares of common stock, $0.0001 par value per share, outstanding, comprised of 39,717,001 shares of voting common stock, $0.0001 par value per share and 3,092,338 shares of non-voting common stock, $0.0001 par value per share, and (ii) the closing sales price for the Registrant’s common stock on the Nasdaq Global Select Market on such date.</w:t>
      </w:r>
    </w:p>
    <w:p>
      <w:pPr>
        <w:spacing w:after="0" w:line="158" w:lineRule="exact"/>
        <w:rPr>
          <w:sz w:val="24"/>
          <w:szCs w:val="24"/>
          <w:color w:val="auto"/>
        </w:rPr>
      </w:pPr>
    </w:p>
    <w:p>
      <w:pPr>
        <w:ind w:right="300"/>
        <w:spacing w:after="0" w:line="253" w:lineRule="auto"/>
        <w:rPr>
          <w:sz w:val="20"/>
          <w:szCs w:val="20"/>
          <w:color w:val="auto"/>
        </w:rPr>
      </w:pPr>
      <w:r>
        <w:rPr>
          <w:rFonts w:ascii="Arial" w:cs="Arial" w:eastAsia="Arial" w:hAnsi="Arial"/>
          <w:sz w:val="14"/>
          <w:szCs w:val="14"/>
          <w:color w:val="auto"/>
        </w:rPr>
        <w:t>As of March 6, 2023, the Registrant had 42,940,089 shares of common stock, $0.0001 par value per share, outstanding, comprised of 39,847,751 shares of voting common stock, $0.0001 par value per share and 3,092,338 shares of non-voting common stock, $0.0001 par value per share.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ind w:right="140"/>
        <w:spacing w:after="0" w:line="253" w:lineRule="auto"/>
        <w:rPr>
          <w:sz w:val="20"/>
          <w:szCs w:val="20"/>
          <w:color w:val="auto"/>
        </w:rPr>
      </w:pPr>
      <w:r>
        <w:rPr>
          <w:rFonts w:ascii="Arial" w:cs="Arial" w:eastAsia="Arial" w:hAnsi="Arial"/>
          <w:sz w:val="14"/>
          <w:szCs w:val="14"/>
          <w:color w:val="auto"/>
        </w:rPr>
        <w:t>Portions of the Registrant’s Definitive Proxy Statement relating to the 2023 Annual Meeting of Stockholders, which will be filed with the Securities and Exchange Commission within 120 days after the end of the Registrant’s fiscal year ended December 31, 2022,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980" w:type="dxa"/>
            <w:vAlign w:val="bottom"/>
            <w:gridSpan w:val="9"/>
          </w:tcPr>
          <w:p>
            <w:pPr>
              <w:ind w:left="4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563C1"/>
            </w:tcBorders>
          </w:tcPr>
          <w:p>
            <w:pPr>
              <w:spacing w:after="0" w:line="190" w:lineRule="exact"/>
              <w:rPr>
                <w:sz w:val="20"/>
                <w:szCs w:val="20"/>
                <w:color w:val="auto"/>
              </w:rPr>
            </w:pPr>
            <w:r>
              <w:rPr>
                <w:rFonts w:ascii="Arial" w:cs="Arial" w:eastAsia="Arial" w:hAnsi="Arial"/>
                <w:sz w:val="18"/>
                <w:szCs w:val="18"/>
                <w:color w:val="0563C1"/>
                <w:w w:val="84"/>
              </w:rPr>
              <w:t>Business</w:t>
            </w:r>
          </w:p>
        </w:tc>
        <w:tc>
          <w:tcPr>
            <w:tcW w:w="8660" w:type="dxa"/>
            <w:vAlign w:val="bottom"/>
            <w:gridSpan w:val="20"/>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300" w:type="dxa"/>
            <w:vAlign w:val="bottom"/>
            <w:gridSpan w:val="21"/>
          </w:tcPr>
          <w:p>
            <w:pPr>
              <w:spacing w:after="0"/>
              <w:rPr>
                <w:sz w:val="20"/>
                <w:szCs w:val="20"/>
                <w:color w:val="auto"/>
              </w:rPr>
            </w:pPr>
            <w:r>
              <w:rPr>
                <w:rFonts w:ascii="Arial" w:cs="Arial" w:eastAsia="Arial" w:hAnsi="Arial"/>
                <w:sz w:val="18"/>
                <w:szCs w:val="18"/>
                <w:color w:val="0563C1"/>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300" w:type="dxa"/>
            <w:vAlign w:val="bottom"/>
            <w:gridSpan w:val="21"/>
          </w:tcPr>
          <w:p>
            <w:pPr>
              <w:spacing w:after="0"/>
              <w:rPr>
                <w:sz w:val="20"/>
                <w:szCs w:val="20"/>
                <w:color w:val="auto"/>
              </w:rPr>
            </w:pPr>
            <w:r>
              <w:rPr>
                <w:rFonts w:ascii="Arial" w:cs="Arial" w:eastAsia="Arial" w:hAnsi="Arial"/>
                <w:sz w:val="18"/>
                <w:szCs w:val="18"/>
                <w:color w:val="0563C1"/>
              </w:rPr>
              <w:t>Unresolved Staff Comments</w:t>
            </w: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563C1"/>
            </w:tcBorders>
            <w:gridSpan w:val="9"/>
          </w:tcPr>
          <w:p>
            <w:pPr>
              <w:spacing w:after="0"/>
              <w:rPr>
                <w:sz w:val="20"/>
                <w:szCs w:val="20"/>
                <w:color w:val="auto"/>
              </w:rPr>
            </w:pPr>
            <w:r>
              <w:rPr>
                <w:rFonts w:ascii="Arial" w:cs="Arial" w:eastAsia="Arial" w:hAnsi="Arial"/>
                <w:sz w:val="18"/>
                <w:szCs w:val="18"/>
                <w:color w:val="0563C1"/>
              </w:rPr>
              <w:t>Properties</w:t>
            </w:r>
          </w:p>
        </w:tc>
        <w:tc>
          <w:tcPr>
            <w:tcW w:w="72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3.</w:t>
            </w:r>
          </w:p>
        </w:tc>
        <w:tc>
          <w:tcPr>
            <w:tcW w:w="9300" w:type="dxa"/>
            <w:vAlign w:val="bottom"/>
            <w:gridSpan w:val="21"/>
          </w:tcPr>
          <w:p>
            <w:pPr>
              <w:spacing w:after="0"/>
              <w:rPr>
                <w:sz w:val="20"/>
                <w:szCs w:val="20"/>
                <w:color w:val="auto"/>
              </w:rPr>
            </w:pPr>
            <w:r>
              <w:rPr>
                <w:rFonts w:ascii="Arial" w:cs="Arial" w:eastAsia="Arial" w:hAnsi="Arial"/>
                <w:sz w:val="18"/>
                <w:szCs w:val="18"/>
                <w:color w:val="0563C1"/>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gridSpan w:val="3"/>
            <w:shd w:val="clear" w:color="auto" w:fill="0563C1"/>
          </w:tcPr>
          <w:p>
            <w:pPr>
              <w:spacing w:after="0" w:line="20" w:lineRule="exact"/>
              <w:rPr>
                <w:sz w:val="1"/>
                <w:szCs w:val="1"/>
                <w:color w:val="auto"/>
              </w:rPr>
            </w:pPr>
          </w:p>
        </w:tc>
        <w:tc>
          <w:tcPr>
            <w:tcW w:w="520" w:type="dxa"/>
            <w:vAlign w:val="bottom"/>
            <w:gridSpan w:val="2"/>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4.</w:t>
            </w:r>
          </w:p>
        </w:tc>
        <w:tc>
          <w:tcPr>
            <w:tcW w:w="9300" w:type="dxa"/>
            <w:vAlign w:val="bottom"/>
            <w:gridSpan w:val="21"/>
          </w:tcPr>
          <w:p>
            <w:pPr>
              <w:spacing w:after="0"/>
              <w:rPr>
                <w:sz w:val="20"/>
                <w:szCs w:val="20"/>
                <w:color w:val="auto"/>
              </w:rPr>
            </w:pPr>
            <w:r>
              <w:rPr>
                <w:rFonts w:ascii="Arial" w:cs="Arial" w:eastAsia="Arial" w:hAnsi="Arial"/>
                <w:sz w:val="18"/>
                <w:szCs w:val="18"/>
                <w:color w:val="0563C1"/>
              </w:rPr>
              <w:t>Mine Safety Disclosures</w:t>
            </w:r>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479"/>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300" w:type="dxa"/>
            <w:vAlign w:val="bottom"/>
            <w:gridSpan w:val="21"/>
          </w:tcPr>
          <w:p>
            <w:pPr>
              <w:spacing w:after="0" w:line="190" w:lineRule="exact"/>
              <w:rPr>
                <w:sz w:val="20"/>
                <w:szCs w:val="20"/>
                <w:color w:val="auto"/>
              </w:rPr>
            </w:pPr>
            <w:r>
              <w:rPr>
                <w:rFonts w:ascii="Arial" w:cs="Arial" w:eastAsia="Arial" w:hAnsi="Arial"/>
                <w:sz w:val="18"/>
                <w:szCs w:val="18"/>
                <w:color w:val="0563C1"/>
              </w:rPr>
              <w:t>Market for Registrant’s Common Equity, Related Stockholder Matters and Issuer Purchases of Equity Securities</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563C1"/>
            </w:tcBorders>
            <w:gridSpan w:val="20"/>
          </w:tcPr>
          <w:p>
            <w:pPr>
              <w:spacing w:after="0"/>
              <w:rPr>
                <w:sz w:val="20"/>
                <w:szCs w:val="20"/>
                <w:color w:val="auto"/>
              </w:rPr>
            </w:pPr>
            <w:r>
              <w:rPr>
                <w:rFonts w:ascii="Arial" w:cs="Arial" w:eastAsia="Arial" w:hAnsi="Arial"/>
                <w:sz w:val="18"/>
                <w:szCs w:val="18"/>
                <w:color w:val="0563C1"/>
              </w:rPr>
              <w:t>[Reserved]</w:t>
            </w:r>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gridSpan w:val="3"/>
            <w:shd w:val="clear" w:color="auto" w:fill="0563C1"/>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563C1"/>
            </w:tcBorders>
            <w:gridSpan w:val="17"/>
          </w:tcPr>
          <w:p>
            <w:pPr>
              <w:spacing w:after="0"/>
              <w:rPr>
                <w:sz w:val="20"/>
                <w:szCs w:val="20"/>
                <w:color w:val="auto"/>
              </w:rPr>
            </w:pPr>
            <w:r>
              <w:rPr>
                <w:rFonts w:ascii="Arial" w:cs="Arial" w:eastAsia="Arial" w:hAnsi="Arial"/>
                <w:sz w:val="18"/>
                <w:szCs w:val="18"/>
                <w:color w:val="0563C1"/>
                <w:w w:val="90"/>
              </w:rPr>
              <w:t>Management’s Discussion and Analysis of Financial Condition and Results of Operations</w:t>
            </w:r>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563C1"/>
            </w:tcBorders>
            <w:gridSpan w:val="14"/>
          </w:tcPr>
          <w:p>
            <w:pPr>
              <w:spacing w:after="0"/>
              <w:rPr>
                <w:sz w:val="20"/>
                <w:szCs w:val="20"/>
                <w:color w:val="auto"/>
              </w:rPr>
            </w:pPr>
            <w:r>
              <w:rPr>
                <w:rFonts w:ascii="Arial" w:cs="Arial" w:eastAsia="Arial" w:hAnsi="Arial"/>
                <w:sz w:val="18"/>
                <w:szCs w:val="18"/>
                <w:color w:val="0563C1"/>
                <w:w w:val="92"/>
              </w:rPr>
              <w:t>Quantitative and Qualitative Disclosures About Market Risk</w:t>
            </w: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8.</w:t>
            </w:r>
          </w:p>
        </w:tc>
        <w:tc>
          <w:tcPr>
            <w:tcW w:w="9300" w:type="dxa"/>
            <w:vAlign w:val="bottom"/>
            <w:gridSpan w:val="21"/>
          </w:tcPr>
          <w:p>
            <w:pPr>
              <w:spacing w:after="0"/>
              <w:rPr>
                <w:sz w:val="20"/>
                <w:szCs w:val="20"/>
                <w:color w:val="auto"/>
              </w:rPr>
            </w:pPr>
            <w:r>
              <w:rPr>
                <w:rFonts w:ascii="Arial" w:cs="Arial" w:eastAsia="Arial" w:hAnsi="Arial"/>
                <w:sz w:val="18"/>
                <w:szCs w:val="18"/>
                <w:color w:val="0563C1"/>
              </w:rPr>
              <w:t>Financial Statements and Supplementary Data</w:t>
            </w: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00" w:type="dxa"/>
            <w:vAlign w:val="bottom"/>
            <w:gridSpan w:val="5"/>
            <w:shd w:val="clear" w:color="auto" w:fill="0563C1"/>
          </w:tcPr>
          <w:p>
            <w:pPr>
              <w:spacing w:after="0" w:line="20" w:lineRule="exact"/>
              <w:rPr>
                <w:sz w:val="1"/>
                <w:szCs w:val="1"/>
                <w:color w:val="auto"/>
              </w:rPr>
            </w:pPr>
          </w:p>
        </w:tc>
        <w:tc>
          <w:tcPr>
            <w:tcW w:w="24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1060" w:type="dxa"/>
            <w:vAlign w:val="bottom"/>
            <w:gridSpan w:val="2"/>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563C1"/>
            </w:tcBorders>
            <w:gridSpan w:val="18"/>
          </w:tcPr>
          <w:p>
            <w:pPr>
              <w:spacing w:after="0"/>
              <w:rPr>
                <w:sz w:val="20"/>
                <w:szCs w:val="20"/>
                <w:color w:val="auto"/>
              </w:rPr>
            </w:pPr>
            <w:r>
              <w:rPr>
                <w:rFonts w:ascii="Arial" w:cs="Arial" w:eastAsia="Arial" w:hAnsi="Arial"/>
                <w:sz w:val="18"/>
                <w:szCs w:val="18"/>
                <w:color w:val="0563C1"/>
                <w:w w:val="90"/>
              </w:rPr>
              <w:t>Changes in and Disagreements with Accountants on Accounting and Financial Disclosure</w:t>
            </w:r>
          </w:p>
        </w:tc>
        <w:tc>
          <w:tcPr>
            <w:tcW w:w="28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9A.</w:t>
            </w:r>
          </w:p>
        </w:tc>
        <w:tc>
          <w:tcPr>
            <w:tcW w:w="9300" w:type="dxa"/>
            <w:vAlign w:val="bottom"/>
            <w:gridSpan w:val="21"/>
          </w:tcPr>
          <w:p>
            <w:pPr>
              <w:spacing w:after="0"/>
              <w:rPr>
                <w:sz w:val="20"/>
                <w:szCs w:val="20"/>
                <w:color w:val="auto"/>
              </w:rPr>
            </w:pPr>
            <w:r>
              <w:rPr>
                <w:rFonts w:ascii="Arial" w:cs="Arial" w:eastAsia="Arial" w:hAnsi="Arial"/>
                <w:sz w:val="18"/>
                <w:szCs w:val="18"/>
                <w:color w:val="0563C1"/>
              </w:rPr>
              <w:t>Controls and Procedures</w:t>
            </w:r>
          </w:p>
        </w:tc>
        <w:tc>
          <w:tcPr>
            <w:tcW w:w="7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563C1"/>
            </w:tcBorders>
            <w:gridSpan w:val="7"/>
          </w:tcPr>
          <w:p>
            <w:pPr>
              <w:spacing w:after="0"/>
              <w:rPr>
                <w:sz w:val="20"/>
                <w:szCs w:val="20"/>
                <w:color w:val="auto"/>
              </w:rPr>
            </w:pPr>
            <w:r>
              <w:rPr>
                <w:rFonts w:ascii="Arial" w:cs="Arial" w:eastAsia="Arial" w:hAnsi="Arial"/>
                <w:sz w:val="18"/>
                <w:szCs w:val="18"/>
                <w:color w:val="0563C1"/>
              </w:rPr>
              <w:t>Other Information</w:t>
            </w:r>
          </w:p>
        </w:tc>
        <w:tc>
          <w:tcPr>
            <w:tcW w:w="754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00" w:type="dxa"/>
            <w:vAlign w:val="bottom"/>
            <w:gridSpan w:val="5"/>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60"/>
              <w:spacing w:after="0"/>
              <w:rPr>
                <w:sz w:val="20"/>
                <w:szCs w:val="20"/>
                <w:color w:val="auto"/>
              </w:rPr>
            </w:pPr>
            <w:r>
              <w:rPr>
                <w:rFonts w:ascii="Arial" w:cs="Arial" w:eastAsia="Arial" w:hAnsi="Arial"/>
                <w:sz w:val="18"/>
                <w:szCs w:val="18"/>
                <w:color w:val="auto"/>
              </w:rPr>
              <w:t>Item 9C.</w:t>
            </w:r>
          </w:p>
        </w:tc>
        <w:tc>
          <w:tcPr>
            <w:tcW w:w="9300" w:type="dxa"/>
            <w:vAlign w:val="bottom"/>
            <w:gridSpan w:val="21"/>
          </w:tcPr>
          <w:p>
            <w:pPr>
              <w:spacing w:after="0"/>
              <w:rPr>
                <w:sz w:val="20"/>
                <w:szCs w:val="20"/>
                <w:color w:val="auto"/>
              </w:rPr>
            </w:pPr>
            <w:r>
              <w:rPr>
                <w:rFonts w:ascii="Arial" w:cs="Arial" w:eastAsia="Arial" w:hAnsi="Arial"/>
                <w:sz w:val="18"/>
                <w:szCs w:val="18"/>
                <w:color w:val="0563C1"/>
              </w:rPr>
              <w:t>Disclosure Regarding Foreign Jurisdictions that Prevent Inspections</w:t>
            </w:r>
          </w:p>
        </w:tc>
        <w:tc>
          <w:tcPr>
            <w:tcW w:w="78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479"/>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760" w:type="dxa"/>
            <w:vAlign w:val="bottom"/>
            <w:tcBorders>
              <w:top w:val="single" w:sz="8" w:color="0563C1"/>
            </w:tcBorders>
          </w:tcPr>
          <w:p>
            <w:pPr>
              <w:spacing w:after="0"/>
              <w:rPr>
                <w:sz w:val="24"/>
                <w:szCs w:val="24"/>
                <w:color w:val="auto"/>
              </w:rPr>
            </w:pPr>
          </w:p>
        </w:tc>
        <w:tc>
          <w:tcPr>
            <w:tcW w:w="280" w:type="dxa"/>
            <w:vAlign w:val="bottom"/>
            <w:tcBorders>
              <w:top w:val="single" w:sz="8" w:color="0563C1"/>
            </w:tcBorders>
          </w:tcPr>
          <w:p>
            <w:pPr>
              <w:spacing w:after="0"/>
              <w:rPr>
                <w:sz w:val="24"/>
                <w:szCs w:val="24"/>
                <w:color w:val="auto"/>
              </w:rPr>
            </w:pPr>
          </w:p>
        </w:tc>
        <w:tc>
          <w:tcPr>
            <w:tcW w:w="540" w:type="dxa"/>
            <w:vAlign w:val="bottom"/>
            <w:tcBorders>
              <w:top w:val="single" w:sz="8" w:color="0563C1"/>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300" w:type="dxa"/>
            <w:vAlign w:val="bottom"/>
            <w:gridSpan w:val="21"/>
          </w:tcPr>
          <w:p>
            <w:pPr>
              <w:spacing w:after="0" w:line="190" w:lineRule="exact"/>
              <w:rPr>
                <w:sz w:val="20"/>
                <w:szCs w:val="20"/>
                <w:color w:val="auto"/>
              </w:rPr>
            </w:pPr>
            <w:r>
              <w:rPr>
                <w:rFonts w:ascii="Arial" w:cs="Arial" w:eastAsia="Arial" w:hAnsi="Arial"/>
                <w:sz w:val="18"/>
                <w:szCs w:val="18"/>
                <w:color w:val="0563C1"/>
              </w:rPr>
              <w:t>Directors, Executive Officers and Corporate Governance</w:t>
            </w: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563C1"/>
              <w:bottom w:val="single" w:sz="8" w:color="0563C1"/>
            </w:tcBorders>
            <w:gridSpan w:val="8"/>
          </w:tcPr>
          <w:p>
            <w:pPr>
              <w:spacing w:after="0"/>
              <w:rPr>
                <w:sz w:val="20"/>
                <w:szCs w:val="20"/>
                <w:color w:val="auto"/>
              </w:rPr>
            </w:pPr>
            <w:r>
              <w:rPr>
                <w:rFonts w:ascii="Arial" w:cs="Arial" w:eastAsia="Arial" w:hAnsi="Arial"/>
                <w:sz w:val="18"/>
                <w:szCs w:val="18"/>
                <w:color w:val="0563C1"/>
                <w:w w:val="89"/>
              </w:rPr>
              <w:t>Executive Compensation</w:t>
            </w:r>
          </w:p>
        </w:tc>
        <w:tc>
          <w:tcPr>
            <w:tcW w:w="2280" w:type="dxa"/>
            <w:vAlign w:val="bottom"/>
            <w:tcBorders>
              <w:top w:val="single" w:sz="8" w:color="0563C1"/>
            </w:tcBorders>
            <w:gridSpan w:val="5"/>
          </w:tcPr>
          <w:p>
            <w:pPr>
              <w:spacing w:after="0"/>
              <w:rPr>
                <w:sz w:val="18"/>
                <w:szCs w:val="18"/>
                <w:color w:val="auto"/>
              </w:rPr>
            </w:pPr>
          </w:p>
        </w:tc>
        <w:tc>
          <w:tcPr>
            <w:tcW w:w="522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300" w:type="dxa"/>
            <w:vAlign w:val="bottom"/>
            <w:gridSpan w:val="21"/>
          </w:tcPr>
          <w:p>
            <w:pPr>
              <w:spacing w:after="0"/>
              <w:rPr>
                <w:sz w:val="20"/>
                <w:szCs w:val="20"/>
                <w:color w:val="auto"/>
              </w:rPr>
            </w:pPr>
            <w:r>
              <w:rPr>
                <w:rFonts w:ascii="Arial" w:cs="Arial" w:eastAsia="Arial" w:hAnsi="Arial"/>
                <w:sz w:val="18"/>
                <w:szCs w:val="18"/>
                <w:color w:val="0563C1"/>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563C1"/>
            </w:tcBorders>
            <w:gridSpan w:val="19"/>
          </w:tcPr>
          <w:p>
            <w:pPr>
              <w:spacing w:after="0"/>
              <w:rPr>
                <w:sz w:val="20"/>
                <w:szCs w:val="20"/>
                <w:color w:val="auto"/>
              </w:rPr>
            </w:pPr>
            <w:r>
              <w:rPr>
                <w:rFonts w:ascii="Arial" w:cs="Arial" w:eastAsia="Arial" w:hAnsi="Arial"/>
                <w:sz w:val="18"/>
                <w:szCs w:val="18"/>
                <w:color w:val="0563C1"/>
              </w:rPr>
              <w:t>Certain Relationships and Related Transactions, and Director Independence</w:t>
            </w:r>
          </w:p>
        </w:tc>
        <w:tc>
          <w:tcPr>
            <w:tcW w:w="20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563C1"/>
            </w:tcBorders>
            <w:gridSpan w:val="16"/>
          </w:tcPr>
          <w:p>
            <w:pPr>
              <w:spacing w:after="0"/>
              <w:rPr>
                <w:sz w:val="20"/>
                <w:szCs w:val="20"/>
                <w:color w:val="auto"/>
              </w:rPr>
            </w:pPr>
            <w:r>
              <w:rPr>
                <w:rFonts w:ascii="Arial" w:cs="Arial" w:eastAsia="Arial" w:hAnsi="Arial"/>
                <w:sz w:val="18"/>
                <w:szCs w:val="18"/>
                <w:color w:val="0563C1"/>
              </w:rPr>
              <w:t>Principal Accounting Fees and Services</w:t>
            </w:r>
          </w:p>
        </w:tc>
        <w:tc>
          <w:tcPr>
            <w:tcW w:w="38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479"/>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563C1"/>
            </w:tcBorders>
            <w:gridSpan w:val="11"/>
          </w:tcPr>
          <w:p>
            <w:pPr>
              <w:spacing w:after="0" w:line="190" w:lineRule="exact"/>
              <w:rPr>
                <w:sz w:val="20"/>
                <w:szCs w:val="20"/>
                <w:color w:val="auto"/>
              </w:rPr>
            </w:pPr>
            <w:r>
              <w:rPr>
                <w:rFonts w:ascii="Arial" w:cs="Arial" w:eastAsia="Arial" w:hAnsi="Arial"/>
                <w:sz w:val="18"/>
                <w:szCs w:val="18"/>
                <w:color w:val="0563C1"/>
                <w:w w:val="89"/>
              </w:rPr>
              <w:t>Exhibits, Financial Statement Schedules</w:t>
            </w:r>
          </w:p>
        </w:tc>
        <w:tc>
          <w:tcPr>
            <w:tcW w:w="6400" w:type="dxa"/>
            <w:vAlign w:val="bottom"/>
            <w:gridSpan w:val="10"/>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16.</w:t>
            </w:r>
          </w:p>
        </w:tc>
        <w:tc>
          <w:tcPr>
            <w:tcW w:w="9300" w:type="dxa"/>
            <w:vAlign w:val="bottom"/>
            <w:gridSpan w:val="21"/>
          </w:tcPr>
          <w:p>
            <w:pPr>
              <w:spacing w:after="0"/>
              <w:rPr>
                <w:sz w:val="20"/>
                <w:szCs w:val="20"/>
                <w:color w:val="auto"/>
              </w:rPr>
            </w:pPr>
            <w:r>
              <w:rPr>
                <w:rFonts w:ascii="Arial" w:cs="Arial" w:eastAsia="Arial" w:hAnsi="Arial"/>
                <w:sz w:val="18"/>
                <w:szCs w:val="18"/>
                <w:color w:val="0563C1"/>
              </w:rPr>
              <w:t>Form 10-K Summary</w:t>
            </w:r>
          </w:p>
        </w:tc>
        <w:tc>
          <w:tcPr>
            <w:tcW w:w="78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581"/>
        </w:trPr>
        <w:tc>
          <w:tcPr>
            <w:tcW w:w="1160" w:type="dxa"/>
            <w:vAlign w:val="bottom"/>
            <w:tcBorders>
              <w:bottom w:val="single" w:sz="8" w:color="9A9A9A"/>
            </w:tcBorders>
          </w:tcPr>
          <w:p>
            <w:pPr>
              <w:spacing w:after="0"/>
              <w:rPr>
                <w:sz w:val="24"/>
                <w:szCs w:val="24"/>
                <w:color w:val="auto"/>
              </w:rPr>
            </w:pPr>
          </w:p>
        </w:tc>
        <w:tc>
          <w:tcPr>
            <w:tcW w:w="640" w:type="dxa"/>
            <w:vAlign w:val="bottom"/>
            <w:tcBorders>
              <w:top w:val="single" w:sz="8" w:color="0563C1"/>
              <w:bottom w:val="single" w:sz="8" w:color="9A9A9A"/>
            </w:tcBorders>
          </w:tcPr>
          <w:p>
            <w:pPr>
              <w:spacing w:after="0"/>
              <w:rPr>
                <w:sz w:val="24"/>
                <w:szCs w:val="24"/>
                <w:color w:val="auto"/>
              </w:rPr>
            </w:pPr>
          </w:p>
        </w:tc>
        <w:tc>
          <w:tcPr>
            <w:tcW w:w="80" w:type="dxa"/>
            <w:vAlign w:val="bottom"/>
            <w:tcBorders>
              <w:top w:val="single" w:sz="8" w:color="0563C1"/>
              <w:bottom w:val="single" w:sz="8" w:color="9A9A9A"/>
            </w:tcBorders>
          </w:tcPr>
          <w:p>
            <w:pPr>
              <w:spacing w:after="0"/>
              <w:rPr>
                <w:sz w:val="24"/>
                <w:szCs w:val="24"/>
                <w:color w:val="auto"/>
              </w:rPr>
            </w:pPr>
          </w:p>
        </w:tc>
        <w:tc>
          <w:tcPr>
            <w:tcW w:w="60" w:type="dxa"/>
            <w:vAlign w:val="bottom"/>
            <w:tcBorders>
              <w:top w:val="single" w:sz="8" w:color="0563C1"/>
              <w:bottom w:val="single" w:sz="8" w:color="9A9A9A"/>
            </w:tcBorders>
          </w:tcPr>
          <w:p>
            <w:pPr>
              <w:spacing w:after="0"/>
              <w:rPr>
                <w:sz w:val="24"/>
                <w:szCs w:val="24"/>
                <w:color w:val="auto"/>
              </w:rPr>
            </w:pPr>
          </w:p>
        </w:tc>
        <w:tc>
          <w:tcPr>
            <w:tcW w:w="120" w:type="dxa"/>
            <w:vAlign w:val="bottom"/>
            <w:tcBorders>
              <w:top w:val="single" w:sz="8" w:color="0563C1"/>
              <w:bottom w:val="single" w:sz="8" w:color="9A9A9A"/>
            </w:tcBorders>
          </w:tcPr>
          <w:p>
            <w:pPr>
              <w:spacing w:after="0"/>
              <w:rPr>
                <w:sz w:val="24"/>
                <w:szCs w:val="24"/>
                <w:color w:val="auto"/>
              </w:rPr>
            </w:pPr>
          </w:p>
        </w:tc>
        <w:tc>
          <w:tcPr>
            <w:tcW w:w="400" w:type="dxa"/>
            <w:vAlign w:val="bottom"/>
            <w:tcBorders>
              <w:top w:val="single" w:sz="8" w:color="0563C1"/>
              <w:bottom w:val="single" w:sz="8" w:color="9A9A9A"/>
            </w:tcBorders>
          </w:tcPr>
          <w:p>
            <w:pPr>
              <w:spacing w:after="0"/>
              <w:rPr>
                <w:sz w:val="24"/>
                <w:szCs w:val="24"/>
                <w:color w:val="auto"/>
              </w:rPr>
            </w:pPr>
          </w:p>
        </w:tc>
        <w:tc>
          <w:tcPr>
            <w:tcW w:w="240" w:type="dxa"/>
            <w:vAlign w:val="bottom"/>
            <w:tcBorders>
              <w:top w:val="single" w:sz="8" w:color="0563C1"/>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79" w:lineRule="exact"/>
        <w:rPr>
          <w:sz w:val="20"/>
          <w:szCs w:val="20"/>
          <w:color w:val="auto"/>
        </w:rPr>
      </w:pPr>
    </w:p>
    <w:p>
      <w:pPr>
        <w:ind w:left="1020" w:right="46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drug candidates or any other future drug candidates, and conducting nonclinical studies and clinical trials, including our ALG-055009, ALG-000184, and ALG-125755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progress, results and costs related to the research and development of our pipeline;</w:t>
      </w:r>
    </w:p>
    <w:p>
      <w:pPr>
        <w:spacing w:after="0" w:line="117"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costs involved in, obtaining and maintaining regulatory approval for any of our current or future drug candidates, and any related restrictions or limitations;</w:t>
      </w:r>
    </w:p>
    <w:p>
      <w:pPr>
        <w:spacing w:after="0" w:line="62" w:lineRule="exact"/>
        <w:rPr>
          <w:rFonts w:ascii="Arial" w:cs="Arial" w:eastAsia="Arial" w:hAnsi="Arial"/>
          <w:sz w:val="18"/>
          <w:szCs w:val="18"/>
          <w:color w:val="auto"/>
        </w:rPr>
      </w:pPr>
    </w:p>
    <w:p>
      <w:pPr>
        <w:ind w:left="1020" w:right="76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developments related to COVID-19 on our business and operations, including clinical trials, manufacturing suppliers, collaborators, use of contract research organizations and employees;</w:t>
      </w:r>
    </w:p>
    <w:p>
      <w:pPr>
        <w:spacing w:after="0" w:line="62" w:lineRule="exact"/>
        <w:rPr>
          <w:rFonts w:ascii="Arial" w:cs="Arial" w:eastAsia="Arial" w:hAnsi="Arial"/>
          <w:sz w:val="18"/>
          <w:szCs w:val="18"/>
          <w:color w:val="auto"/>
        </w:rPr>
      </w:pPr>
    </w:p>
    <w:p>
      <w:pPr>
        <w:ind w:left="1020" w:right="140" w:hanging="503"/>
        <w:spacing w:after="0" w:line="223" w:lineRule="exact"/>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size of the potential patient populations for ALG-055009, ALG</w:t>
      </w:r>
      <w:r>
        <w:rPr>
          <w:rFonts w:ascii="MS PGothic" w:cs="MS PGothic" w:eastAsia="MS PGothic" w:hAnsi="MS PGothic"/>
          <w:sz w:val="18"/>
          <w:szCs w:val="18"/>
          <w:color w:val="auto"/>
        </w:rPr>
        <w:t>‑</w:t>
      </w:r>
      <w:r>
        <w:rPr>
          <w:rFonts w:ascii="Arial" w:cs="Arial" w:eastAsia="Arial" w:hAnsi="Arial"/>
          <w:sz w:val="18"/>
          <w:szCs w:val="18"/>
          <w:color w:val="auto"/>
        </w:rPr>
        <w:t>000184, and ALG-125755, our other drug candidates and any future drug candidates, if approved for commercial use;</w:t>
      </w:r>
    </w:p>
    <w:p>
      <w:pPr>
        <w:spacing w:after="0" w:line="94" w:lineRule="exact"/>
        <w:rPr>
          <w:rFonts w:ascii="Arial" w:cs="Arial" w:eastAsia="Arial" w:hAnsi="Arial"/>
          <w:sz w:val="18"/>
          <w:szCs w:val="18"/>
          <w:color w:val="auto"/>
        </w:rPr>
      </w:pPr>
    </w:p>
    <w:p>
      <w:pPr>
        <w:ind w:left="1020" w:right="6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collaborations, licensing or other arrangements and the financial terms of any such agreements;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expectations;</w:t>
      </w:r>
    </w:p>
    <w:p>
      <w:pPr>
        <w:spacing w:after="0" w:line="117" w:lineRule="exact"/>
        <w:rPr>
          <w:rFonts w:ascii="Arial" w:cs="Arial" w:eastAsia="Arial" w:hAnsi="Arial"/>
          <w:sz w:val="18"/>
          <w:szCs w:val="18"/>
          <w:color w:val="auto"/>
        </w:rPr>
      </w:pPr>
    </w:p>
    <w:p>
      <w:pPr>
        <w:ind w:left="1020" w:right="7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drug candidates, as well as the pricing and reimbursement of our drug candidates, if approved;</w:t>
      </w:r>
    </w:p>
    <w:p>
      <w:pPr>
        <w:spacing w:after="0" w:line="62" w:lineRule="exact"/>
        <w:rPr>
          <w:rFonts w:ascii="Arial" w:cs="Arial" w:eastAsia="Arial" w:hAnsi="Arial"/>
          <w:sz w:val="18"/>
          <w:szCs w:val="18"/>
          <w:color w:val="auto"/>
        </w:rPr>
      </w:pPr>
    </w:p>
    <w:p>
      <w:pPr>
        <w:ind w:left="1020" w:right="7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drug candidates and technology, including additional indications for which we may pursue;</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lawsuits related to our drug candidates or commenced against us, including the costs associated with our current litigation with Janssen Biopharma, LLC (Janssen);</w:t>
      </w:r>
    </w:p>
    <w:p>
      <w:pPr>
        <w:spacing w:after="0" w:line="62"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including the projected term of patent protection;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of our expenses, future revenue, capital requirements, our needs for additional financing and our ability to obtain additional capital;</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including competing therapies and procedures;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and legal developments in the United States and foreign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management, scientific and medical personnel;</w:t>
      </w:r>
    </w:p>
    <w:p>
      <w:pPr>
        <w:spacing w:after="0" w:line="117" w:lineRule="exact"/>
        <w:rPr>
          <w:rFonts w:ascii="Arial" w:cs="Arial" w:eastAsia="Arial" w:hAnsi="Arial"/>
          <w:sz w:val="18"/>
          <w:szCs w:val="18"/>
          <w:color w:val="auto"/>
        </w:rPr>
      </w:pPr>
    </w:p>
    <w:p>
      <w:pPr>
        <w:ind w:left="1020" w:right="5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ability to obtain, maintain, enforce and defend our intellectual property protection for our drug candidates;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based these forward-looking statements largely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These forward-looking statements speak only as of the date of this Annual Report on Form 10-K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Annual Report on Form 10-K, whether as a result of any new information, future events or otherwise.</w:t>
      </w:r>
    </w:p>
    <w:p>
      <w:pPr>
        <w:spacing w:after="0" w:line="16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Investors and others should note that we may announce material business and financial information to our investors using our investor relations website, Securities and Exchange Commission, or SEC, filings, webcasts, press releases and conference calls. We use these mediums, including our website, to communicate with our stockholders and the public about our company, our products and other issues. It is possible that the information that we make available may be deemed to be material information. We therefore encourage investors and others interested in our company to review the information that we make available on our website.</w:t>
      </w:r>
    </w:p>
    <w:p>
      <w:pPr>
        <w:spacing w:after="0" w:line="18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Summary of material risks associated with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risks and uncertainties affecting our business include the following:</w:t>
      </w:r>
    </w:p>
    <w:p>
      <w:pPr>
        <w:spacing w:after="0" w:line="117" w:lineRule="exact"/>
        <w:rPr>
          <w:sz w:val="20"/>
          <w:szCs w:val="20"/>
          <w:color w:val="auto"/>
        </w:rPr>
      </w:pPr>
    </w:p>
    <w:p>
      <w:pPr>
        <w:ind w:left="1020" w:right="80" w:hanging="503"/>
        <w:spacing w:after="0" w:line="286"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57" w:lineRule="exact"/>
        <w:rPr>
          <w:rFonts w:ascii="Arial" w:cs="Arial" w:eastAsia="Arial" w:hAnsi="Arial"/>
          <w:sz w:val="17"/>
          <w:szCs w:val="17"/>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be profitable.</w:t>
      </w:r>
    </w:p>
    <w:p>
      <w:pPr>
        <w:spacing w:after="0" w:line="117" w:lineRule="exact"/>
        <w:rPr>
          <w:rFonts w:ascii="Arial" w:cs="Arial" w:eastAsia="Arial" w:hAnsi="Arial"/>
          <w:sz w:val="18"/>
          <w:szCs w:val="18"/>
          <w:color w:val="auto"/>
        </w:rPr>
      </w:pPr>
    </w:p>
    <w:p>
      <w:pPr>
        <w:jc w:val="both"/>
        <w:ind w:left="1020" w:right="160" w:hanging="503"/>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75" w:lineRule="exact"/>
        <w:rPr>
          <w:rFonts w:ascii="Arial" w:cs="Arial" w:eastAsia="Arial" w:hAnsi="Arial"/>
          <w:sz w:val="18"/>
          <w:szCs w:val="18"/>
          <w:color w:val="auto"/>
        </w:rPr>
      </w:pPr>
    </w:p>
    <w:p>
      <w:pPr>
        <w:ind w:left="1020" w:right="20" w:hanging="503"/>
        <w:spacing w:after="0" w:line="311"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40" w:lineRule="exact"/>
        <w:rPr>
          <w:rFonts w:ascii="Arial" w:cs="Arial" w:eastAsia="Arial" w:hAnsi="Arial"/>
          <w:sz w:val="16"/>
          <w:szCs w:val="16"/>
          <w:color w:val="auto"/>
        </w:rPr>
      </w:pPr>
    </w:p>
    <w:p>
      <w:pPr>
        <w:jc w:val="both"/>
        <w:ind w:left="1020" w:right="240" w:hanging="503"/>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75" w:lineRule="exact"/>
        <w:rPr>
          <w:rFonts w:ascii="Arial" w:cs="Arial" w:eastAsia="Arial" w:hAnsi="Arial"/>
          <w:sz w:val="18"/>
          <w:szCs w:val="18"/>
          <w:color w:val="auto"/>
        </w:rPr>
      </w:pPr>
    </w:p>
    <w:p>
      <w:pPr>
        <w:ind w:left="1020" w:right="40" w:hanging="503"/>
        <w:spacing w:after="0" w:line="286"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57" w:lineRule="exact"/>
        <w:rPr>
          <w:rFonts w:ascii="Arial" w:cs="Arial" w:eastAsia="Arial" w:hAnsi="Arial"/>
          <w:sz w:val="17"/>
          <w:szCs w:val="17"/>
          <w:color w:val="auto"/>
        </w:rPr>
      </w:pPr>
    </w:p>
    <w:p>
      <w:pPr>
        <w:ind w:left="1020" w:right="22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intend to develop our current drug candidates, and expect to develop other future drug candidates, in combination with other therapies, which exposes us to additional risks.</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62"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and our collaborators are unable to obtain, maintain, protect and enforce sufficient patent and other intellectual property protection for our drug candidates and technology, our competitors could develop and commercialize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 w:name="page5"/>
    <w:bookmarkEnd w:id="4"/>
    <w:p>
      <w:pPr>
        <w:ind w:left="1020" w:right="140"/>
        <w:spacing w:after="0" w:line="277" w:lineRule="auto"/>
        <w:rPr>
          <w:sz w:val="20"/>
          <w:szCs w:val="20"/>
          <w:color w:val="auto"/>
        </w:rPr>
      </w:pPr>
      <w:r>
        <w:rPr>
          <w:rFonts w:ascii="Arial" w:cs="Arial" w:eastAsia="Arial" w:hAnsi="Arial"/>
          <w:sz w:val="18"/>
          <w:szCs w:val="18"/>
          <w:color w:val="auto"/>
        </w:rPr>
        <w:t>and technology similar or identical to ours, and we may not be able to compete effectively in our market or successfully commercialize any drug candidates we may develop.</w:t>
      </w:r>
    </w:p>
    <w:p>
      <w:pPr>
        <w:spacing w:after="0" w:line="62" w:lineRule="exact"/>
        <w:rPr>
          <w:sz w:val="20"/>
          <w:szCs w:val="20"/>
          <w:color w:val="auto"/>
        </w:rPr>
      </w:pPr>
    </w:p>
    <w:p>
      <w:pPr>
        <w:ind w:left="10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62" w:lineRule="exact"/>
        <w:rPr>
          <w:rFonts w:ascii="Arial" w:cs="Arial" w:eastAsia="Arial" w:hAnsi="Arial"/>
          <w:sz w:val="18"/>
          <w:szCs w:val="18"/>
          <w:color w:val="auto"/>
        </w:rPr>
      </w:pPr>
    </w:p>
    <w:p>
      <w:pPr>
        <w:ind w:left="1020" w:right="180" w:hanging="503"/>
        <w:spacing w:after="0" w:line="25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78"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summary risk factors described above should be read together with the text of the full risk factors below in the section entitled “Risk Factors” and the other information set forth in this Annual Report on Form 10-K,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We are a clinical-stage biopharmaceutical company focused on developing novel therapeutics to address unmet medical needs in liver diseases and viral infections, including in the areas of non-alcoholic steatohepatitis (NASH), coronavirus (e.g., SARS-CoV-2 and related infections) and chronic hepatitis B (CHB). We utilize our proprietary small molecule and oligonucleotide platforms to develop pharmacologically optimized drug candidates for use in combination regimens designed to achieve improved treatment outcomes.</w:t>
      </w:r>
    </w:p>
    <w:p>
      <w:pPr>
        <w:spacing w:after="0" w:line="79"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In February 2023, we announced a strategic reprioritization of our portfolio. Going forward, we will emphasize our clinical NASH and COVID-19 programs, and continue to support our collaboration agreements, including the agreement with Merck &amp; Co. to develop an oligonucleotide candidate to address NASH. With respect to CHB, we plan to complete our ongoing 48-week cohorts and single ascending dose cohorts for our capsid assembly modulator and small interfering RNA programs, respectively.</w:t>
      </w:r>
    </w:p>
    <w:p>
      <w:pPr>
        <w:spacing w:after="0" w:line="79" w:lineRule="exact"/>
        <w:rPr>
          <w:sz w:val="20"/>
          <w:szCs w:val="20"/>
          <w:color w:val="auto"/>
        </w:rPr>
      </w:pPr>
    </w:p>
    <w:p>
      <w:pPr>
        <w:ind w:right="20" w:firstLine="509"/>
        <w:spacing w:after="0" w:line="217" w:lineRule="exact"/>
        <w:rPr>
          <w:sz w:val="20"/>
          <w:szCs w:val="20"/>
          <w:color w:val="auto"/>
        </w:rPr>
      </w:pPr>
      <w:r>
        <w:rPr>
          <w:rFonts w:ascii="Arial" w:cs="Arial" w:eastAsia="Arial" w:hAnsi="Arial"/>
          <w:sz w:val="16"/>
          <w:szCs w:val="16"/>
          <w:color w:val="auto"/>
        </w:rPr>
        <w:t>Our primary area of focus is NASH, a complex, chronic liver disease where combination regimens may prove beneficial. Our most advanced drug candidate for NASH is ALG</w:t>
      </w:r>
      <w:r>
        <w:rPr>
          <w:rFonts w:ascii="MS PGothic" w:cs="MS PGothic" w:eastAsia="MS PGothic" w:hAnsi="MS PGothic"/>
          <w:sz w:val="16"/>
          <w:szCs w:val="16"/>
          <w:color w:val="auto"/>
        </w:rPr>
        <w:t>‑</w:t>
      </w:r>
      <w:r>
        <w:rPr>
          <w:rFonts w:ascii="Arial" w:cs="Arial" w:eastAsia="Arial" w:hAnsi="Arial"/>
          <w:sz w:val="16"/>
          <w:szCs w:val="16"/>
          <w:color w:val="auto"/>
        </w:rPr>
        <w:t>055009, a small molecule thyroid hormone receptor (THR</w:t>
      </w:r>
      <w:r>
        <w:rPr>
          <w:rFonts w:ascii="MS PGothic" w:cs="MS PGothic" w:eastAsia="MS PGothic" w:hAnsi="MS PGothic"/>
          <w:sz w:val="16"/>
          <w:szCs w:val="16"/>
          <w:color w:val="auto"/>
        </w:rPr>
        <w:t>‑</w:t>
      </w:r>
      <w:r>
        <w:rPr>
          <w:rFonts w:ascii="Arial" w:cs="Arial" w:eastAsia="Arial" w:hAnsi="Arial"/>
          <w:sz w:val="16"/>
          <w:szCs w:val="16"/>
          <w:color w:val="auto"/>
        </w:rPr>
        <w:t>ß) agonist. This drug candidate is being evaluated in a Phase 1 study in healthy volunteers (HVs) (oral single ascending doses (SAD)) and subjects with hyperlipidemia (14 oral daily doses). Preliminary data after single doses up to 4 mg and multiple doses up to 1 mg have previously been reported at the European Association for the Study of the Liver conference (EASL 2022) and the 2022 American Association for the Study of Liver Diseases meeting (AASLD 2022), respectively. At these conferences, data were presented that showed ALG</w:t>
      </w:r>
      <w:r>
        <w:rPr>
          <w:rFonts w:ascii="MS PGothic" w:cs="MS PGothic" w:eastAsia="MS PGothic" w:hAnsi="MS PGothic"/>
          <w:sz w:val="16"/>
          <w:szCs w:val="16"/>
          <w:color w:val="auto"/>
        </w:rPr>
        <w:t>‑</w:t>
      </w:r>
      <w:r>
        <w:rPr>
          <w:rFonts w:ascii="Arial" w:cs="Arial" w:eastAsia="Arial" w:hAnsi="Arial"/>
          <w:sz w:val="16"/>
          <w:szCs w:val="16"/>
          <w:color w:val="auto"/>
        </w:rPr>
        <w:t>055009 was well tolerated, had dose proportional pharmacokinetics (PK) and low variability, and demonstrated expected thyromimetic effects (i.e., generally dose proportional increases in sex hormone binding globulin and decreases in various atherogenic lipids and thyroid hormones). We are currently taking the necessary steps to advance ALG</w:t>
      </w:r>
      <w:r>
        <w:rPr>
          <w:rFonts w:ascii="MS PGothic" w:cs="MS PGothic" w:eastAsia="MS PGothic" w:hAnsi="MS PGothic"/>
          <w:sz w:val="16"/>
          <w:szCs w:val="16"/>
          <w:color w:val="auto"/>
        </w:rPr>
        <w:t>‑</w:t>
      </w:r>
      <w:r>
        <w:rPr>
          <w:rFonts w:ascii="Arial" w:cs="Arial" w:eastAsia="Arial" w:hAnsi="Arial"/>
          <w:sz w:val="16"/>
          <w:szCs w:val="16"/>
          <w:color w:val="auto"/>
        </w:rPr>
        <w:t>055009 into a Phase 2 proof of concept study. These steps include: 1) conducting a relative bioavailability cohort in the Phase 1 study; 2) completing 13-week Good Laboratory Practice (GLP) toxicology studies; and 3) manufacturing Phase 2 drug supply. We anticipate submitting the Phase 2 protocol to the FDA in the fourth quarter of 2023. We believe ALG</w:t>
      </w:r>
      <w:r>
        <w:rPr>
          <w:rFonts w:ascii="MS PGothic" w:cs="MS PGothic" w:eastAsia="MS PGothic" w:hAnsi="MS PGothic"/>
          <w:sz w:val="16"/>
          <w:szCs w:val="16"/>
          <w:color w:val="auto"/>
        </w:rPr>
        <w:t>‑</w:t>
      </w:r>
      <w:r>
        <w:rPr>
          <w:rFonts w:ascii="Arial" w:cs="Arial" w:eastAsia="Arial" w:hAnsi="Arial"/>
          <w:sz w:val="16"/>
          <w:szCs w:val="16"/>
          <w:color w:val="auto"/>
        </w:rPr>
        <w:t>055009 has the potential to become a best</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class THR</w:t>
      </w:r>
      <w:r>
        <w:rPr>
          <w:rFonts w:ascii="MS PGothic" w:cs="MS PGothic" w:eastAsia="MS PGothic" w:hAnsi="MS PGothic"/>
          <w:sz w:val="16"/>
          <w:szCs w:val="16"/>
          <w:color w:val="auto"/>
        </w:rPr>
        <w:t>‑</w:t>
      </w:r>
      <w:r>
        <w:rPr>
          <w:rFonts w:ascii="Arial" w:cs="Arial" w:eastAsia="Arial" w:hAnsi="Arial"/>
          <w:sz w:val="16"/>
          <w:szCs w:val="16"/>
          <w:color w:val="auto"/>
        </w:rPr>
        <w:t>ß agonist and could play an integral role in future NASH combination regimens based on its favorable pharmacokinetic profile, which could result in uniform exposures and lead to consistent efficacy and safety in a NASH population.</w:t>
      </w:r>
    </w:p>
    <w:p>
      <w:pPr>
        <w:spacing w:after="0" w:line="97" w:lineRule="exact"/>
        <w:rPr>
          <w:sz w:val="20"/>
          <w:szCs w:val="20"/>
          <w:color w:val="auto"/>
        </w:rPr>
      </w:pPr>
    </w:p>
    <w:p>
      <w:pPr>
        <w:ind w:right="440" w:firstLine="509"/>
        <w:spacing w:after="0" w:line="223" w:lineRule="exact"/>
        <w:rPr>
          <w:sz w:val="20"/>
          <w:szCs w:val="20"/>
          <w:color w:val="auto"/>
        </w:rPr>
      </w:pPr>
      <w:r>
        <w:rPr>
          <w:rFonts w:ascii="Arial" w:cs="Arial" w:eastAsia="Arial" w:hAnsi="Arial"/>
          <w:sz w:val="18"/>
          <w:szCs w:val="18"/>
          <w:color w:val="auto"/>
        </w:rPr>
        <w:t>In addition to our small molecule THR</w:t>
      </w:r>
      <w:r>
        <w:rPr>
          <w:rFonts w:ascii="MS PGothic" w:cs="MS PGothic" w:eastAsia="MS PGothic" w:hAnsi="MS PGothic"/>
          <w:sz w:val="18"/>
          <w:szCs w:val="18"/>
          <w:color w:val="auto"/>
        </w:rPr>
        <w:t>‑</w:t>
      </w:r>
      <w:r>
        <w:rPr>
          <w:rFonts w:ascii="Arial" w:cs="Arial" w:eastAsia="Arial" w:hAnsi="Arial"/>
          <w:sz w:val="18"/>
          <w:szCs w:val="18"/>
          <w:color w:val="auto"/>
        </w:rPr>
        <w:t>ß program, we are also progressing oligonucleotide projects for NASH, including in collaboration with Merck. The programs are currently progressing through preclinical activities.</w:t>
      </w:r>
    </w:p>
    <w:p>
      <w:pPr>
        <w:spacing w:after="0" w:line="95" w:lineRule="exact"/>
        <w:rPr>
          <w:sz w:val="20"/>
          <w:szCs w:val="20"/>
          <w:color w:val="auto"/>
        </w:rPr>
      </w:pPr>
    </w:p>
    <w:p>
      <w:pPr>
        <w:ind w:firstLine="509"/>
        <w:spacing w:after="0" w:line="217" w:lineRule="exact"/>
        <w:rPr>
          <w:sz w:val="20"/>
          <w:szCs w:val="20"/>
          <w:color w:val="auto"/>
        </w:rPr>
      </w:pPr>
      <w:r>
        <w:rPr>
          <w:rFonts w:ascii="Arial" w:cs="Arial" w:eastAsia="Arial" w:hAnsi="Arial"/>
          <w:sz w:val="16"/>
          <w:szCs w:val="16"/>
          <w:color w:val="auto"/>
        </w:rPr>
        <w:t>Our second area of focus is to develop drug candidates with pan-coronavirus activity, including against Severe Acute Respiratory Syndrome coronavirus 2 (SARS-CoV-2), the virus responsible for COVID-19. In this area of focus, we are using a small molecule approach, where we are exploring coronavirus 3CL protease inhibitors (PIs) in collaboration with Katholieke Universiteit Leuven (KU Leuven), the Center for Innovation and Stimulation of Drug Discovery (CISTIM) and the Centre for Drug Design and Discovery (CD3). In addition, the preclinical activities of our COVID-19 program are funded through a grant from the National Institutes of Health (NIH) and the National Institute of Allergy and Infectious Disease (NIAID)'s Antiviral Drug Discovery (AViDD) Centers for Pathogens of Pandemic Concern program through the Metropolitan AntiViral Drug Accelerator (MAVDA) consortium. Our lead candidate, ALG</w:t>
      </w:r>
      <w:r>
        <w:rPr>
          <w:rFonts w:ascii="MS PGothic" w:cs="MS PGothic" w:eastAsia="MS PGothic" w:hAnsi="MS PGothic"/>
          <w:sz w:val="16"/>
          <w:szCs w:val="16"/>
          <w:color w:val="auto"/>
        </w:rPr>
        <w:t>‑</w:t>
      </w:r>
      <w:r>
        <w:rPr>
          <w:rFonts w:ascii="Arial" w:cs="Arial" w:eastAsia="Arial" w:hAnsi="Arial"/>
          <w:sz w:val="16"/>
          <w:szCs w:val="16"/>
          <w:color w:val="auto"/>
        </w:rPr>
        <w:t>097558, is at least 6-fold more potent than nirmatrelvir and PBI-0451 in cell-based assays against a panel of SARS-CoV-2 variants (including Omicron), demonstrates broad pan-coronavirus activity, and based on preclinical studies, is not projected to require ritonavir boosting. Evaluation of ALG</w:t>
      </w:r>
      <w:r>
        <w:rPr>
          <w:rFonts w:ascii="MS PGothic" w:cs="MS PGothic" w:eastAsia="MS PGothic" w:hAnsi="MS PGothic"/>
          <w:sz w:val="16"/>
          <w:szCs w:val="16"/>
          <w:color w:val="auto"/>
        </w:rPr>
        <w:t>‑</w:t>
      </w:r>
      <w:r>
        <w:rPr>
          <w:rFonts w:ascii="Arial" w:cs="Arial" w:eastAsia="Arial" w:hAnsi="Arial"/>
          <w:sz w:val="16"/>
          <w:szCs w:val="16"/>
          <w:color w:val="auto"/>
        </w:rPr>
        <w:t>097558 in the hamster SARS-CoV-2 infection model has shown that, when dosed prior to infection or up to 24 hours post-infection, the compound caused a significant reduction in the levels of infectious virus in the lungs. ALG</w:t>
      </w:r>
      <w:r>
        <w:rPr>
          <w:rFonts w:ascii="MS PGothic" w:cs="MS PGothic" w:eastAsia="MS PGothic" w:hAnsi="MS PGothic"/>
          <w:sz w:val="16"/>
          <w:szCs w:val="16"/>
          <w:color w:val="auto"/>
        </w:rPr>
        <w:t>‑</w:t>
      </w:r>
      <w:r>
        <w:rPr>
          <w:rFonts w:ascii="Arial" w:cs="Arial" w:eastAsia="Arial" w:hAnsi="Arial"/>
          <w:sz w:val="16"/>
          <w:szCs w:val="16"/>
          <w:color w:val="auto"/>
        </w:rPr>
        <w:t>097558 also appeared to better maintain its antiviral activity against certain resistant mutants compared to other 3CL PIs in development based on publicly available data. We are currently completing first-in-human enabling nonclinical studies for ALG</w:t>
      </w:r>
      <w:r>
        <w:rPr>
          <w:rFonts w:ascii="MS PGothic" w:cs="MS PGothic" w:eastAsia="MS PGothic" w:hAnsi="MS PGothic"/>
          <w:sz w:val="16"/>
          <w:szCs w:val="16"/>
          <w:color w:val="auto"/>
        </w:rPr>
        <w:t>‑</w:t>
      </w:r>
      <w:r>
        <w:rPr>
          <w:rFonts w:ascii="Arial" w:cs="Arial" w:eastAsia="Arial" w:hAnsi="Arial"/>
          <w:sz w:val="16"/>
          <w:szCs w:val="16"/>
          <w:color w:val="auto"/>
        </w:rPr>
        <w:t>097558 and anticipate a Phase 1 CTA filing and initiation of dosing in HVs in the second quarter of 2023.</w:t>
      </w:r>
    </w:p>
    <w:p>
      <w:pPr>
        <w:spacing w:after="0" w:line="97" w:lineRule="exact"/>
        <w:rPr>
          <w:sz w:val="20"/>
          <w:szCs w:val="20"/>
          <w:color w:val="auto"/>
        </w:rPr>
      </w:pPr>
    </w:p>
    <w:p>
      <w:pPr>
        <w:jc w:val="both"/>
        <w:ind w:right="60" w:firstLine="509"/>
        <w:spacing w:after="0" w:line="311" w:lineRule="auto"/>
        <w:rPr>
          <w:sz w:val="20"/>
          <w:szCs w:val="20"/>
          <w:color w:val="auto"/>
        </w:rPr>
      </w:pPr>
      <w:r>
        <w:rPr>
          <w:rFonts w:ascii="Arial" w:cs="Arial" w:eastAsia="Arial" w:hAnsi="Arial"/>
          <w:sz w:val="16"/>
          <w:szCs w:val="16"/>
          <w:color w:val="auto"/>
        </w:rPr>
        <w:t>Our third area of focus seeks to enhance the rate of functional cure for CHB, which often results in life-threatening conditions such as cirrhosis, and the most common form of liver cancer, hepatocellular carcinoma (HCC). The most widely used treatment for CHB, nucleos(t)ide analogs (NAs), suppress viral replication, but only achieve low rates of functional cure and often require long-term administration. To address this, we have developed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 w:name="page7"/>
    <w:bookmarkEnd w:id="6"/>
    <w:p>
      <w:pPr>
        <w:ind w:right="100"/>
        <w:spacing w:after="0" w:line="311" w:lineRule="auto"/>
        <w:rPr>
          <w:sz w:val="20"/>
          <w:szCs w:val="20"/>
          <w:color w:val="auto"/>
        </w:rPr>
      </w:pPr>
      <w:r>
        <w:rPr>
          <w:rFonts w:ascii="Arial" w:cs="Arial" w:eastAsia="Arial" w:hAnsi="Arial"/>
          <w:sz w:val="16"/>
          <w:szCs w:val="16"/>
          <w:color w:val="auto"/>
        </w:rPr>
        <w:t>a portfolio of differentiated drug candidates for CHB, including a small molecule Capsid Assembly Modulator that results in the production of empty viral capsids (CAM-E), and a small interfering ribonucleic acid (siRNA), which is designed to suppress production of hepatitis B virus (HBV) surface antigen (HBsAg). Each of these drugs is designed against clinically validated targets in the HBV life cycle and is currently being evaluated in clinical trials.</w:t>
      </w:r>
    </w:p>
    <w:p>
      <w:pPr>
        <w:spacing w:after="0" w:line="41" w:lineRule="exact"/>
        <w:rPr>
          <w:sz w:val="20"/>
          <w:szCs w:val="20"/>
          <w:color w:val="auto"/>
        </w:rPr>
      </w:pPr>
    </w:p>
    <w:p>
      <w:pPr>
        <w:ind w:right="20" w:firstLine="509"/>
        <w:spacing w:after="0" w:line="220" w:lineRule="exact"/>
        <w:rPr>
          <w:sz w:val="20"/>
          <w:szCs w:val="20"/>
          <w:color w:val="auto"/>
        </w:rPr>
      </w:pPr>
      <w:r>
        <w:rPr>
          <w:rFonts w:ascii="Arial" w:cs="Arial" w:eastAsia="Arial" w:hAnsi="Arial"/>
          <w:sz w:val="16"/>
          <w:szCs w:val="16"/>
          <w:color w:val="auto"/>
        </w:rPr>
        <w:t>The initial Phase 1a study in HVs for our CAM-E, ALG</w:t>
      </w:r>
      <w:r>
        <w:rPr>
          <w:rFonts w:ascii="MS PGothic" w:cs="MS PGothic" w:eastAsia="MS PGothic" w:hAnsi="MS PGothic"/>
          <w:sz w:val="16"/>
          <w:szCs w:val="16"/>
          <w:color w:val="auto"/>
        </w:rPr>
        <w:t>‑</w:t>
      </w:r>
      <w:r>
        <w:rPr>
          <w:rFonts w:ascii="Arial" w:cs="Arial" w:eastAsia="Arial" w:hAnsi="Arial"/>
          <w:sz w:val="16"/>
          <w:szCs w:val="16"/>
          <w:color w:val="auto"/>
        </w:rPr>
        <w:t>000184, has been completed as has a Phase 1b dose ranging study evaluating the safety, pharmacokinetics and antiviral activity of 10-300 mg doses of ALG</w:t>
      </w:r>
      <w:r>
        <w:rPr>
          <w:rFonts w:ascii="MS PGothic" w:cs="MS PGothic" w:eastAsia="MS PGothic" w:hAnsi="MS PGothic"/>
          <w:sz w:val="16"/>
          <w:szCs w:val="16"/>
          <w:color w:val="auto"/>
        </w:rPr>
        <w:t>‑</w:t>
      </w:r>
      <w:r>
        <w:rPr>
          <w:rFonts w:ascii="Arial" w:cs="Arial" w:eastAsia="Arial" w:hAnsi="Arial"/>
          <w:sz w:val="16"/>
          <w:szCs w:val="16"/>
          <w:color w:val="auto"/>
        </w:rPr>
        <w:t>000184 for 28 days among untreated HBV E-antigen (HBeAg) positive/negative CHB subjects. ALG</w:t>
      </w:r>
      <w:r>
        <w:rPr>
          <w:rFonts w:ascii="MS PGothic" w:cs="MS PGothic" w:eastAsia="MS PGothic" w:hAnsi="MS PGothic"/>
          <w:sz w:val="16"/>
          <w:szCs w:val="16"/>
          <w:color w:val="auto"/>
        </w:rPr>
        <w:t>‑</w:t>
      </w:r>
      <w:r>
        <w:rPr>
          <w:rFonts w:ascii="Arial" w:cs="Arial" w:eastAsia="Arial" w:hAnsi="Arial"/>
          <w:sz w:val="16"/>
          <w:szCs w:val="16"/>
          <w:color w:val="auto"/>
        </w:rPr>
        <w:t>000184 was found in these portions of the study to be well tolerated with a favorable PK profile and demonstrated potentially best-in-class HBV DNA and RNA reductions as well as HBsAg reductions in a subset of HBeAg positive subjects receiving 300 mg ALG</w:t>
      </w:r>
      <w:r>
        <w:rPr>
          <w:rFonts w:ascii="MS PGothic" w:cs="MS PGothic" w:eastAsia="MS PGothic" w:hAnsi="MS PGothic"/>
          <w:sz w:val="16"/>
          <w:szCs w:val="16"/>
          <w:color w:val="auto"/>
        </w:rPr>
        <w:t>‑</w:t>
      </w:r>
      <w:r>
        <w:rPr>
          <w:rFonts w:ascii="Arial" w:cs="Arial" w:eastAsia="Arial" w:hAnsi="Arial"/>
          <w:sz w:val="16"/>
          <w:szCs w:val="16"/>
          <w:color w:val="auto"/>
        </w:rPr>
        <w:t>000184 (Hou et. al, AASLD 2022). Based on the favorable profile after dosing ≤300 mg ALG</w:t>
      </w:r>
      <w:r>
        <w:rPr>
          <w:rFonts w:ascii="MS PGothic" w:cs="MS PGothic" w:eastAsia="MS PGothic" w:hAnsi="MS PGothic"/>
          <w:sz w:val="16"/>
          <w:szCs w:val="16"/>
          <w:color w:val="auto"/>
        </w:rPr>
        <w:t>‑</w:t>
      </w:r>
      <w:r>
        <w:rPr>
          <w:rFonts w:ascii="Arial" w:cs="Arial" w:eastAsia="Arial" w:hAnsi="Arial"/>
          <w:sz w:val="16"/>
          <w:szCs w:val="16"/>
          <w:color w:val="auto"/>
        </w:rPr>
        <w:t>000184 x 28 days, additional Phase 1b cohorts are currently being evaluated for the risk-benefit profile of 100-300 mg doses of ALG</w:t>
      </w:r>
      <w:r>
        <w:rPr>
          <w:rFonts w:ascii="MS PGothic" w:cs="MS PGothic" w:eastAsia="MS PGothic" w:hAnsi="MS PGothic"/>
          <w:sz w:val="16"/>
          <w:szCs w:val="16"/>
          <w:color w:val="auto"/>
        </w:rPr>
        <w:t>‑</w:t>
      </w:r>
      <w:r>
        <w:rPr>
          <w:rFonts w:ascii="Arial" w:cs="Arial" w:eastAsia="Arial" w:hAnsi="Arial"/>
          <w:sz w:val="16"/>
          <w:szCs w:val="16"/>
          <w:color w:val="auto"/>
        </w:rPr>
        <w:t>000184 with or without background entecavir (ETV) therapy for ≤48 weeks in HBeAg positive or negative CHB patients. Preliminary data presented for these cohorts (Hou et. al, APASL 2023) indicate that ALG</w:t>
      </w:r>
      <w:r>
        <w:rPr>
          <w:rFonts w:ascii="MS PGothic" w:cs="MS PGothic" w:eastAsia="MS PGothic" w:hAnsi="MS PGothic"/>
          <w:sz w:val="16"/>
          <w:szCs w:val="16"/>
          <w:color w:val="auto"/>
        </w:rPr>
        <w:t>‑</w:t>
      </w:r>
      <w:r>
        <w:rPr>
          <w:rFonts w:ascii="Arial" w:cs="Arial" w:eastAsia="Arial" w:hAnsi="Arial"/>
          <w:sz w:val="16"/>
          <w:szCs w:val="16"/>
          <w:color w:val="auto"/>
        </w:rPr>
        <w:t>000184 dosed for up to 12 weeks is well tolerated with a favorable PK profile and potentially best-in-class antiviral activity. Specifically, antiviral activity data through Week 10 were summarized in cohorts of HBeAg positive subjects with normal baseline ALT (100 mg (Part 4 Cohort 1) and HBeAg positive subjects with normal/elevated baseline ALT (300 mg (Part 4 Cohort 2)). In Part 4 Cohorts 1 and 2, respectively, we observed greater mean DNA (4.9, 5.2 log</w:t>
      </w:r>
      <w:r>
        <w:rPr>
          <w:rFonts w:ascii="Arial" w:cs="Arial" w:eastAsia="Arial" w:hAnsi="Arial"/>
          <w:sz w:val="21"/>
          <w:szCs w:val="21"/>
          <w:color w:val="auto"/>
          <w:vertAlign w:val="subscript"/>
        </w:rPr>
        <w:t>10</w:t>
      </w:r>
      <w:r>
        <w:rPr>
          <w:rFonts w:ascii="Arial" w:cs="Arial" w:eastAsia="Arial" w:hAnsi="Arial"/>
          <w:sz w:val="16"/>
          <w:szCs w:val="16"/>
          <w:color w:val="auto"/>
        </w:rPr>
        <w:t xml:space="preserve"> IU/mL) and RNA (2.7, 3.3 log</w:t>
      </w:r>
      <w:r>
        <w:rPr>
          <w:rFonts w:ascii="Arial" w:cs="Arial" w:eastAsia="Arial" w:hAnsi="Arial"/>
          <w:sz w:val="21"/>
          <w:szCs w:val="21"/>
          <w:color w:val="auto"/>
          <w:vertAlign w:val="subscript"/>
        </w:rPr>
        <w:t>10</w:t>
      </w:r>
      <w:r>
        <w:rPr>
          <w:rFonts w:ascii="Arial" w:cs="Arial" w:eastAsia="Arial" w:hAnsi="Arial"/>
          <w:sz w:val="16"/>
          <w:szCs w:val="16"/>
          <w:color w:val="auto"/>
        </w:rPr>
        <w:t xml:space="preserve"> copies/mL) reductions vs. ETV alone (3.7 log</w:t>
      </w:r>
      <w:r>
        <w:rPr>
          <w:rFonts w:ascii="Arial" w:cs="Arial" w:eastAsia="Arial" w:hAnsi="Arial"/>
          <w:sz w:val="21"/>
          <w:szCs w:val="21"/>
          <w:color w:val="auto"/>
          <w:vertAlign w:val="subscript"/>
        </w:rPr>
        <w:t>10</w:t>
      </w:r>
      <w:r>
        <w:rPr>
          <w:rFonts w:ascii="Arial" w:cs="Arial" w:eastAsia="Arial" w:hAnsi="Arial"/>
          <w:sz w:val="16"/>
          <w:szCs w:val="16"/>
          <w:color w:val="auto"/>
        </w:rPr>
        <w:t xml:space="preserve"> IU/mL reduction, 0.1 log</w:t>
      </w:r>
      <w:r>
        <w:rPr>
          <w:rFonts w:ascii="Arial" w:cs="Arial" w:eastAsia="Arial" w:hAnsi="Arial"/>
          <w:sz w:val="21"/>
          <w:szCs w:val="21"/>
          <w:color w:val="auto"/>
          <w:vertAlign w:val="subscript"/>
        </w:rPr>
        <w:t>10</w:t>
      </w:r>
      <w:r>
        <w:rPr>
          <w:rFonts w:ascii="Arial" w:cs="Arial" w:eastAsia="Arial" w:hAnsi="Arial"/>
          <w:sz w:val="16"/>
          <w:szCs w:val="16"/>
          <w:color w:val="auto"/>
        </w:rPr>
        <w:t xml:space="preserve"> copies/mL increase, respectively). Similarly, among subjects with available data at Week 10, HBsAg levels declined in cohorts 1 and 2 to a maximum of 0.3 log</w:t>
      </w:r>
      <w:r>
        <w:rPr>
          <w:rFonts w:ascii="Arial" w:cs="Arial" w:eastAsia="Arial" w:hAnsi="Arial"/>
          <w:sz w:val="21"/>
          <w:szCs w:val="21"/>
          <w:color w:val="auto"/>
          <w:vertAlign w:val="subscript"/>
        </w:rPr>
        <w:t>10</w:t>
      </w:r>
      <w:r>
        <w:rPr>
          <w:rFonts w:ascii="Arial" w:cs="Arial" w:eastAsia="Arial" w:hAnsi="Arial"/>
          <w:sz w:val="16"/>
          <w:szCs w:val="16"/>
          <w:color w:val="auto"/>
        </w:rPr>
        <w:t xml:space="preserve"> IU/mL and 0.7 log</w:t>
      </w:r>
      <w:r>
        <w:rPr>
          <w:rFonts w:ascii="Arial" w:cs="Arial" w:eastAsia="Arial" w:hAnsi="Arial"/>
          <w:sz w:val="21"/>
          <w:szCs w:val="21"/>
          <w:color w:val="auto"/>
          <w:vertAlign w:val="subscript"/>
        </w:rPr>
        <w:t>10</w:t>
      </w:r>
      <w:r>
        <w:rPr>
          <w:rFonts w:ascii="Arial" w:cs="Arial" w:eastAsia="Arial" w:hAnsi="Arial"/>
          <w:sz w:val="16"/>
          <w:szCs w:val="16"/>
          <w:color w:val="auto"/>
        </w:rPr>
        <w:t xml:space="preserve"> IU/mL compared to no meaningful change in subjects dosed with ETV alone. Dosing in these and at least one additional cohort will continue throughout 2023 and interim safety, PK, and antiviral activity data will be presented at scientific conferences throughout the year.</w:t>
      </w:r>
    </w:p>
    <w:p>
      <w:pPr>
        <w:spacing w:after="0" w:line="104" w:lineRule="exact"/>
        <w:rPr>
          <w:sz w:val="20"/>
          <w:szCs w:val="20"/>
          <w:color w:val="auto"/>
        </w:rPr>
      </w:pPr>
    </w:p>
    <w:p>
      <w:pPr>
        <w:ind w:right="60" w:firstLine="509"/>
        <w:spacing w:after="0" w:line="219" w:lineRule="exact"/>
        <w:rPr>
          <w:sz w:val="20"/>
          <w:szCs w:val="20"/>
          <w:color w:val="auto"/>
        </w:rPr>
      </w:pPr>
      <w:r>
        <w:rPr>
          <w:rFonts w:ascii="Arial" w:cs="Arial" w:eastAsia="Arial" w:hAnsi="Arial"/>
          <w:sz w:val="18"/>
          <w:szCs w:val="18"/>
          <w:color w:val="auto"/>
        </w:rPr>
        <w:t>With respect to our siRNA drug candidate, ALG</w:t>
      </w:r>
      <w:r>
        <w:rPr>
          <w:rFonts w:ascii="MS PGothic" w:cs="MS PGothic" w:eastAsia="MS PGothic" w:hAnsi="MS PGothic"/>
          <w:sz w:val="18"/>
          <w:szCs w:val="18"/>
          <w:color w:val="auto"/>
        </w:rPr>
        <w:t>‑</w:t>
      </w:r>
      <w:r>
        <w:rPr>
          <w:rFonts w:ascii="Arial" w:cs="Arial" w:eastAsia="Arial" w:hAnsi="Arial"/>
          <w:sz w:val="18"/>
          <w:szCs w:val="18"/>
          <w:color w:val="auto"/>
        </w:rPr>
        <w:t>125755, a Phase 1 study is ongoing in New Zealand and in several countries in Eastern Europe. Part 1 of this study evaluated single doses in doses ranging from 20 mg to 200 mg in HVs and found that these doses were well tolerated with a favorable PK profile (Gane et al., APASL 2023). Part 2 of the study, which is an SAD in virologically suppressed HBeAg negative CHB subjects, is ongoing. To date, a 50 mg dose of ALG</w:t>
      </w:r>
      <w:r>
        <w:rPr>
          <w:rFonts w:ascii="MS PGothic" w:cs="MS PGothic" w:eastAsia="MS PGothic" w:hAnsi="MS PGothic"/>
          <w:sz w:val="18"/>
          <w:szCs w:val="18"/>
          <w:color w:val="auto"/>
        </w:rPr>
        <w:t>‑</w:t>
      </w:r>
      <w:r>
        <w:rPr>
          <w:rFonts w:ascii="Arial" w:cs="Arial" w:eastAsia="Arial" w:hAnsi="Arial"/>
          <w:sz w:val="18"/>
          <w:szCs w:val="18"/>
          <w:color w:val="auto"/>
        </w:rPr>
        <w:t>125755 has been evaluated in Part 2 and found to be well tolerated with an acceptable PK profile. We plan to share preliminary data from this study at scientific conferences throughout 2023.</w:t>
      </w:r>
    </w:p>
    <w:p>
      <w:pPr>
        <w:spacing w:after="0" w:line="97"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We are also exploring ways to boost immune responses via small molecule inhibitors of the programmed death 1 (ligand) PD-1/PD-L1 interaction. We have rationally designed these T cell activating drugs to localize in the liver and thereby potentially mitigate systemic toxicity in an effort to develop better tolerated PD-1/PD-L1 inhibitors for CHB patients. Lead molecules developed to date show similar in vivo efficacy to approved PD-1/PD-L1 antibodies and greater target occupancy at a lower dose in a liver metastatic tumor model compared to a subcutaneous tumor model. We believe that combination regimens utilizing our broad portfolio of CHB drug candidates, with or without other mechanisms of action, may lead to higher rates of functional cure.</w:t>
      </w:r>
    </w:p>
    <w:p>
      <w:pPr>
        <w:spacing w:after="0" w:line="84"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Our management team consists of a group of highly collaborative, culturally diverse executives with decades of drug discovery and development experience and a proven track record of success in the areas of viral infections and liver diseases. Most members of our management team have worked together across multiple companies, many for over a decade, and have been collectively involved in the discovery and/or development of a number of drugs that have been successfully commercialized, including Ganovo, Olysio, Sovaldi, Hepsera, Infergen, Valtrex, Sirturo, Neupogen, Andexxa and Esbriet, among others. In support of our management team, we also have assembled an industry-leading board of directors and a world-class group of scientific advisors with significant experience in drug development for liver diseases and viral infections.</w:t>
      </w:r>
    </w:p>
    <w:p>
      <w:pPr>
        <w:spacing w:after="0" w:line="70"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Our team’s collective experience and success in discovering and developing drugs targeting NASH and viruses, combined with our in-house expertise in oligonucleotide and small molecule drug discovery, gives us a differentiated set of capabilities, which has enabled us to rapidly establish a robust pipeline of multiple novel drug candidates, as summarized in the pipeline chart below.</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 w:name="page8"/>
    <w:bookmarkEnd w:id="7"/>
    <w:p>
      <w:pPr>
        <w:ind w:left="1820"/>
        <w:spacing w:after="0"/>
        <w:rPr>
          <w:sz w:val="20"/>
          <w:szCs w:val="20"/>
          <w:color w:val="auto"/>
        </w:rPr>
      </w:pPr>
      <w:r>
        <w:rPr>
          <w:rFonts w:ascii="Arial" w:cs="Arial" w:eastAsia="Arial" w:hAnsi="Arial"/>
          <w:sz w:val="18"/>
          <w:szCs w:val="18"/>
          <w:b w:val="1"/>
          <w:bCs w:val="1"/>
          <w:u w:val="single" w:color="auto"/>
          <w:color w:val="auto"/>
        </w:rPr>
        <w:t>Figure 1: Aligos development portfolio showing multiple milestones and data readouts anticipated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85725</wp:posOffset>
            </wp:positionV>
            <wp:extent cx="5349240" cy="2683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268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200" w:firstLine="509"/>
        <w:spacing w:after="0" w:line="311" w:lineRule="auto"/>
        <w:rPr>
          <w:sz w:val="20"/>
          <w:szCs w:val="20"/>
          <w:color w:val="auto"/>
        </w:rPr>
      </w:pPr>
      <w:r>
        <w:rPr>
          <w:rFonts w:ascii="Arial" w:cs="Arial" w:eastAsia="Arial" w:hAnsi="Arial"/>
          <w:sz w:val="16"/>
          <w:szCs w:val="16"/>
          <w:color w:val="auto"/>
        </w:rPr>
        <w:t>Our strategy is to develop pharmacologically optimized drug candidates for use in combination regimens designed to achieve improved treatment outcomes. Our initial areas of focus are NASH and viral diseases, where our team can leverage their in-depth knowledge and expertise to develop potentially best-in-class combination regimens addressing large areas of unmet medical need. The core elements of our business strategy include:</w:t>
      </w:r>
    </w:p>
    <w:p>
      <w:pPr>
        <w:spacing w:after="0" w:line="41" w:lineRule="exact"/>
        <w:rPr>
          <w:sz w:val="20"/>
          <w:szCs w:val="20"/>
          <w:color w:val="auto"/>
        </w:rPr>
      </w:pPr>
    </w:p>
    <w:p>
      <w:pPr>
        <w:ind w:left="1020" w:right="100" w:hanging="503"/>
        <w:spacing w:after="0" w:line="279"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Developing improved drug candidates against clinically validated targets. </w:t>
      </w:r>
      <w:r>
        <w:rPr>
          <w:rFonts w:ascii="Arial" w:cs="Arial" w:eastAsia="Arial" w:hAnsi="Arial"/>
          <w:sz w:val="17"/>
          <w:szCs w:val="17"/>
          <w:color w:val="auto"/>
        </w:rPr>
        <w:t>We leverage our oligonucleotide and small molecule platforms,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are designed to identify drug candidates with pharmacologically optimized characteristics compared to other drug candidates, including the potential for improved efficacy, safety and/or route of administration. By initially focusing on clinically validated targets, we increase the likelihood of demonstrating clinical efficacy and delivering optimized combination regimens.</w:t>
      </w:r>
    </w:p>
    <w:p>
      <w:pPr>
        <w:spacing w:after="0" w:line="63" w:lineRule="exact"/>
        <w:rPr>
          <w:rFonts w:ascii="Arial" w:cs="Arial" w:eastAsia="Arial" w:hAnsi="Arial"/>
          <w:sz w:val="17"/>
          <w:szCs w:val="17"/>
          <w:color w:val="auto"/>
        </w:rPr>
      </w:pPr>
    </w:p>
    <w:p>
      <w:pPr>
        <w:ind w:left="1020" w:hanging="503"/>
        <w:spacing w:after="0" w:line="25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Creating combination regimens designed to achieve better outcomes. </w:t>
      </w:r>
      <w:r>
        <w:rPr>
          <w:rFonts w:ascii="Arial" w:cs="Arial" w:eastAsia="Arial" w:hAnsi="Arial"/>
          <w:sz w:val="18"/>
          <w:szCs w:val="18"/>
          <w:color w:val="auto"/>
        </w:rPr>
        <w:t>We believe that most chronic and viral diseases require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therapies for optimal treatment outcomes and that combining individual drugs which can act additively or synergistically provides the greatest potential for enhanced efficacy. For each of our drug candidates, our strategy in Phase 1 is to rapidly evaluate safety and demonstrate proof of activity for each individual drug. Subsequently, we plan to combine multiple drug candidates in Phase 2 trials to identify optimized combination regimens to be advanced into pivotal trials.</w:t>
      </w:r>
    </w:p>
    <w:p>
      <w:pPr>
        <w:spacing w:after="0" w:line="79" w:lineRule="exact"/>
        <w:rPr>
          <w:rFonts w:ascii="Arial" w:cs="Arial" w:eastAsia="Arial" w:hAnsi="Arial"/>
          <w:sz w:val="18"/>
          <w:szCs w:val="18"/>
          <w:color w:val="auto"/>
        </w:rPr>
      </w:pPr>
    </w:p>
    <w:p>
      <w:pPr>
        <w:ind w:left="1040" w:right="40" w:hanging="517"/>
        <w:spacing w:after="0" w:line="271"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Expanding our development capabilities and pipeline. </w:t>
      </w:r>
      <w:r>
        <w:rPr>
          <w:rFonts w:ascii="Arial" w:cs="Arial" w:eastAsia="Arial" w:hAnsi="Arial"/>
          <w:sz w:val="17"/>
          <w:szCs w:val="17"/>
          <w:color w:val="auto"/>
        </w:rPr>
        <w:t>We are utilizing our in-house discovery expertise to continually improve upon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existing drug candidates by identifying promising backup candidates and exploring novel and emerging drug targets in NASH and viral diseases. We are also evaluating novel mechanisms of action with the potential to complement our current pipeline. To further supplement our internal discovery and development efforts, we actively evaluate external technology platforms and assets for future development candidates for liver and viral diseases. To date, we have secured licenses for technology from Emory, Luxna and AM Chemicals, LLC (AM Chemicals), and have entered into collaborations with KU Leuven’s Rega Institute for Medical Research, as well as its Centre for Drug Design and Discovery, and we have a collaboration with Merck Sharp &amp; Dohme Corp., a subsidiary of Merck &amp; Co., Inc. (known outside of the United States and Canada as MSD) (which</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8" w:name="page9"/>
    <w:bookmarkEnd w:id="8"/>
    <w:p>
      <w:pPr>
        <w:ind w:left="1040"/>
        <w:spacing w:after="0"/>
        <w:rPr>
          <w:sz w:val="20"/>
          <w:szCs w:val="20"/>
          <w:color w:val="auto"/>
        </w:rPr>
      </w:pPr>
      <w:r>
        <w:rPr>
          <w:rFonts w:ascii="Arial" w:cs="Arial" w:eastAsia="Arial" w:hAnsi="Arial"/>
          <w:sz w:val="18"/>
          <w:szCs w:val="18"/>
          <w:color w:val="auto"/>
        </w:rPr>
        <w:t>Merck Sharp &amp; Dohme Corp., or Merck &amp; Co., Inc., individually or together, are referred to herein as “Merck”).</w:t>
      </w:r>
    </w:p>
    <w:p>
      <w:pPr>
        <w:spacing w:after="0" w:line="117" w:lineRule="exact"/>
        <w:rPr>
          <w:sz w:val="20"/>
          <w:szCs w:val="20"/>
          <w:color w:val="auto"/>
        </w:rPr>
      </w:pPr>
    </w:p>
    <w:p>
      <w:pPr>
        <w:ind w:left="1020" w:right="100" w:hanging="503"/>
        <w:spacing w:after="0" w:line="296"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Maximizing the value of our drug candidates. </w:t>
      </w:r>
      <w:r>
        <w:rPr>
          <w:rFonts w:ascii="Arial" w:cs="Arial" w:eastAsia="Arial" w:hAnsi="Arial"/>
          <w:sz w:val="16"/>
          <w:szCs w:val="16"/>
          <w:color w:val="auto"/>
        </w:rPr>
        <w:t>We currently hold worldwide development and commercialization rights, including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exclusive licenses, to all of our drug candidates. We intend to pursue independent development and commercialization in select indications and markets that we can address with a specialty sales and marketing organization. We may opportunistically explore additional licensing agreements, collaborations or partnerships to develop our drug candidates in larger market indications where we could accelerate development utilizing the resources of larger biopharmaceutical companies, or to commercialize them in specific geographies.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Research and Development</w:t>
      </w:r>
    </w:p>
    <w:p>
      <w:pPr>
        <w:spacing w:after="0" w:line="121"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Our oligonucleotide and small molecule platforms are designed to allow us to discover drug candidates that can be used to develop potentially best-in-class combination regimens. Oligonucleotide approaches enable specific inhibition of the translation of host or viral genes to affect a desired outcome that would be challenging to achieve with traditional small molecules. We believe the diversity of chemical matter we can generate with these complementary modalities broadens the range of therapeutic targets we can address with our platforms and provides us with a differentiated set of in-house capabilities to use in developing novel, optimized combination regimens across all of our current areas of focus.</w:t>
      </w:r>
    </w:p>
    <w:p>
      <w:pPr>
        <w:spacing w:after="0" w:line="176"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Our approach of combining multiple mechanisms from these distinct modalities is based on the observation that most chronic diseases, whether extrinsic (e.g., HIV and Hepatitis C) or intrinsic (e.g., metabolic syndrome conditions such as hypertension and diabetes), often require combination therapy to achieve optimal outcomes. Combination approaches have the advantage of simultaneously targeting multiple pathways and can act broadly and potentially synergistically. Particularly in the case of viral diseases, the simultaneous use of multiple drugs in combination can increase the barrier to viral resistance. As part of our drug candidate screening paradigm, we perform in vitro combination studies to ensure that none of the combinations we plan to evaluate clinically demonstrate antagonistic interactions.</w:t>
      </w:r>
    </w:p>
    <w:p>
      <w:pPr>
        <w:spacing w:after="0" w:line="70"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Our team has extensive end-to-end drug discovery and development experience across multiple therapeutic areas and disciplines. Our clinical development strategy leverages past experience to rapidly advance drug candidates towards optimized combination regimens. We have strengthened our platforms by in-licensing select intellectual property, which, together with our in-house expertise, allows us to develop novel and proprietary drug candidates.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Oligonucleotide platform</w:t>
      </w:r>
    </w:p>
    <w:p>
      <w:pPr>
        <w:spacing w:after="0" w:line="117" w:lineRule="exact"/>
        <w:rPr>
          <w:sz w:val="20"/>
          <w:szCs w:val="20"/>
          <w:color w:val="auto"/>
        </w:rPr>
      </w:pPr>
    </w:p>
    <w:p>
      <w:pPr>
        <w:ind w:right="340" w:firstLine="509"/>
        <w:spacing w:after="0" w:line="221" w:lineRule="exact"/>
        <w:rPr>
          <w:sz w:val="20"/>
          <w:szCs w:val="20"/>
          <w:color w:val="auto"/>
        </w:rPr>
      </w:pPr>
      <w:r>
        <w:rPr>
          <w:rFonts w:ascii="Arial" w:cs="Arial" w:eastAsia="Arial" w:hAnsi="Arial"/>
          <w:sz w:val="17"/>
          <w:szCs w:val="17"/>
          <w:color w:val="auto"/>
        </w:rPr>
        <w:t>We have distinct modalities within our oligonucleotide platform, including siRNAs. We have developed a portfolio of oligonucleotide drug candidates for the treatment of CHB, including ALG</w:t>
      </w:r>
      <w:r>
        <w:rPr>
          <w:rFonts w:ascii="MS PGothic" w:cs="MS PGothic" w:eastAsia="MS PGothic" w:hAnsi="MS PGothic"/>
          <w:sz w:val="17"/>
          <w:szCs w:val="17"/>
          <w:color w:val="auto"/>
        </w:rPr>
        <w:t>‑</w:t>
      </w:r>
      <w:r>
        <w:rPr>
          <w:rFonts w:ascii="Arial" w:cs="Arial" w:eastAsia="Arial" w:hAnsi="Arial"/>
          <w:sz w:val="17"/>
          <w:szCs w:val="17"/>
          <w:color w:val="auto"/>
        </w:rPr>
        <w:t>125755, an siRNA drug candidate. In addition, we are leveraging our oligonucleotide platform to develop drug candidates for other diseases such as for the treatment of NASH, including in collaboration with Merck.</w:t>
      </w:r>
    </w:p>
    <w:p>
      <w:pPr>
        <w:spacing w:after="0" w:line="94" w:lineRule="exact"/>
        <w:rPr>
          <w:sz w:val="20"/>
          <w:szCs w:val="20"/>
          <w:color w:val="auto"/>
        </w:rPr>
      </w:pPr>
    </w:p>
    <w:p>
      <w:pPr>
        <w:ind w:right="460" w:firstLine="509"/>
        <w:spacing w:after="0" w:line="263" w:lineRule="auto"/>
        <w:rPr>
          <w:sz w:val="20"/>
          <w:szCs w:val="20"/>
          <w:color w:val="auto"/>
        </w:rPr>
      </w:pPr>
      <w:r>
        <w:rPr>
          <w:rFonts w:ascii="Arial" w:cs="Arial" w:eastAsia="Arial" w:hAnsi="Arial"/>
          <w:sz w:val="18"/>
          <w:szCs w:val="18"/>
          <w:color w:val="auto"/>
        </w:rPr>
        <w:t>We have exclusively licensed proprietary technologies that enhance our oligonucleotide platform. These technologies include third generation bridged nucleic acid (BNA) and N-acetylgalactosamine (GalNAc) chemistries, which can improve liver targeting, increase potency and enhance pharmacokinetic properties.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Small interfering RNAs (siRNAs)</w:t>
      </w:r>
    </w:p>
    <w:p>
      <w:pPr>
        <w:spacing w:after="0" w:line="117" w:lineRule="exact"/>
        <w:rPr>
          <w:sz w:val="20"/>
          <w:szCs w:val="20"/>
          <w:color w:val="auto"/>
        </w:rPr>
      </w:pPr>
    </w:p>
    <w:p>
      <w:pPr>
        <w:ind w:right="180" w:firstLine="509"/>
        <w:spacing w:after="0" w:line="219" w:lineRule="exact"/>
        <w:rPr>
          <w:sz w:val="20"/>
          <w:szCs w:val="20"/>
          <w:color w:val="auto"/>
        </w:rPr>
      </w:pPr>
      <w:r>
        <w:rPr>
          <w:rFonts w:ascii="Arial" w:cs="Arial" w:eastAsia="Arial" w:hAnsi="Arial"/>
          <w:sz w:val="18"/>
          <w:szCs w:val="18"/>
          <w:color w:val="auto"/>
        </w:rPr>
        <w:t>siRNAs are a class of double-stranded, non-coding RNA that interferes with viral replication by silencing gene expression. Multiple siRNAs have demonstrated significant reductions in HBsAg levels in clinical trials. Our novel and proprietary siRNA technology has resulted in the identification of molecules, including ALG</w:t>
      </w:r>
      <w:r>
        <w:rPr>
          <w:rFonts w:ascii="MS PGothic" w:cs="MS PGothic" w:eastAsia="MS PGothic" w:hAnsi="MS PGothic"/>
          <w:sz w:val="18"/>
          <w:szCs w:val="18"/>
          <w:color w:val="auto"/>
        </w:rPr>
        <w:t>‑</w:t>
      </w:r>
      <w:r>
        <w:rPr>
          <w:rFonts w:ascii="Arial" w:cs="Arial" w:eastAsia="Arial" w:hAnsi="Arial"/>
          <w:sz w:val="18"/>
          <w:szCs w:val="18"/>
          <w:color w:val="auto"/>
        </w:rPr>
        <w:t>125755, that have demonstrated high potency and long-lasting durability in nonclinical CHB models. A Phase 1 study of this drug candidate is currently ongoing in New Zealand and several countries in Eastern Europe and clinical data on this drug candidate will be presented at scientific conferences throughout 2023.</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Small molecule platform</w:t>
      </w:r>
    </w:p>
    <w:p>
      <w:pPr>
        <w:spacing w:after="0" w:line="117"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Our team has the capability and experience to rapidly identify and optimize small molecules, including traditional small molecules, peptidomimetics and prodrugs. Our team has a strong track record of developing and commercializing small molecule drug candidates. We use state-of-the-art computational chemistry and crystallography to enable structure-guided drug design. We have applied this approach to the multidimensional</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optimization of potential drug candidates in multiple therapeutic areas, including for liver diseases and viral infections.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Traditional small molecules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To date, traditional small molecules represent the vast majority of approved drugs and are the primary chemistry approach used for drug discovery.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developing many small molecule drug candidates, including for the treatment of NASH and CHB.</w:t>
      </w:r>
    </w:p>
    <w:p>
      <w:pPr>
        <w:spacing w:after="0" w:line="103" w:lineRule="exact"/>
        <w:rPr>
          <w:sz w:val="20"/>
          <w:szCs w:val="20"/>
          <w:color w:val="auto"/>
        </w:rPr>
      </w:pPr>
    </w:p>
    <w:p>
      <w:pPr>
        <w:ind w:firstLine="509"/>
        <w:spacing w:after="0" w:line="219" w:lineRule="exact"/>
        <w:rPr>
          <w:sz w:val="20"/>
          <w:szCs w:val="20"/>
          <w:color w:val="auto"/>
        </w:rPr>
      </w:pPr>
      <w:r>
        <w:rPr>
          <w:rFonts w:ascii="Arial" w:cs="Arial" w:eastAsia="Arial" w:hAnsi="Arial"/>
          <w:sz w:val="17"/>
          <w:szCs w:val="17"/>
          <w:color w:val="auto"/>
        </w:rPr>
        <w:t>THR</w:t>
      </w:r>
      <w:r>
        <w:rPr>
          <w:rFonts w:ascii="MS PGothic" w:cs="MS PGothic" w:eastAsia="MS PGothic" w:hAnsi="MS PGothic"/>
          <w:sz w:val="17"/>
          <w:szCs w:val="17"/>
          <w:color w:val="auto"/>
        </w:rPr>
        <w:t>‑</w:t>
      </w:r>
      <w:r>
        <w:rPr>
          <w:rFonts w:ascii="Arial" w:cs="Arial" w:eastAsia="Arial" w:hAnsi="Arial"/>
          <w:sz w:val="17"/>
          <w:szCs w:val="17"/>
          <w:color w:val="auto"/>
        </w:rPr>
        <w:t>b agonists are small molecules that have been shown to significantly reduce circulating lipid levels and improve liver histology in patients with NASH. Based on publicly available data, ALG</w:t>
      </w:r>
      <w:r>
        <w:rPr>
          <w:rFonts w:ascii="MS PGothic" w:cs="MS PGothic" w:eastAsia="MS PGothic" w:hAnsi="MS PGothic"/>
          <w:sz w:val="17"/>
          <w:szCs w:val="17"/>
          <w:color w:val="auto"/>
        </w:rPr>
        <w:t>‑</w:t>
      </w:r>
      <w:r>
        <w:rPr>
          <w:rFonts w:ascii="Arial" w:cs="Arial" w:eastAsia="Arial" w:hAnsi="Arial"/>
          <w:sz w:val="17"/>
          <w:szCs w:val="17"/>
          <w:color w:val="auto"/>
        </w:rPr>
        <w:t>055009, a THR</w:t>
      </w:r>
      <w:r>
        <w:rPr>
          <w:rFonts w:ascii="MS PGothic" w:cs="MS PGothic" w:eastAsia="MS PGothic" w:hAnsi="MS PGothic"/>
          <w:sz w:val="17"/>
          <w:szCs w:val="17"/>
          <w:color w:val="auto"/>
        </w:rPr>
        <w:t>‑</w:t>
      </w:r>
      <w:r>
        <w:rPr>
          <w:rFonts w:ascii="Arial" w:cs="Arial" w:eastAsia="Arial" w:hAnsi="Arial"/>
          <w:sz w:val="17"/>
          <w:szCs w:val="17"/>
          <w:color w:val="auto"/>
        </w:rPr>
        <w:t>b agonist has demonstrated improved potency in vitro and increased efficacy in nonclinical animal models relative to other THR</w:t>
      </w:r>
      <w:r>
        <w:rPr>
          <w:rFonts w:ascii="MS PGothic" w:cs="MS PGothic" w:eastAsia="MS PGothic" w:hAnsi="MS PGothic"/>
          <w:sz w:val="17"/>
          <w:szCs w:val="17"/>
          <w:color w:val="auto"/>
        </w:rPr>
        <w:t>‑</w:t>
      </w:r>
      <w:r>
        <w:rPr>
          <w:rFonts w:ascii="Arial" w:cs="Arial" w:eastAsia="Arial" w:hAnsi="Arial"/>
          <w:sz w:val="17"/>
          <w:szCs w:val="17"/>
          <w:color w:val="auto"/>
        </w:rPr>
        <w:t>b agonists in Phase 2 or later stages of development. We have recently shown that ALG</w:t>
      </w:r>
      <w:r>
        <w:rPr>
          <w:rFonts w:ascii="MS PGothic" w:cs="MS PGothic" w:eastAsia="MS PGothic" w:hAnsi="MS PGothic"/>
          <w:sz w:val="17"/>
          <w:szCs w:val="17"/>
          <w:color w:val="auto"/>
        </w:rPr>
        <w:t>‑</w:t>
      </w:r>
      <w:r>
        <w:rPr>
          <w:rFonts w:ascii="Arial" w:cs="Arial" w:eastAsia="Arial" w:hAnsi="Arial"/>
          <w:sz w:val="17"/>
          <w:szCs w:val="17"/>
          <w:color w:val="auto"/>
        </w:rPr>
        <w:t>055009 has a favorable safety, PK, and lipid-lowering profile when dosed for up to 14 days. Importantly, the PK properties of ALG</w:t>
      </w:r>
      <w:r>
        <w:rPr>
          <w:rFonts w:ascii="MS PGothic" w:cs="MS PGothic" w:eastAsia="MS PGothic" w:hAnsi="MS PGothic"/>
          <w:sz w:val="17"/>
          <w:szCs w:val="17"/>
          <w:color w:val="auto"/>
        </w:rPr>
        <w:t>‑</w:t>
      </w:r>
      <w:r>
        <w:rPr>
          <w:rFonts w:ascii="Arial" w:cs="Arial" w:eastAsia="Arial" w:hAnsi="Arial"/>
          <w:sz w:val="17"/>
          <w:szCs w:val="17"/>
          <w:color w:val="auto"/>
        </w:rPr>
        <w:t>055009 include dose proportional increases in exposure across a broad range of doses as well as low inter-subject variability, which is likely to result in more uniform exposures and lead to more consistent efficacy and safety in a NASH population compared to other THR-b drugs in development.</w:t>
      </w:r>
    </w:p>
    <w:p>
      <w:pPr>
        <w:spacing w:after="0" w:line="94" w:lineRule="exact"/>
        <w:rPr>
          <w:sz w:val="20"/>
          <w:szCs w:val="20"/>
          <w:color w:val="auto"/>
        </w:rPr>
      </w:pPr>
    </w:p>
    <w:p>
      <w:pPr>
        <w:ind w:right="80" w:firstLine="509"/>
        <w:spacing w:after="0" w:line="219" w:lineRule="exact"/>
        <w:rPr>
          <w:sz w:val="20"/>
          <w:szCs w:val="20"/>
          <w:color w:val="auto"/>
        </w:rPr>
      </w:pPr>
      <w:r>
        <w:rPr>
          <w:rFonts w:ascii="Arial" w:cs="Arial" w:eastAsia="Arial" w:hAnsi="Arial"/>
          <w:sz w:val="17"/>
          <w:szCs w:val="17"/>
          <w:color w:val="auto"/>
        </w:rPr>
        <w:t>CAM-Es are small molecules that have been shown to significantly reduce viral markers in CHB patients in clinical studies. Applying our small molecule platform, we have identified ALG</w:t>
      </w:r>
      <w:r>
        <w:rPr>
          <w:rFonts w:ascii="MS PGothic" w:cs="MS PGothic" w:eastAsia="MS PGothic" w:hAnsi="MS PGothic"/>
          <w:sz w:val="17"/>
          <w:szCs w:val="17"/>
          <w:color w:val="auto"/>
        </w:rPr>
        <w:t>‑</w:t>
      </w:r>
      <w:r>
        <w:rPr>
          <w:rFonts w:ascii="Arial" w:cs="Arial" w:eastAsia="Arial" w:hAnsi="Arial"/>
          <w:sz w:val="17"/>
          <w:szCs w:val="17"/>
          <w:color w:val="auto"/>
        </w:rPr>
        <w:t>001075, which has demonstrated improved in vitro potency in nonclinical animal models compared to other CAM-Es in development based on publicly available data. The prodrug of ALG</w:t>
      </w:r>
      <w:r>
        <w:rPr>
          <w:rFonts w:ascii="MS PGothic" w:cs="MS PGothic" w:eastAsia="MS PGothic" w:hAnsi="MS PGothic"/>
          <w:sz w:val="17"/>
          <w:szCs w:val="17"/>
          <w:color w:val="auto"/>
        </w:rPr>
        <w:t>‑</w:t>
      </w:r>
      <w:r>
        <w:rPr>
          <w:rFonts w:ascii="Arial" w:cs="Arial" w:eastAsia="Arial" w:hAnsi="Arial"/>
          <w:sz w:val="17"/>
          <w:szCs w:val="17"/>
          <w:color w:val="auto"/>
        </w:rPr>
        <w:t>001075, ALG</w:t>
      </w:r>
      <w:r>
        <w:rPr>
          <w:rFonts w:ascii="MS PGothic" w:cs="MS PGothic" w:eastAsia="MS PGothic" w:hAnsi="MS PGothic"/>
          <w:sz w:val="17"/>
          <w:szCs w:val="17"/>
          <w:color w:val="auto"/>
        </w:rPr>
        <w:t>‑</w:t>
      </w:r>
      <w:r>
        <w:rPr>
          <w:rFonts w:ascii="Arial" w:cs="Arial" w:eastAsia="Arial" w:hAnsi="Arial"/>
          <w:sz w:val="17"/>
          <w:szCs w:val="17"/>
          <w:color w:val="auto"/>
        </w:rPr>
        <w:t>000184, has been evaluated as single and multiple doses in HVs and CHB subjects and been found to be well tolerated, with favorable PK, and substantial antiviral activity. ALG</w:t>
      </w:r>
      <w:r>
        <w:rPr>
          <w:rFonts w:ascii="MS PGothic" w:cs="MS PGothic" w:eastAsia="MS PGothic" w:hAnsi="MS PGothic"/>
          <w:sz w:val="17"/>
          <w:szCs w:val="17"/>
          <w:color w:val="auto"/>
        </w:rPr>
        <w:t>‑</w:t>
      </w:r>
      <w:r>
        <w:rPr>
          <w:rFonts w:ascii="Arial" w:cs="Arial" w:eastAsia="Arial" w:hAnsi="Arial"/>
          <w:sz w:val="17"/>
          <w:szCs w:val="17"/>
          <w:color w:val="auto"/>
        </w:rPr>
        <w:t>000184 is currently being evaluated in longer duration (≤48 week) CHB cohorts with or without ETV, where it continues to show best</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class properties.</w:t>
      </w:r>
    </w:p>
    <w:p>
      <w:pPr>
        <w:spacing w:after="0" w:line="124" w:lineRule="exact"/>
        <w:rPr>
          <w:sz w:val="20"/>
          <w:szCs w:val="20"/>
          <w:color w:val="auto"/>
        </w:rPr>
      </w:pPr>
    </w:p>
    <w:p>
      <w:pPr>
        <w:ind w:right="440" w:firstLine="509"/>
        <w:spacing w:after="0" w:line="259" w:lineRule="auto"/>
        <w:rPr>
          <w:sz w:val="20"/>
          <w:szCs w:val="20"/>
          <w:color w:val="auto"/>
        </w:rPr>
      </w:pPr>
      <w:r>
        <w:rPr>
          <w:rFonts w:ascii="Arial" w:cs="Arial" w:eastAsia="Arial" w:hAnsi="Arial"/>
          <w:sz w:val="18"/>
          <w:szCs w:val="18"/>
          <w:color w:val="auto"/>
        </w:rPr>
        <w:t>PD-1/PD-L1 inhibitors are a way to boost immune responses via the programmed death 1 (ligand) PD-1/PD-L1 interaction. We have rationally designed several series of these T cell activating drugs to localize in the liver and thereby potentially mitigate systemic toxicity in an effort to develop better tolerated PD-1/PD-L1 inhibitors for CHB patients. Lead molecules developed to date show similar in vivo efficacy to approved PD-1/PD-L1 antibodies.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Peptidomimetics</w:t>
      </w:r>
    </w:p>
    <w:p>
      <w:pPr>
        <w:spacing w:after="0" w:line="117" w:lineRule="exact"/>
        <w:rPr>
          <w:sz w:val="20"/>
          <w:szCs w:val="20"/>
          <w:color w:val="auto"/>
        </w:rPr>
      </w:pPr>
    </w:p>
    <w:p>
      <w:pPr>
        <w:ind w:right="100" w:firstLine="509"/>
        <w:spacing w:after="0" w:line="218" w:lineRule="exact"/>
        <w:rPr>
          <w:sz w:val="20"/>
          <w:szCs w:val="20"/>
          <w:color w:val="auto"/>
        </w:rPr>
      </w:pPr>
      <w:r>
        <w:rPr>
          <w:rFonts w:ascii="Arial" w:cs="Arial" w:eastAsia="Arial" w:hAnsi="Arial"/>
          <w:sz w:val="18"/>
          <w:szCs w:val="18"/>
          <w:color w:val="auto"/>
        </w:rPr>
        <w:t>Peptidomimetics are small molecules derived from short polypeptides that can be used as drug candidates against multiple targets. The peptidomimetic approach has been successfully used in the antiviral field to develop protease inhibitor drugs against Hepatitis C virus (HCV) and human immunodeficiency virus (HIV). Working in collaboration with KU Leuven, CISTIM, and the CD3, our team has discovered multiple nanomolar potent potential drug candidates targeting the 3C-like protease of coronaviruses, which have shown pan-coronavirus activity and do not require ritonavir boosting based on nonclinical studies. We plan to complete first in human enabling nonclinical studies with our lead drug candidate, ALG</w:t>
      </w:r>
      <w:r>
        <w:rPr>
          <w:rFonts w:ascii="MS PGothic" w:cs="MS PGothic" w:eastAsia="MS PGothic" w:hAnsi="MS PGothic"/>
          <w:sz w:val="18"/>
          <w:szCs w:val="18"/>
          <w:color w:val="auto"/>
        </w:rPr>
        <w:t>‑</w:t>
      </w:r>
      <w:r>
        <w:rPr>
          <w:rFonts w:ascii="Arial" w:cs="Arial" w:eastAsia="Arial" w:hAnsi="Arial"/>
          <w:sz w:val="18"/>
          <w:szCs w:val="18"/>
          <w:color w:val="auto"/>
        </w:rPr>
        <w:t>097558, in the first quarter of 2023, which we anticipate will lead to a Phase 1 Clinical Trial Application (CTA) filing and initiation of dosing in HVs in the second quarter of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Small molecule prodrugs</w:t>
      </w:r>
    </w:p>
    <w:p>
      <w:pPr>
        <w:spacing w:after="0" w:line="117" w:lineRule="exact"/>
        <w:rPr>
          <w:sz w:val="20"/>
          <w:szCs w:val="20"/>
          <w:color w:val="auto"/>
        </w:rPr>
      </w:pPr>
    </w:p>
    <w:p>
      <w:pPr>
        <w:ind w:right="240" w:firstLine="509"/>
        <w:spacing w:after="0" w:line="220" w:lineRule="exact"/>
        <w:rPr>
          <w:sz w:val="20"/>
          <w:szCs w:val="20"/>
          <w:color w:val="auto"/>
        </w:rPr>
      </w:pPr>
      <w:r>
        <w:rPr>
          <w:rFonts w:ascii="Arial" w:cs="Arial" w:eastAsia="Arial" w:hAnsi="Arial"/>
          <w:sz w:val="18"/>
          <w:szCs w:val="18"/>
          <w:color w:val="auto"/>
        </w:rPr>
        <w:t>A prodrug is a compound that, after administration, is metabolized into the pharmacologically active parent drug. We use small molecule prodrug chemistry to optimize the drug-like properties of drug candidates to improve their solubility and pharmacokinetics. We have successfully applied this approach to ALG</w:t>
      </w:r>
      <w:r>
        <w:rPr>
          <w:rFonts w:ascii="MS PGothic" w:cs="MS PGothic" w:eastAsia="MS PGothic" w:hAnsi="MS PGothic"/>
          <w:sz w:val="18"/>
          <w:szCs w:val="18"/>
          <w:color w:val="auto"/>
        </w:rPr>
        <w:t>‑</w:t>
      </w:r>
      <w:r>
        <w:rPr>
          <w:rFonts w:ascii="Arial" w:cs="Arial" w:eastAsia="Arial" w:hAnsi="Arial"/>
          <w:sz w:val="18"/>
          <w:szCs w:val="18"/>
          <w:color w:val="auto"/>
        </w:rPr>
        <w:t>001075 to create ALG</w:t>
      </w:r>
      <w:r>
        <w:rPr>
          <w:rFonts w:ascii="MS PGothic" w:cs="MS PGothic" w:eastAsia="MS PGothic" w:hAnsi="MS PGothic"/>
          <w:sz w:val="18"/>
          <w:szCs w:val="18"/>
          <w:color w:val="auto"/>
        </w:rPr>
        <w:t>‑</w:t>
      </w:r>
      <w:r>
        <w:rPr>
          <w:rFonts w:ascii="Arial" w:cs="Arial" w:eastAsia="Arial" w:hAnsi="Arial"/>
          <w:sz w:val="18"/>
          <w:szCs w:val="18"/>
          <w:color w:val="auto"/>
        </w:rPr>
        <w:t>000184, our lead CAM-E drug candidate, which is currently being evaluated in the clinic for the treatment of CHB.</w:t>
      </w:r>
    </w:p>
    <w:p>
      <w:pPr>
        <w:spacing w:after="0" w:line="96" w:lineRule="exact"/>
        <w:rPr>
          <w:sz w:val="20"/>
          <w:szCs w:val="20"/>
          <w:color w:val="auto"/>
        </w:rPr>
      </w:pPr>
    </w:p>
    <w:p>
      <w:pPr>
        <w:ind w:firstLine="509"/>
        <w:spacing w:after="0" w:line="223" w:lineRule="exact"/>
        <w:rPr>
          <w:sz w:val="20"/>
          <w:szCs w:val="20"/>
          <w:color w:val="auto"/>
        </w:rPr>
      </w:pPr>
      <w:r>
        <w:rPr>
          <w:rFonts w:ascii="Arial" w:cs="Arial" w:eastAsia="Arial" w:hAnsi="Arial"/>
          <w:sz w:val="18"/>
          <w:szCs w:val="18"/>
          <w:color w:val="auto"/>
        </w:rPr>
        <w:t>We are engaged in multiple other small molecule discovery efforts to identify additional potentially best</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class drug candidates for the treatment of NASH, coronaviruses, and CHB.</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Our approach to developing potentially best-in-class therapeutic combinations</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Our approach to developing potentially best-in-class regimens for our therapeutic areas of interest leverages the most promising modalities from our oligonucleotide and small molecule platforms to advance rapidly from monotherapy Phase 1 trials into Phase 2 combination trials. As a first step, we evaluate the safety and activity of each drug candidate in healthy volunteers and patients with the disease of interest. We intend to then efficiently evaluate drug candidates shown to have activity in Phase 1 in various combinations in Phase 2 platform protocols to enable us to identify optimized combination regimens that will then be evaluated in Phase 3 pivotal trials. The combinations we evaluate may include additional drug candidates or current standard of care. Throughout all phases of clinical development, pre-specified adaptive study rules allow real-time adjustment of trial conduct based on emerging clinical trial data. These practices allow us to gain a rapid understanding of the risk/benefit profile for our individual drug candidates and combination regimens, and iteratively refine our strategy based on emerging data. This approach is summarized in the figure below.</w:t>
      </w:r>
    </w:p>
    <w:p>
      <w:pPr>
        <w:spacing w:after="0" w:line="53" w:lineRule="exact"/>
        <w:rPr>
          <w:sz w:val="20"/>
          <w:szCs w:val="20"/>
          <w:color w:val="auto"/>
        </w:rPr>
      </w:pPr>
    </w:p>
    <w:p>
      <w:pPr>
        <w:ind w:left="4620"/>
        <w:spacing w:after="0"/>
        <w:rPr>
          <w:sz w:val="20"/>
          <w:szCs w:val="20"/>
          <w:color w:val="auto"/>
        </w:rPr>
      </w:pPr>
      <w:r>
        <w:rPr>
          <w:rFonts w:ascii="Arial" w:cs="Arial" w:eastAsia="Arial" w:hAnsi="Arial"/>
          <w:sz w:val="18"/>
          <w:szCs w:val="18"/>
          <w:b w:val="1"/>
          <w:bCs w:val="1"/>
          <w:u w:val="single" w:color="auto"/>
          <w:color w:val="auto"/>
        </w:rPr>
        <w:t>Figure 2: Combination protocols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171450</wp:posOffset>
            </wp:positionV>
            <wp:extent cx="4834890" cy="1671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34890"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firstLine="509"/>
        <w:spacing w:after="0" w:line="218" w:lineRule="exact"/>
        <w:rPr>
          <w:sz w:val="20"/>
          <w:szCs w:val="20"/>
          <w:color w:val="auto"/>
        </w:rPr>
      </w:pPr>
      <w:r>
        <w:rPr>
          <w:rFonts w:ascii="Arial" w:cs="Arial" w:eastAsia="Arial" w:hAnsi="Arial"/>
          <w:sz w:val="17"/>
          <w:szCs w:val="17"/>
          <w:color w:val="auto"/>
        </w:rPr>
        <w:t>We are focused on NASH and viral diseases, areas in which our employees have expertise and decades of experience. We are advancing our THR</w:t>
      </w:r>
      <w:r>
        <w:rPr>
          <w:rFonts w:ascii="MS PGothic" w:cs="MS PGothic" w:eastAsia="MS PGothic" w:hAnsi="MS PGothic"/>
          <w:sz w:val="17"/>
          <w:szCs w:val="17"/>
          <w:color w:val="auto"/>
        </w:rPr>
        <w:t>‑</w:t>
      </w:r>
      <w:r>
        <w:rPr>
          <w:rFonts w:ascii="Arial" w:cs="Arial" w:eastAsia="Arial" w:hAnsi="Arial"/>
          <w:sz w:val="17"/>
          <w:szCs w:val="17"/>
          <w:color w:val="auto"/>
        </w:rPr>
        <w:t>ß agonist for NASH and also have a collaboration with Merck to discover and develop oligonucleotides against an undisclosed target for the treatment of NASH. Our COVID PI for the treatment of COVID-19 also appears to be favorably differentiated in preclinical studies and is anticipated to enter the clinic in the second quarter of 2023. In the area of CHB, our most advanced drug candidates are designed to achieve higher rates of functional cure, which we believe will require the use of a combination of drugs with complementary mechanisms of action (MOA). Each of our CHB modalities plays an important role in disrupting the HBV life cycle and, in nonclinical studies, certain combinations have been shown to act additively or synergistically. We believe combination therapy will be critical for improved patient outcomes in most, if not all, of</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these disease settings and intend to combine our drug candidates with others that have potentially complementary MOAs.</w:t>
      </w:r>
    </w:p>
    <w:p>
      <w:pPr>
        <w:spacing w:after="0" w:line="113" w:lineRule="exact"/>
        <w:rPr>
          <w:sz w:val="20"/>
          <w:szCs w:val="20"/>
          <w:color w:val="auto"/>
        </w:rPr>
      </w:pPr>
    </w:p>
    <w:p>
      <w:pPr>
        <w:ind w:left="1820"/>
        <w:spacing w:after="0"/>
        <w:rPr>
          <w:sz w:val="20"/>
          <w:szCs w:val="20"/>
          <w:color w:val="auto"/>
        </w:rPr>
      </w:pPr>
      <w:r>
        <w:rPr>
          <w:rFonts w:ascii="Arial" w:cs="Arial" w:eastAsia="Arial" w:hAnsi="Arial"/>
          <w:sz w:val="18"/>
          <w:szCs w:val="18"/>
          <w:b w:val="1"/>
          <w:bCs w:val="1"/>
          <w:u w:val="single" w:color="auto"/>
          <w:color w:val="auto"/>
        </w:rPr>
        <w:t>Figure 3: Aligos development portfolio showing multiple milestones and data readouts anticipated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5349240" cy="2683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268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NASH program</w:t>
      </w:r>
    </w:p>
    <w:p>
      <w:pPr>
        <w:spacing w:after="0" w:line="121"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One of the effects of improper diet and insufficient exercise is the accumulation of fatty deposits in the liver, referred to as nonalcoholic fatty liver disease (NAFLD), which was estimated to occur in approximately 25% of the worldwide population as of 2015. At that time, an estimated 1.5% to 6.5% of the global population was estimated to have an ongoing inflammatory response to these excess fat deposits, which is referred to as NASH. Over the past several years, the prevalence of NASH has continued to rise. In the United States alone, the prevalence of NASH is projected to increase from approximately 16.5 million in 2015 to 27.0 million in 2030. In the absence of changes in diet and exercise, the inflammation inherent in NASH persists and may result in progressive fibrosis of the liver, which may result in cirrhosis. These fibrotic changes are associated with numerous morbidities including recurrent hospitalization for complications of cirrhosis, hepatocellular carcinoma, need for liver transplant, and death.</w:t>
      </w:r>
    </w:p>
    <w:p>
      <w:pPr>
        <w:spacing w:after="0" w:line="69"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only widely accepted treatment for NASH is weight loss through behavioral modifications such as diet and exercise, which is difficult to achieve at the broad population level. As there are currently no approved drugs to treat NASH, many development programs are underway to identify drugs to address this epidemic.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Small molecule approaches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One of the promising MOAs in the NASH space appears to be drugs which preferentially target the beta subtype of the THR receptor.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 background</w:t>
      </w:r>
    </w:p>
    <w:p>
      <w:pPr>
        <w:spacing w:after="0" w:line="117" w:lineRule="exact"/>
        <w:rPr>
          <w:sz w:val="20"/>
          <w:szCs w:val="20"/>
          <w:color w:val="auto"/>
        </w:rPr>
      </w:pPr>
    </w:p>
    <w:p>
      <w:pPr>
        <w:ind w:firstLine="509"/>
        <w:spacing w:after="0" w:line="220" w:lineRule="exact"/>
        <w:rPr>
          <w:sz w:val="20"/>
          <w:szCs w:val="20"/>
          <w:color w:val="auto"/>
        </w:rPr>
      </w:pPr>
      <w:r>
        <w:rPr>
          <w:rFonts w:ascii="Arial" w:cs="Arial" w:eastAsia="Arial" w:hAnsi="Arial"/>
          <w:sz w:val="17"/>
          <w:szCs w:val="17"/>
          <w:color w:val="auto"/>
        </w:rPr>
        <w:t>The thyroid hormone triiodothyronine (T3) has many physiological effects throughout the body, ranging from increasing metabolism, including fat metabolism, to stimulating growth and development. T3 exerts its effects by binding to the thyroid hormone receptor (THR), which has two subtypes: alpha (THR-α) and beta (THR- ). The distribution of the two THR subtypes varies by organ, with THR</w:t>
      </w:r>
      <w:r>
        <w:rPr>
          <w:rFonts w:ascii="Arial Unicode MS" w:cs="Arial Unicode MS" w:eastAsia="Arial Unicode MS" w:hAnsi="Arial Unicode MS"/>
          <w:sz w:val="17"/>
          <w:szCs w:val="17"/>
          <w:color w:val="auto"/>
        </w:rPr>
        <w:t xml:space="preserve">‑ </w:t>
      </w:r>
      <w:r>
        <w:rPr>
          <w:rFonts w:ascii="Arial" w:cs="Arial" w:eastAsia="Arial" w:hAnsi="Arial"/>
          <w:sz w:val="17"/>
          <w:szCs w:val="17"/>
          <w:color w:val="auto"/>
        </w:rPr>
        <w:t xml:space="preserve"> predominantly expressed in the liver and THR</w:t>
      </w:r>
      <w:r>
        <w:rPr>
          <w:rFonts w:ascii="Arial Unicode MS" w:cs="Arial Unicode MS" w:eastAsia="Arial Unicode MS" w:hAnsi="Arial Unicode MS"/>
          <w:sz w:val="17"/>
          <w:szCs w:val="17"/>
          <w:color w:val="auto"/>
        </w:rPr>
        <w:t>‑</w:t>
      </w:r>
      <w:r>
        <w:rPr>
          <w:rFonts w:ascii="Arial" w:cs="Arial" w:eastAsia="Arial" w:hAnsi="Arial"/>
          <w:sz w:val="17"/>
          <w:szCs w:val="17"/>
          <w:color w:val="auto"/>
        </w:rPr>
        <w:t>α predominantly expressed in other tissues (e.g., heart, skeletal muscles and bone). Drug candidates like resmetirom,</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spacing w:after="0" w:line="221" w:lineRule="exact"/>
        <w:rPr>
          <w:sz w:val="20"/>
          <w:szCs w:val="20"/>
          <w:color w:val="auto"/>
        </w:rPr>
      </w:pPr>
      <w:r>
        <w:rPr>
          <w:rFonts w:ascii="Arial" w:cs="Arial" w:eastAsia="Arial" w:hAnsi="Arial"/>
          <w:sz w:val="17"/>
          <w:szCs w:val="17"/>
          <w:color w:val="auto"/>
        </w:rPr>
        <w:t>which preferentially binds the THR</w:t>
      </w:r>
      <w:r>
        <w:rPr>
          <w:rFonts w:ascii="MS PGothic" w:cs="MS PGothic" w:eastAsia="MS PGothic" w:hAnsi="MS PGothic"/>
          <w:sz w:val="17"/>
          <w:szCs w:val="17"/>
          <w:color w:val="auto"/>
        </w:rPr>
        <w:t xml:space="preserve">‑ </w:t>
      </w:r>
      <w:r>
        <w:rPr>
          <w:rFonts w:ascii="Arial" w:cs="Arial" w:eastAsia="Arial" w:hAnsi="Arial"/>
          <w:sz w:val="17"/>
          <w:szCs w:val="17"/>
          <w:color w:val="auto"/>
        </w:rPr>
        <w:t xml:space="preserve"> subtype, have been shown in clinical trials to lower lipid levels in serum and the liver, while avoiding the unwanted effects associated with THR-α stimulation. In addition to the intended effect of lowering liver lipid levels in NASH patients, lowering serum lipid levels via THR</w:t>
      </w:r>
      <w:r>
        <w:rPr>
          <w:rFonts w:ascii="MS PGothic" w:cs="MS PGothic" w:eastAsia="MS PGothic" w:hAnsi="MS PGothic"/>
          <w:sz w:val="17"/>
          <w:szCs w:val="17"/>
          <w:color w:val="auto"/>
        </w:rPr>
        <w:t xml:space="preserve">‑ </w:t>
      </w:r>
      <w:r>
        <w:rPr>
          <w:rFonts w:ascii="Arial" w:cs="Arial" w:eastAsia="Arial" w:hAnsi="Arial"/>
          <w:sz w:val="17"/>
          <w:szCs w:val="17"/>
          <w:color w:val="auto"/>
        </w:rPr>
        <w:t xml:space="preserve"> agonism may also have favorable consequences in this population, which has a high rate of underlying cardiovascular disease.</w:t>
      </w:r>
    </w:p>
    <w:p>
      <w:pPr>
        <w:spacing w:after="0" w:line="94" w:lineRule="exact"/>
        <w:rPr>
          <w:sz w:val="20"/>
          <w:szCs w:val="20"/>
          <w:color w:val="auto"/>
        </w:rPr>
      </w:pPr>
    </w:p>
    <w:p>
      <w:pPr>
        <w:ind w:right="40" w:firstLine="509"/>
        <w:spacing w:after="0" w:line="218" w:lineRule="exact"/>
        <w:rPr>
          <w:sz w:val="20"/>
          <w:szCs w:val="20"/>
          <w:color w:val="auto"/>
        </w:rPr>
      </w:pPr>
      <w:r>
        <w:rPr>
          <w:rFonts w:ascii="Arial" w:cs="Arial" w:eastAsia="Arial" w:hAnsi="Arial"/>
          <w:sz w:val="18"/>
          <w:szCs w:val="18"/>
          <w:color w:val="auto"/>
        </w:rPr>
        <w:t>The most advanced THR</w:t>
      </w:r>
      <w:r>
        <w:rPr>
          <w:rFonts w:ascii="MS PGothic" w:cs="MS PGothic" w:eastAsia="MS PGothic" w:hAnsi="MS PGothic"/>
          <w:sz w:val="18"/>
          <w:szCs w:val="18"/>
          <w:color w:val="auto"/>
        </w:rPr>
        <w:t xml:space="preserve">‑ </w:t>
      </w:r>
      <w:r>
        <w:rPr>
          <w:rFonts w:ascii="Arial" w:cs="Arial" w:eastAsia="Arial" w:hAnsi="Arial"/>
          <w:sz w:val="18"/>
          <w:szCs w:val="18"/>
          <w:color w:val="auto"/>
        </w:rPr>
        <w:t xml:space="preserve"> agonists in clinical development are VK-2809 in Phase 2b and resmetirom, which recently reported potentially favorable Phase 3 data (Madrigal Phase 3 press release, December 2022). Both of these drugs have demonstrated significant reductions in lipid levels in the liver and serum and, to date, have an acceptable risk-benefit profile. In addition, resmetirom has demonstrated histologic evidence of NASH resolution and fibrosis improvement in Phase 3, which are both FDA approvable NASH endpoints. Our lead THR-ß drug candidate ALG</w:t>
      </w:r>
      <w:r>
        <w:rPr>
          <w:rFonts w:ascii="MS PGothic" w:cs="MS PGothic" w:eastAsia="MS PGothic" w:hAnsi="MS PGothic"/>
          <w:sz w:val="18"/>
          <w:szCs w:val="18"/>
          <w:color w:val="auto"/>
        </w:rPr>
        <w:t>‑</w:t>
      </w:r>
      <w:r>
        <w:rPr>
          <w:rFonts w:ascii="Arial" w:cs="Arial" w:eastAsia="Arial" w:hAnsi="Arial"/>
          <w:sz w:val="18"/>
          <w:szCs w:val="18"/>
          <w:color w:val="auto"/>
        </w:rPr>
        <w:t>055009 may have important advantages over these compounds. Side-by-side biochemical and cell-based experiments in HEK293T cells indicate that ALG</w:t>
      </w:r>
      <w:r>
        <w:rPr>
          <w:rFonts w:ascii="MS PGothic" w:cs="MS PGothic" w:eastAsia="MS PGothic" w:hAnsi="MS PGothic"/>
          <w:sz w:val="18"/>
          <w:szCs w:val="18"/>
          <w:color w:val="auto"/>
        </w:rPr>
        <w:t>‑</w:t>
      </w:r>
      <w:r>
        <w:rPr>
          <w:rFonts w:ascii="Arial" w:cs="Arial" w:eastAsia="Arial" w:hAnsi="Arial"/>
          <w:sz w:val="18"/>
          <w:szCs w:val="18"/>
          <w:color w:val="auto"/>
        </w:rPr>
        <w:t>055009 is 5- to 47-fold more potent and 3- to 2-fold more selective for the receptor compared to VK-2809 and resmetirom, respectively, which may optimize the risk-benefit profile for ALG</w:t>
      </w:r>
      <w:r>
        <w:rPr>
          <w:rFonts w:ascii="MS PGothic" w:cs="MS PGothic" w:eastAsia="MS PGothic" w:hAnsi="MS PGothic"/>
          <w:sz w:val="18"/>
          <w:szCs w:val="18"/>
          <w:color w:val="auto"/>
        </w:rPr>
        <w:t>‑</w:t>
      </w:r>
      <w:r>
        <w:rPr>
          <w:rFonts w:ascii="Arial" w:cs="Arial" w:eastAsia="Arial" w:hAnsi="Arial"/>
          <w:sz w:val="18"/>
          <w:szCs w:val="18"/>
          <w:color w:val="auto"/>
        </w:rPr>
        <w:t>055009.</w:t>
      </w:r>
    </w:p>
    <w:p>
      <w:pPr>
        <w:spacing w:after="0" w:line="99" w:lineRule="exact"/>
        <w:rPr>
          <w:sz w:val="20"/>
          <w:szCs w:val="20"/>
          <w:color w:val="auto"/>
        </w:rPr>
      </w:pPr>
    </w:p>
    <w:p>
      <w:pPr>
        <w:ind w:right="40" w:firstLine="509"/>
        <w:spacing w:after="0" w:line="217" w:lineRule="exact"/>
        <w:rPr>
          <w:sz w:val="20"/>
          <w:szCs w:val="20"/>
          <w:color w:val="auto"/>
        </w:rPr>
      </w:pPr>
      <w:r>
        <w:rPr>
          <w:rFonts w:ascii="Arial" w:cs="Arial" w:eastAsia="Arial" w:hAnsi="Arial"/>
          <w:sz w:val="16"/>
          <w:szCs w:val="16"/>
          <w:color w:val="auto"/>
        </w:rPr>
        <w:t>ALG</w:t>
      </w:r>
      <w:r>
        <w:rPr>
          <w:rFonts w:ascii="MS PGothic" w:cs="MS PGothic" w:eastAsia="MS PGothic" w:hAnsi="MS PGothic"/>
          <w:sz w:val="16"/>
          <w:szCs w:val="16"/>
          <w:color w:val="auto"/>
        </w:rPr>
        <w:t>‑</w:t>
      </w:r>
      <w:r>
        <w:rPr>
          <w:rFonts w:ascii="Arial" w:cs="Arial" w:eastAsia="Arial" w:hAnsi="Arial"/>
          <w:sz w:val="16"/>
          <w:szCs w:val="16"/>
          <w:color w:val="auto"/>
        </w:rPr>
        <w:t>055009 is currently being evaluated in a Phase 1 study in HVs (oral single doses) and subjects with hyperlipidemia (14 oral daily doses). Preliminary data after single doses up to 4 mg and multiple daily doses up to 1 mg have previously been reported at EASL 2022 and AASLD 2022, respectively. At these conferences, data were presented that showed ALG</w:t>
      </w:r>
      <w:r>
        <w:rPr>
          <w:rFonts w:ascii="MS PGothic" w:cs="MS PGothic" w:eastAsia="MS PGothic" w:hAnsi="MS PGothic"/>
          <w:sz w:val="16"/>
          <w:szCs w:val="16"/>
          <w:color w:val="auto"/>
        </w:rPr>
        <w:t>‑</w:t>
      </w:r>
      <w:r>
        <w:rPr>
          <w:rFonts w:ascii="Arial" w:cs="Arial" w:eastAsia="Arial" w:hAnsi="Arial"/>
          <w:sz w:val="16"/>
          <w:szCs w:val="16"/>
          <w:color w:val="auto"/>
        </w:rPr>
        <w:t>055009 was well tolerated, had dose proportional PK and low variability, and demonstrated expected thyromimetic effects (i.e., generally dose proportional increases in sex hormone binding globulin and decreases in various atherogenic lipids and thyroid hormones) – see Figures 4 and 5 below. We are now taking the necessary steps to advance ALG</w:t>
      </w:r>
      <w:r>
        <w:rPr>
          <w:rFonts w:ascii="MS PGothic" w:cs="MS PGothic" w:eastAsia="MS PGothic" w:hAnsi="MS PGothic"/>
          <w:sz w:val="16"/>
          <w:szCs w:val="16"/>
          <w:color w:val="auto"/>
        </w:rPr>
        <w:t>‑</w:t>
      </w:r>
      <w:r>
        <w:rPr>
          <w:rFonts w:ascii="Arial" w:cs="Arial" w:eastAsia="Arial" w:hAnsi="Arial"/>
          <w:sz w:val="16"/>
          <w:szCs w:val="16"/>
          <w:color w:val="auto"/>
        </w:rPr>
        <w:t>055009 into a Phase 2 proof of concept study which we anticipate will evaluate magnetic resonance imaging proton density fat fraction (MRI-PDFF). These steps include: 1) conducting a relative bioavailability cohort in the ongoing Phase 1 study; 2) completing 13-week GLP toxicology studies; and 3) manufacturing of Phase 2 drug supply. We anticipate submitting the Phase 2 protocol to the FDA in the fourth quarter of 2023. Based on its favorable PK, which is likely to result in more uniform exposures and which we believe will lead to more consistent efficacy and safety in a NASH population, ALG</w:t>
      </w:r>
      <w:r>
        <w:rPr>
          <w:rFonts w:ascii="MS PGothic" w:cs="MS PGothic" w:eastAsia="MS PGothic" w:hAnsi="MS PGothic"/>
          <w:sz w:val="16"/>
          <w:szCs w:val="16"/>
          <w:color w:val="auto"/>
        </w:rPr>
        <w:t>‑</w:t>
      </w:r>
      <w:r>
        <w:rPr>
          <w:rFonts w:ascii="Arial" w:cs="Arial" w:eastAsia="Arial" w:hAnsi="Arial"/>
          <w:sz w:val="16"/>
          <w:szCs w:val="16"/>
          <w:color w:val="auto"/>
        </w:rPr>
        <w:t>055009 has the potential to become a best-in-class THR</w:t>
      </w:r>
      <w:r>
        <w:rPr>
          <w:rFonts w:ascii="MS PGothic" w:cs="MS PGothic" w:eastAsia="MS PGothic" w:hAnsi="MS PGothic"/>
          <w:sz w:val="16"/>
          <w:szCs w:val="16"/>
          <w:color w:val="auto"/>
        </w:rPr>
        <w:t xml:space="preserve">‑ </w:t>
      </w:r>
      <w:r>
        <w:rPr>
          <w:rFonts w:ascii="Arial" w:cs="Arial" w:eastAsia="Arial" w:hAnsi="Arial"/>
          <w:sz w:val="16"/>
          <w:szCs w:val="16"/>
          <w:color w:val="auto"/>
        </w:rPr>
        <w:t xml:space="preserve"> agonist and could play an integral role in future combination regimens for NASH.</w:t>
      </w:r>
    </w:p>
    <w:p>
      <w:pPr>
        <w:spacing w:after="0" w:line="95" w:lineRule="exact"/>
        <w:rPr>
          <w:sz w:val="20"/>
          <w:szCs w:val="20"/>
          <w:color w:val="auto"/>
        </w:rPr>
      </w:pPr>
    </w:p>
    <w:p>
      <w:pPr>
        <w:ind w:right="360" w:firstLine="509"/>
        <w:spacing w:after="0" w:line="226" w:lineRule="exact"/>
        <w:rPr>
          <w:sz w:val="20"/>
          <w:szCs w:val="20"/>
          <w:color w:val="auto"/>
        </w:rPr>
      </w:pPr>
      <w:r>
        <w:rPr>
          <w:rFonts w:ascii="Arial" w:cs="Arial" w:eastAsia="Arial" w:hAnsi="Arial"/>
          <w:sz w:val="18"/>
          <w:szCs w:val="18"/>
          <w:b w:val="1"/>
          <w:bCs w:val="1"/>
          <w:u w:val="single" w:color="auto"/>
          <w:color w:val="auto"/>
        </w:rPr>
        <w:t>Figure 4 – ALG</w:t>
      </w:r>
      <w:r>
        <w:rPr>
          <w:rFonts w:ascii="MS PGothic" w:cs="MS PGothic" w:eastAsia="MS PGothic" w:hAnsi="MS PGothic"/>
          <w:sz w:val="18"/>
          <w:szCs w:val="18"/>
          <w:b w:val="1"/>
          <w:bCs w:val="1"/>
          <w:u w:val="single" w:color="auto"/>
          <w:color w:val="auto"/>
        </w:rPr>
        <w:t>‑</w:t>
      </w:r>
      <w:r>
        <w:rPr>
          <w:rFonts w:ascii="Arial" w:cs="Arial" w:eastAsia="Arial" w:hAnsi="Arial"/>
          <w:sz w:val="18"/>
          <w:szCs w:val="18"/>
          <w:b w:val="1"/>
          <w:bCs w:val="1"/>
          <w:u w:val="single" w:color="auto"/>
          <w:color w:val="auto"/>
        </w:rPr>
        <w:t>055009 PK after 14 daily oral doses in subjects with hyperlipidemia – Linear, with low (Coefficient of Variation ≤27%) variability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5349240" cy="3111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Source: Charfi et al., AASLD 2022</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ind w:right="140" w:firstLine="509"/>
        <w:spacing w:after="0" w:line="226" w:lineRule="exact"/>
        <w:rPr>
          <w:sz w:val="20"/>
          <w:szCs w:val="20"/>
          <w:color w:val="auto"/>
        </w:rPr>
      </w:pPr>
      <w:r>
        <w:rPr>
          <w:rFonts w:ascii="Arial" w:cs="Arial" w:eastAsia="Arial" w:hAnsi="Arial"/>
          <w:sz w:val="18"/>
          <w:szCs w:val="18"/>
          <w:b w:val="1"/>
          <w:bCs w:val="1"/>
          <w:u w:val="single" w:color="auto"/>
          <w:color w:val="auto"/>
        </w:rPr>
        <w:t>Figure 5 – Lipid (LDL) lowering effects of ALG</w:t>
      </w:r>
      <w:r>
        <w:rPr>
          <w:rFonts w:ascii="MS PGothic" w:cs="MS PGothic" w:eastAsia="MS PGothic" w:hAnsi="MS PGothic"/>
          <w:sz w:val="18"/>
          <w:szCs w:val="18"/>
          <w:b w:val="1"/>
          <w:bCs w:val="1"/>
          <w:u w:val="single" w:color="auto"/>
          <w:color w:val="auto"/>
        </w:rPr>
        <w:t>‑</w:t>
      </w:r>
      <w:r>
        <w:rPr>
          <w:rFonts w:ascii="Arial" w:cs="Arial" w:eastAsia="Arial" w:hAnsi="Arial"/>
          <w:sz w:val="18"/>
          <w:szCs w:val="18"/>
          <w:b w:val="1"/>
          <w:bCs w:val="1"/>
          <w:u w:val="single" w:color="auto"/>
          <w:color w:val="auto"/>
        </w:rPr>
        <w:t>055009 after 14 daily oral doses in subjects with hyperlipidemia – Expected thyromimetic effect (i.e., dose proportional reductions)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023485" cy="2108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2348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Source: Charfi et al., AASLD 2022</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Oligonucleotide approaches</w:t>
      </w:r>
    </w:p>
    <w:p>
      <w:pPr>
        <w:spacing w:after="0" w:line="117" w:lineRule="exact"/>
        <w:rPr>
          <w:sz w:val="20"/>
          <w:szCs w:val="20"/>
          <w:color w:val="auto"/>
        </w:rPr>
      </w:pPr>
    </w:p>
    <w:p>
      <w:pPr>
        <w:ind w:right="380" w:firstLine="509"/>
        <w:spacing w:after="0" w:line="311" w:lineRule="auto"/>
        <w:rPr>
          <w:sz w:val="20"/>
          <w:szCs w:val="20"/>
          <w:color w:val="auto"/>
        </w:rPr>
      </w:pPr>
      <w:r>
        <w:rPr>
          <w:rFonts w:ascii="Arial" w:cs="Arial" w:eastAsia="Arial" w:hAnsi="Arial"/>
          <w:sz w:val="16"/>
          <w:szCs w:val="16"/>
          <w:color w:val="auto"/>
        </w:rPr>
        <w:t>Recently, genome-wide association and large candidate gene studies have enriched our understanding of the genetic basis of NASH. Variants in multiple human genome sequences have been identified as major common genetic determinants of this disease. We are applying our oligonucleotide platform technology to discover, research, optimize and develop oligonucleotides directed against NASH, including in collaboration with Merck.</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Coronaviruses Program</w:t>
      </w:r>
    </w:p>
    <w:p>
      <w:pPr>
        <w:spacing w:after="0" w:line="121" w:lineRule="exact"/>
        <w:rPr>
          <w:sz w:val="20"/>
          <w:szCs w:val="20"/>
          <w:color w:val="auto"/>
        </w:rPr>
      </w:pPr>
    </w:p>
    <w:p>
      <w:pPr>
        <w:ind w:firstLine="509"/>
        <w:spacing w:after="0" w:line="217" w:lineRule="exact"/>
        <w:rPr>
          <w:sz w:val="20"/>
          <w:szCs w:val="20"/>
          <w:color w:val="auto"/>
        </w:rPr>
      </w:pPr>
      <w:r>
        <w:rPr>
          <w:rFonts w:ascii="Arial" w:cs="Arial" w:eastAsia="Arial" w:hAnsi="Arial"/>
          <w:sz w:val="18"/>
          <w:szCs w:val="18"/>
          <w:color w:val="auto"/>
        </w:rPr>
        <w:t>SARS-CoV-2 is responsible for the COVID-19 pandemic, which has infected more than 274 million individuals and is responsible for the death of more than 6.6 million individuals worldwide, including approximately 1.1 million in the US, as of early March 2023. After Middle East Respiratory Syndrome (MERS) and SARS (SARS-CoV-1), SARS-CoV-2 is the third known coronavirus to cross over from animal species to humans and cause significant morbidity and mortality in the past 20 years. Due to the ongoing COVID-19 pandemic and the risk of additional novel coronaviruses emerging in the future, there is a need to develop novel therapeutics with pan-coronavirus activity that have a high barrier to resistance. While multiple vaccines are now available, it is unlikely that vaccination will be fully efficacious against all emerging variants and/or widely adopted, indicating that the need for effective therapeutic treatments will remain. Two orally available therapeutics have been authorized for emergency use for the outpatient treatment of COVID-19, but both have important limitations related to sub-optimal efficacy (molnupiravir, a nucleoside analog; Merck) or the need for ritonavir boosting (PF-07321332/nirmatrelvir, a protease inhibitor; Pfizer). Our drug candidate, ALG</w:t>
      </w:r>
      <w:r>
        <w:rPr>
          <w:rFonts w:ascii="MS PGothic" w:cs="MS PGothic" w:eastAsia="MS PGothic" w:hAnsi="MS PGothic"/>
          <w:sz w:val="18"/>
          <w:szCs w:val="18"/>
          <w:color w:val="auto"/>
        </w:rPr>
        <w:t>‑</w:t>
      </w:r>
      <w:r>
        <w:rPr>
          <w:rFonts w:ascii="Arial" w:cs="Arial" w:eastAsia="Arial" w:hAnsi="Arial"/>
          <w:sz w:val="18"/>
          <w:szCs w:val="18"/>
          <w:color w:val="auto"/>
        </w:rPr>
        <w:t>097558, is at least 6-fold more potent in cell-based assays than nirmatrelvir and PBI-0451 against a panel of SARS-CoV-2 variants (including Omicron), has broad pan-coronavirus activity, and is not projected to require ritonavir boosting.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17" w:lineRule="exact"/>
        <w:rPr>
          <w:sz w:val="20"/>
          <w:szCs w:val="20"/>
          <w:color w:val="auto"/>
        </w:rPr>
      </w:pPr>
    </w:p>
    <w:p>
      <w:pPr>
        <w:ind w:right="40" w:firstLine="509"/>
        <w:spacing w:after="0" w:line="219" w:lineRule="exact"/>
        <w:rPr>
          <w:sz w:val="20"/>
          <w:szCs w:val="20"/>
          <w:color w:val="auto"/>
        </w:rPr>
      </w:pPr>
      <w:r>
        <w:rPr>
          <w:rFonts w:ascii="Arial" w:cs="Arial" w:eastAsia="Arial" w:hAnsi="Arial"/>
          <w:sz w:val="18"/>
          <w:szCs w:val="18"/>
          <w:color w:val="auto"/>
        </w:rPr>
        <w:t>We anticipate completing first in human enabling nonclinical studies of ALG</w:t>
      </w:r>
      <w:r>
        <w:rPr>
          <w:rFonts w:ascii="MS PGothic" w:cs="MS PGothic" w:eastAsia="MS PGothic" w:hAnsi="MS PGothic"/>
          <w:sz w:val="18"/>
          <w:szCs w:val="18"/>
          <w:color w:val="auto"/>
        </w:rPr>
        <w:t>‑</w:t>
      </w:r>
      <w:r>
        <w:rPr>
          <w:rFonts w:ascii="Arial" w:cs="Arial" w:eastAsia="Arial" w:hAnsi="Arial"/>
          <w:sz w:val="18"/>
          <w:szCs w:val="18"/>
          <w:color w:val="auto"/>
        </w:rPr>
        <w:t>097558 in the first quarter of 2023, leading to a Phase 1 CTA filing and initiation of dosing in HVs in the second quarter of 2023. Following this, we plan to conduct dose range finding Phase 2 studies in COVID-19 infected outpatients to evaluate proof of activity and identify a dosing regimen(s) to advance into larger confirmatory studies that could support drug registration. Following the initial Phase 2 study, we may evaluate combinations of our drug candidates, with or without the then-prevailing standard of care. We may assess a range of patient populations, including community and hospital-based subjects, as well as various degrees of disease severity, following the establishment of proof of</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0" w:right="359" w:bottom="1440" w:gutter="0" w:footer="0" w:header="0"/>
        </w:sectPr>
      </w:pPr>
    </w:p>
    <w:bookmarkStart w:id="14" w:name="page15"/>
    <w:bookmarkEnd w:id="14"/>
    <w:p>
      <w:pPr>
        <w:ind w:right="340"/>
        <w:spacing w:after="0" w:line="277" w:lineRule="auto"/>
        <w:rPr>
          <w:sz w:val="20"/>
          <w:szCs w:val="20"/>
          <w:color w:val="auto"/>
        </w:rPr>
      </w:pPr>
      <w:r>
        <w:rPr>
          <w:rFonts w:ascii="Arial" w:cs="Arial" w:eastAsia="Arial" w:hAnsi="Arial"/>
          <w:sz w:val="18"/>
          <w:szCs w:val="18"/>
          <w:color w:val="auto"/>
        </w:rPr>
        <w:t>activity. In addition to evaluating our drug candidates as treatment options after infection, we may also evaluate them as potential prophylactic or post-exposure therapies.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CHB Program</w:t>
      </w:r>
    </w:p>
    <w:p>
      <w:pPr>
        <w:spacing w:after="0" w:line="121"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CHB is the most common viral infection in the world and an area of substantial unmet medical need. There are over 296 million chronic carriers worldwide and approximately 1.5 million individuals become newly infected every year despite the availability of an efficacious prophylactic vaccine. In 2019, there were more than 90 million cases of CHB in China alone, while the EU, United States and Japan accounted for nearly 8 million cases. Complications from CHB include cirrhosis, end-stage liver disease, and HCC, which collectively resulted in approximately 820,000 deaths in 2019, according to the World Health Organization. CHB is the primary cause of liver cancer worldwide, and the mortality associated with HBV-related liver cancer continues to increase.</w:t>
      </w:r>
    </w:p>
    <w:p>
      <w:pPr>
        <w:spacing w:after="0" w:line="84"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Current therapy for CHB may entail life-long treatment and does not eliminate the virus in a meaningful number of patients. In the case of nucleos(t)ide analogs, long-term treatment can lower the amount of HBV DNA in circulation, resulting in improvements in long-term disease outcomes, but virological relapse is common after treatment cessation. Our goal is to achieve meaningful rates of functional cure, which is defined as a sustained loss of HBsAg and HBV DNA with or without hepatitis B surface antibody seroconversion after a finite treatment course. Our team’s years of experience in antiviral drug development suggest that only by developing a combination regimen targeting multiple mechanisms can meaningful functional cure rates for CHB be achieved.</w:t>
      </w:r>
    </w:p>
    <w:p>
      <w:pPr>
        <w:spacing w:after="0" w:line="84"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We have developed a portfolio of differentiated drug candidates for CHB, including a small molecule CAM-E and oligonucleotide (siRNA), each of which are designed to interfere with multiple clinically validated targets in the HBV life cycle and may lead to higher rates of functional cure when used in combination.</w:t>
      </w:r>
    </w:p>
    <w:p>
      <w:pPr>
        <w:spacing w:after="0" w:line="7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ALG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000184 (CAM-E) for CHB</w:t>
      </w:r>
    </w:p>
    <w:p>
      <w:pPr>
        <w:spacing w:after="0" w:line="117" w:lineRule="exact"/>
        <w:rPr>
          <w:sz w:val="20"/>
          <w:szCs w:val="20"/>
          <w:color w:val="auto"/>
        </w:rPr>
      </w:pPr>
    </w:p>
    <w:p>
      <w:pPr>
        <w:ind w:right="220" w:firstLine="509"/>
        <w:spacing w:after="0" w:line="220" w:lineRule="exact"/>
        <w:rPr>
          <w:sz w:val="20"/>
          <w:szCs w:val="20"/>
          <w:color w:val="auto"/>
        </w:rPr>
      </w:pPr>
      <w:r>
        <w:rPr>
          <w:rFonts w:ascii="Arial" w:cs="Arial" w:eastAsia="Arial" w:hAnsi="Arial"/>
          <w:sz w:val="18"/>
          <w:szCs w:val="18"/>
          <w:color w:val="auto"/>
        </w:rPr>
        <w:t>CAM-Es are a class of small molecule antiviral agents that accelerate HBV capsid assembly and inhibit pgRNA encapsidation, resulting in lower circulating HBV pgRNA and DNA levels and empty viral capsids. CAM</w:t>
      </w:r>
      <w:r>
        <w:rPr>
          <w:rFonts w:ascii="MS PGothic" w:cs="MS PGothic" w:eastAsia="MS PGothic" w:hAnsi="MS PGothic"/>
          <w:sz w:val="18"/>
          <w:szCs w:val="18"/>
          <w:color w:val="auto"/>
        </w:rPr>
        <w:t>‑</w:t>
      </w:r>
      <w:r>
        <w:rPr>
          <w:rFonts w:ascii="Arial" w:cs="Arial" w:eastAsia="Arial" w:hAnsi="Arial"/>
          <w:sz w:val="18"/>
          <w:szCs w:val="18"/>
          <w:color w:val="auto"/>
        </w:rPr>
        <w:t>Es are also believed to regulate the formation of cccDNA at the onset of infection, a major factor for the persistence of HBV infection. In clinical trials, CAM-Es have been shown to provide greater HBV DNA and RNA reduction when combined with nucleos(t)ide analogs than can be achieved with nucleos(t)ide analogs alone.</w:t>
      </w:r>
    </w:p>
    <w:p>
      <w:pPr>
        <w:spacing w:after="0" w:line="96" w:lineRule="exact"/>
        <w:rPr>
          <w:sz w:val="20"/>
          <w:szCs w:val="20"/>
          <w:color w:val="auto"/>
        </w:rPr>
      </w:pPr>
    </w:p>
    <w:p>
      <w:pPr>
        <w:ind w:firstLine="509"/>
        <w:spacing w:after="0" w:line="220" w:lineRule="exact"/>
        <w:rPr>
          <w:sz w:val="20"/>
          <w:szCs w:val="20"/>
          <w:color w:val="auto"/>
        </w:rPr>
      </w:pPr>
      <w:r>
        <w:rPr>
          <w:rFonts w:ascii="Arial" w:cs="Arial" w:eastAsia="Arial" w:hAnsi="Arial"/>
          <w:sz w:val="17"/>
          <w:szCs w:val="17"/>
          <w:color w:val="auto"/>
        </w:rPr>
        <w:t>In 2018, we in-licensed a lead drug candidate (GLP-26) and the associated IP for a CAM-E from the laboratory of Professor Raymond Schinazi at Emory University. Our scientists optimized this lead drug candidate to discover the potent CAM-E, ALG</w:t>
      </w:r>
      <w:r>
        <w:rPr>
          <w:rFonts w:ascii="MS PGothic" w:cs="MS PGothic" w:eastAsia="MS PGothic" w:hAnsi="MS PGothic"/>
          <w:sz w:val="17"/>
          <w:szCs w:val="17"/>
          <w:color w:val="auto"/>
        </w:rPr>
        <w:t>‑</w:t>
      </w:r>
      <w:r>
        <w:rPr>
          <w:rFonts w:ascii="Arial" w:cs="Arial" w:eastAsia="Arial" w:hAnsi="Arial"/>
          <w:sz w:val="17"/>
          <w:szCs w:val="17"/>
          <w:color w:val="auto"/>
        </w:rPr>
        <w:t>001075, which was further optimized to the prodrug ALG</w:t>
      </w:r>
      <w:r>
        <w:rPr>
          <w:rFonts w:ascii="MS PGothic" w:cs="MS PGothic" w:eastAsia="MS PGothic" w:hAnsi="MS PGothic"/>
          <w:sz w:val="17"/>
          <w:szCs w:val="17"/>
          <w:color w:val="auto"/>
        </w:rPr>
        <w:t>‑</w:t>
      </w:r>
      <w:r>
        <w:rPr>
          <w:rFonts w:ascii="Arial" w:cs="Arial" w:eastAsia="Arial" w:hAnsi="Arial"/>
          <w:sz w:val="17"/>
          <w:szCs w:val="17"/>
          <w:color w:val="auto"/>
        </w:rPr>
        <w:t>000184. The initial Phase 1a study in HVs for ALG-000184 has been completed as has a Phase 1b dose ranging study evaluating the safety, pharmacokinetics and antiviral activity of 10-300 mg doses of ALG</w:t>
      </w:r>
      <w:r>
        <w:rPr>
          <w:rFonts w:ascii="MS PGothic" w:cs="MS PGothic" w:eastAsia="MS PGothic" w:hAnsi="MS PGothic"/>
          <w:sz w:val="17"/>
          <w:szCs w:val="17"/>
          <w:color w:val="auto"/>
        </w:rPr>
        <w:t>‑</w:t>
      </w:r>
      <w:r>
        <w:rPr>
          <w:rFonts w:ascii="Arial" w:cs="Arial" w:eastAsia="Arial" w:hAnsi="Arial"/>
          <w:sz w:val="17"/>
          <w:szCs w:val="17"/>
          <w:color w:val="auto"/>
        </w:rPr>
        <w:t>000184 for 28 days among untreated HBeAg positive/negative CHB subjects. ALG-000184 was found in these portions of the study to be well tolerated with a favorable PK profile and demonstrated substantial HBV DNA and RNA reductions as well as HBsAg reductions in a subset of HBeAg positive subjects receiving 300 mg ALG-000184 (Hou et al, AASLD 2022). Based on the favorable profile after dosing up to 300 mg ALG-000184 x 28 days, additional Phase 1b cohorts are ongoing and evaluating the risk-benefit profile of 100-300 mg doses of ALG-000184 with or without background entecavir (ETV) therapy for ≤48 weeks in HBeAg positive or negative CHB patients. Preliminary data presented for these cohorts (Hou et al, APASL 2023) indicate that ALG-000184 dosed for up to 12 weeks is well tolerated with a favorable PK profile and demonstrates potentially best</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class antiviral activity. Specifically, antiviral activity data are available in cohorts of HBeAg positive subjects with normal baseline ALT (100 mg (Part 4 Cohort 1) and HBeAg positive subjects with normal/elevated baseline ALT (300 mg (Part 4 Cohort 2)). In Part 4 Cohorts 1 and 2, respectively, we have observed greater mean DNA (4.9, 5.2 log</w:t>
      </w:r>
      <w:r>
        <w:rPr>
          <w:rFonts w:ascii="Arial" w:cs="Arial" w:eastAsia="Arial" w:hAnsi="Arial"/>
          <w:sz w:val="23"/>
          <w:szCs w:val="23"/>
          <w:color w:val="auto"/>
          <w:vertAlign w:val="subscript"/>
        </w:rPr>
        <w:t>10</w:t>
      </w:r>
      <w:r>
        <w:rPr>
          <w:rFonts w:ascii="Arial" w:cs="Arial" w:eastAsia="Arial" w:hAnsi="Arial"/>
          <w:sz w:val="17"/>
          <w:szCs w:val="17"/>
          <w:color w:val="auto"/>
        </w:rPr>
        <w:t xml:space="preserve"> IU/mL) and RNA (2.7, 3.3 log</w:t>
      </w:r>
      <w:r>
        <w:rPr>
          <w:rFonts w:ascii="Arial" w:cs="Arial" w:eastAsia="Arial" w:hAnsi="Arial"/>
          <w:sz w:val="23"/>
          <w:szCs w:val="23"/>
          <w:color w:val="auto"/>
          <w:vertAlign w:val="subscript"/>
        </w:rPr>
        <w:t>10</w:t>
      </w:r>
      <w:r>
        <w:rPr>
          <w:rFonts w:ascii="Arial" w:cs="Arial" w:eastAsia="Arial" w:hAnsi="Arial"/>
          <w:sz w:val="17"/>
          <w:szCs w:val="17"/>
          <w:color w:val="auto"/>
        </w:rPr>
        <w:t xml:space="preserve"> copies/mL) reductions at Week 10 vs. ETV alone (3.7 log</w:t>
      </w:r>
      <w:r>
        <w:rPr>
          <w:rFonts w:ascii="Arial" w:cs="Arial" w:eastAsia="Arial" w:hAnsi="Arial"/>
          <w:sz w:val="23"/>
          <w:szCs w:val="23"/>
          <w:color w:val="auto"/>
          <w:vertAlign w:val="subscript"/>
        </w:rPr>
        <w:t>10</w:t>
      </w:r>
      <w:r>
        <w:rPr>
          <w:rFonts w:ascii="Arial" w:cs="Arial" w:eastAsia="Arial" w:hAnsi="Arial"/>
          <w:sz w:val="17"/>
          <w:szCs w:val="17"/>
          <w:color w:val="auto"/>
        </w:rPr>
        <w:t xml:space="preserve"> IU/mL reduction, 0.1 log</w:t>
      </w:r>
      <w:r>
        <w:rPr>
          <w:rFonts w:ascii="Arial" w:cs="Arial" w:eastAsia="Arial" w:hAnsi="Arial"/>
          <w:sz w:val="23"/>
          <w:szCs w:val="23"/>
          <w:color w:val="auto"/>
          <w:vertAlign w:val="subscript"/>
        </w:rPr>
        <w:t>10</w:t>
      </w:r>
      <w:r>
        <w:rPr>
          <w:rFonts w:ascii="Arial" w:cs="Arial" w:eastAsia="Arial" w:hAnsi="Arial"/>
          <w:sz w:val="17"/>
          <w:szCs w:val="17"/>
          <w:color w:val="auto"/>
        </w:rPr>
        <w:t xml:space="preserve"> copies/mL increase, respectively) – see Figure 6. Similarly, among subjects with available data at Week 10, HBsAg levels declined in cohorts 1 and 2 to a maximum of 0.3 log</w:t>
      </w:r>
      <w:r>
        <w:rPr>
          <w:rFonts w:ascii="Arial" w:cs="Arial" w:eastAsia="Arial" w:hAnsi="Arial"/>
          <w:sz w:val="23"/>
          <w:szCs w:val="23"/>
          <w:color w:val="auto"/>
          <w:vertAlign w:val="subscript"/>
        </w:rPr>
        <w:t>10</w:t>
      </w:r>
      <w:r>
        <w:rPr>
          <w:rFonts w:ascii="Arial" w:cs="Arial" w:eastAsia="Arial" w:hAnsi="Arial"/>
          <w:sz w:val="17"/>
          <w:szCs w:val="17"/>
          <w:color w:val="auto"/>
        </w:rPr>
        <w:t xml:space="preserve"> IU/mL and 0.7 log</w:t>
      </w:r>
      <w:r>
        <w:rPr>
          <w:rFonts w:ascii="Arial" w:cs="Arial" w:eastAsia="Arial" w:hAnsi="Arial"/>
          <w:sz w:val="23"/>
          <w:szCs w:val="23"/>
          <w:color w:val="auto"/>
          <w:vertAlign w:val="subscript"/>
        </w:rPr>
        <w:t>10</w:t>
      </w:r>
      <w:r>
        <w:rPr>
          <w:rFonts w:ascii="Arial" w:cs="Arial" w:eastAsia="Arial" w:hAnsi="Arial"/>
          <w:sz w:val="17"/>
          <w:szCs w:val="17"/>
          <w:color w:val="auto"/>
        </w:rPr>
        <w:t xml:space="preserve"> IU/mL compared to no meaningful change in subjects dosed with ETV alone – see Figure 7.</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5" w:name="page16"/>
    <w:bookmarkEnd w:id="15"/>
    <w:p>
      <w:pPr>
        <w:ind w:left="1060"/>
        <w:spacing w:after="0"/>
        <w:rPr>
          <w:sz w:val="20"/>
          <w:szCs w:val="20"/>
          <w:color w:val="auto"/>
        </w:rPr>
      </w:pPr>
      <w:r>
        <w:rPr>
          <w:rFonts w:ascii="Arial" w:cs="Arial" w:eastAsia="Arial" w:hAnsi="Arial"/>
          <w:sz w:val="17"/>
          <w:szCs w:val="17"/>
          <w:b w:val="1"/>
          <w:bCs w:val="1"/>
          <w:u w:val="single" w:color="auto"/>
          <w:color w:val="auto"/>
        </w:rPr>
        <w:t>Figure 6 – DNA, RNA over time in HBeAg positive subjects dosed with ALG-000184 + ETV or ETV (Hou et al., APASL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230505</wp:posOffset>
            </wp:positionV>
            <wp:extent cx="4808855" cy="1491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08855"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00"/>
        <w:spacing w:after="0"/>
        <w:rPr>
          <w:sz w:val="20"/>
          <w:szCs w:val="20"/>
          <w:color w:val="auto"/>
        </w:rPr>
      </w:pPr>
      <w:r>
        <w:rPr>
          <w:rFonts w:ascii="Arial" w:cs="Arial" w:eastAsia="Arial" w:hAnsi="Arial"/>
          <w:sz w:val="17"/>
          <w:szCs w:val="17"/>
          <w:b w:val="1"/>
          <w:bCs w:val="1"/>
          <w:u w:val="single" w:color="auto"/>
          <w:color w:val="auto"/>
        </w:rPr>
        <w:t>Figure 7 – HBsAg over time in HBeAg positive subjects dosed with ALG-000184 + ETV or ETV alone (Hou et al., APASL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93345</wp:posOffset>
            </wp:positionV>
            <wp:extent cx="5203190" cy="1637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0319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Dosing in these cohorts, and in at least one additional cohort evaluating additional regimens and/or populations, will continue throughout 2023, and interim safety, PK, and antiviral activity data will be presented at scientific conferences throughout the year.</w:t>
      </w:r>
    </w:p>
    <w:p>
      <w:pPr>
        <w:spacing w:after="0" w:line="38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ALG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125755 (siRNA) for CHB</w:t>
      </w:r>
    </w:p>
    <w:p>
      <w:pPr>
        <w:spacing w:after="0" w:line="117"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Small interfering RNA (siRNA), also known as short interfering RNA or silencing RNA or RNA interference (RNAi), are a class of double-stranded, non-coding RNA, typically 20-27 base pairs in length. siRNA interferes with viral replication by silencing gene expression and subsequent protein (e.g., HBsAg) translation and secretion. siRNAs have shown efficacy across multiple indications, including CHB, where significant, gradual and durable reductions in HBsAg have been observed in clinical trials.</w:t>
      </w:r>
    </w:p>
    <w:p>
      <w:pPr>
        <w:spacing w:after="0" w:line="79" w:lineRule="exact"/>
        <w:rPr>
          <w:sz w:val="20"/>
          <w:szCs w:val="20"/>
          <w:color w:val="auto"/>
        </w:rPr>
      </w:pPr>
    </w:p>
    <w:p>
      <w:pPr>
        <w:ind w:right="20" w:firstLine="509"/>
        <w:spacing w:after="0" w:line="220" w:lineRule="exact"/>
        <w:rPr>
          <w:sz w:val="20"/>
          <w:szCs w:val="20"/>
          <w:color w:val="auto"/>
        </w:rPr>
      </w:pPr>
      <w:r>
        <w:rPr>
          <w:rFonts w:ascii="Arial" w:cs="Arial" w:eastAsia="Arial" w:hAnsi="Arial"/>
          <w:sz w:val="18"/>
          <w:szCs w:val="18"/>
          <w:color w:val="auto"/>
        </w:rPr>
        <w:t>We started with our bioinformatics approach to identify regions of the HBV genome for targeting and used our proprietary technology to maximize potency and minimize the number of 2’-F nucleotides in our sequences. We applied this approach to our screening paradigm to identify our lead siRNA candidate, ALG</w:t>
      </w:r>
      <w:r>
        <w:rPr>
          <w:rFonts w:ascii="MS PGothic" w:cs="MS PGothic" w:eastAsia="MS PGothic" w:hAnsi="MS PGothic"/>
          <w:sz w:val="18"/>
          <w:szCs w:val="18"/>
          <w:color w:val="auto"/>
        </w:rPr>
        <w:t>‑</w:t>
      </w:r>
      <w:r>
        <w:rPr>
          <w:rFonts w:ascii="Arial" w:cs="Arial" w:eastAsia="Arial" w:hAnsi="Arial"/>
          <w:sz w:val="18"/>
          <w:szCs w:val="18"/>
          <w:color w:val="auto"/>
        </w:rPr>
        <w:t>125755.</w:t>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5"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Molecular characteristics and nonclinical data</w:t>
      </w:r>
    </w:p>
    <w:p>
      <w:pPr>
        <w:spacing w:after="0" w:line="117" w:lineRule="exact"/>
        <w:rPr>
          <w:sz w:val="20"/>
          <w:szCs w:val="20"/>
          <w:color w:val="auto"/>
        </w:rPr>
      </w:pPr>
    </w:p>
    <w:p>
      <w:pPr>
        <w:ind w:firstLine="509"/>
        <w:spacing w:after="0" w:line="223" w:lineRule="exact"/>
        <w:rPr>
          <w:sz w:val="20"/>
          <w:szCs w:val="20"/>
          <w:color w:val="auto"/>
        </w:rPr>
      </w:pPr>
      <w:r>
        <w:rPr>
          <w:rFonts w:ascii="Arial" w:cs="Arial" w:eastAsia="Arial" w:hAnsi="Arial"/>
          <w:sz w:val="17"/>
          <w:szCs w:val="17"/>
          <w:color w:val="auto"/>
        </w:rPr>
        <w:t>In cell-based assays measuring reduction in HBsAg in infected cells, our lead siRNA drug candidate, ALG</w:t>
      </w:r>
      <w:r>
        <w:rPr>
          <w:rFonts w:ascii="MS PGothic" w:cs="MS PGothic" w:eastAsia="MS PGothic" w:hAnsi="MS PGothic"/>
          <w:sz w:val="17"/>
          <w:szCs w:val="17"/>
          <w:color w:val="auto"/>
        </w:rPr>
        <w:t>‑</w:t>
      </w:r>
      <w:r>
        <w:rPr>
          <w:rFonts w:ascii="Arial" w:cs="Arial" w:eastAsia="Arial" w:hAnsi="Arial"/>
          <w:sz w:val="17"/>
          <w:szCs w:val="17"/>
          <w:color w:val="auto"/>
        </w:rPr>
        <w:t>125755, demonstrated potent inhibition of HBsAg release from HBV-infected cells. When dosed in vivo in the AAV-HBV mouse model of CHB infection, a single 5 mg/kg subcutaneous injection resulted in a sustained reduction of serum HBsAg of approximately 1-1.5 log</w:t>
      </w:r>
      <w:r>
        <w:rPr>
          <w:rFonts w:ascii="Arial" w:cs="Arial" w:eastAsia="Arial" w:hAnsi="Arial"/>
          <w:sz w:val="23"/>
          <w:szCs w:val="23"/>
          <w:color w:val="auto"/>
          <w:vertAlign w:val="subscript"/>
        </w:rPr>
        <w:t>10</w:t>
      </w:r>
      <w:r>
        <w:rPr>
          <w:rFonts w:ascii="Arial" w:cs="Arial" w:eastAsia="Arial" w:hAnsi="Arial"/>
          <w:sz w:val="17"/>
          <w:szCs w:val="17"/>
          <w:color w:val="auto"/>
        </w:rPr>
        <w:t xml:space="preserve"> IU/mL through the last measurement at 28 days. Similarly, multiple 5 mg/kg doses of ALG-125755 in the AAV-HBV mouse model resulted in sustained up to ~2.5 log</w:t>
      </w:r>
      <w:r>
        <w:rPr>
          <w:rFonts w:ascii="Arial" w:cs="Arial" w:eastAsia="Arial" w:hAnsi="Arial"/>
          <w:sz w:val="23"/>
          <w:szCs w:val="23"/>
          <w:color w:val="auto"/>
          <w:vertAlign w:val="subscript"/>
        </w:rPr>
        <w:t>10</w:t>
      </w:r>
      <w:r>
        <w:rPr>
          <w:rFonts w:ascii="Arial" w:cs="Arial" w:eastAsia="Arial" w:hAnsi="Arial"/>
          <w:sz w:val="17"/>
          <w:szCs w:val="17"/>
          <w:color w:val="auto"/>
        </w:rPr>
        <w:t xml:space="preserve"> IU/mL reductions in HBsAg levels. ALG-125755 compared favorably to a competitor siRNA (e.g., VIR-2218) based on a reported AAV-HBV experiment (Anglero-Rodriguez Y. et al., EASL 2020, Poster SAT-426), however it should be noted that this study was not conducted as a head-to-head study.</w:t>
      </w:r>
    </w:p>
    <w:p>
      <w:pPr>
        <w:spacing w:after="0" w:line="200" w:lineRule="exact"/>
        <w:rPr>
          <w:sz w:val="20"/>
          <w:szCs w:val="20"/>
          <w:color w:val="auto"/>
        </w:rPr>
      </w:pPr>
    </w:p>
    <w:p>
      <w:pPr>
        <w:spacing w:after="0" w:line="218" w:lineRule="exact"/>
        <w:rPr>
          <w:sz w:val="20"/>
          <w:szCs w:val="20"/>
          <w:color w:val="auto"/>
        </w:rPr>
      </w:pPr>
    </w:p>
    <w:p>
      <w:pPr>
        <w:ind w:left="2240"/>
        <w:spacing w:after="0"/>
        <w:rPr>
          <w:sz w:val="20"/>
          <w:szCs w:val="20"/>
          <w:color w:val="auto"/>
        </w:rPr>
      </w:pPr>
      <w:r>
        <w:rPr>
          <w:rFonts w:ascii="Arial" w:cs="Arial" w:eastAsia="Arial" w:hAnsi="Arial"/>
          <w:sz w:val="18"/>
          <w:szCs w:val="18"/>
          <w:b w:val="1"/>
          <w:bCs w:val="1"/>
          <w:u w:val="single" w:color="auto"/>
          <w:color w:val="auto"/>
        </w:rPr>
        <w:t>Figure 8: HbsAg Values Over Time for VIR-2218 and ALG-125755 in AAV-HBV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349240" cy="1423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Our efforts to advance ALG-125755 are ongoing. A Phase 1 study is ongoing in New Zealand and in several countries in Eastern Europe. Part 1 of this study evaluated single ascending doses (SAD) from 20 mg to 200 mg in healthy volunteers and found that these doses were well tolerated with a favorable PK profile (Gane et al., APASL, 2023). Part 2 of the study, which is an SAD in virologically suppressed HBeAg negative CHB subjects, is ongoing. As of March 1, 2023, a 50 mg dose of ALG-125755 has been evaluated in Part 2 and found to have favorable PK. We plan to share preliminary data from this study at scientific conferences throughout 2023.</w:t>
      </w:r>
    </w:p>
    <w:p>
      <w:pPr>
        <w:spacing w:after="0" w:line="80" w:lineRule="exact"/>
        <w:rPr>
          <w:sz w:val="20"/>
          <w:szCs w:val="20"/>
          <w:color w:val="auto"/>
        </w:rPr>
      </w:pPr>
    </w:p>
    <w:p>
      <w:pPr>
        <w:ind w:right="140" w:firstLine="509"/>
        <w:spacing w:after="0" w:line="220" w:lineRule="exact"/>
        <w:rPr>
          <w:sz w:val="20"/>
          <w:szCs w:val="20"/>
          <w:color w:val="auto"/>
        </w:rPr>
      </w:pPr>
      <w:r>
        <w:rPr>
          <w:rFonts w:ascii="Arial" w:cs="Arial" w:eastAsia="Arial" w:hAnsi="Arial"/>
          <w:sz w:val="18"/>
          <w:szCs w:val="18"/>
          <w:color w:val="auto"/>
        </w:rPr>
        <w:t>In conclusion, our proprietary siRNA technology is based on modifying chemistries, patterns and the use of our proprietary GalNAc liver targeting technology, and has resulted in the identification of drug candidates, including ALG</w:t>
      </w:r>
      <w:r>
        <w:rPr>
          <w:rFonts w:ascii="MS PGothic" w:cs="MS PGothic" w:eastAsia="MS PGothic" w:hAnsi="MS PGothic"/>
          <w:sz w:val="18"/>
          <w:szCs w:val="18"/>
          <w:color w:val="auto"/>
        </w:rPr>
        <w:t>‑</w:t>
      </w:r>
      <w:r>
        <w:rPr>
          <w:rFonts w:ascii="Arial" w:cs="Arial" w:eastAsia="Arial" w:hAnsi="Arial"/>
          <w:sz w:val="18"/>
          <w:szCs w:val="18"/>
          <w:color w:val="auto"/>
        </w:rPr>
        <w:t>125755, that have promising profiles with long lasting durability in nonclinical CHB models.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Nonclinical combination data</w:t>
      </w:r>
    </w:p>
    <w:p>
      <w:pPr>
        <w:spacing w:after="0" w:line="117" w:lineRule="exact"/>
        <w:rPr>
          <w:sz w:val="20"/>
          <w:szCs w:val="20"/>
          <w:color w:val="auto"/>
        </w:rPr>
      </w:pPr>
    </w:p>
    <w:p>
      <w:pPr>
        <w:ind w:right="380" w:firstLine="509"/>
        <w:spacing w:after="0" w:line="221" w:lineRule="exact"/>
        <w:rPr>
          <w:sz w:val="20"/>
          <w:szCs w:val="20"/>
          <w:color w:val="auto"/>
        </w:rPr>
      </w:pPr>
      <w:r>
        <w:rPr>
          <w:rFonts w:ascii="Arial" w:cs="Arial" w:eastAsia="Arial" w:hAnsi="Arial"/>
          <w:sz w:val="17"/>
          <w:szCs w:val="17"/>
          <w:color w:val="auto"/>
        </w:rPr>
        <w:t>We performed in vitro studies in HepG2.2.15 cells to assess the potential for drug-drug interactions on HBsAg or HBV DNA reductions when combining our drug candidates, and the degree of synergy was quantified using MacSynergy II software. Combinations of our CAM-E drug candidate, ALG</w:t>
      </w:r>
      <w:r>
        <w:rPr>
          <w:rFonts w:ascii="MS PGothic" w:cs="MS PGothic" w:eastAsia="MS PGothic" w:hAnsi="MS PGothic"/>
          <w:sz w:val="17"/>
          <w:szCs w:val="17"/>
          <w:color w:val="auto"/>
        </w:rPr>
        <w:t>‑</w:t>
      </w:r>
      <w:r>
        <w:rPr>
          <w:rFonts w:ascii="Arial" w:cs="Arial" w:eastAsia="Arial" w:hAnsi="Arial"/>
          <w:sz w:val="17"/>
          <w:szCs w:val="17"/>
          <w:color w:val="auto"/>
        </w:rPr>
        <w:t>000184, with other inhibitors of HBV replication generally demonstrated either additive or synergistic interactions.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Early-stage discovery efforts</w:t>
      </w:r>
    </w:p>
    <w:p>
      <w:pPr>
        <w:spacing w:after="0" w:line="121"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In addition to our development stage drug candidates, we are pursuing backup candidates in order to create a robust portfolio of assets which we can draw upon to create an optimized combination regimen for treatment in all of our disease areas of interest. We are also targeting additional novel viral and host targets with our oligonucleotide and small molecule platforms.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All of our assets are currently pre-commercial, and as such we have not yet established a sales and marketing organization or distribution capabilities. We intend to pursue independent development and commercialization in select indications and markets, and plan to build a commercial infrastructure to support a specialty sales and marketing organization, as well as distribution capabilities. Similar to our research, clinical and manufacturing operations, we expect to manage sales, marketing and distribution through dedicated staff and third-party contractors and consultants. We may opportunistically explore licensing agreements, collaborations or partnerships with one or more pharmaceutical companies to enhance our commercial capabilities.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We are currently developing drug candidates in two primary modalities: oligonucleotides and small molecules. We have internal oligonucleotide and small molecule chemistry teams that are able to produce drug candidates at sufficient scale to support discovery activities. In addition, we have a dedicated internal chemistry, manufacturing and control (CMC) team that works with contract development and manufacturing organizations to produce drug candidates in larger quantities, including to support nonclinical and clinical studies. We have built the teams and infrastructure needed to conduct and manage process development, analytical development, quality, manufacturing and supply chain activities.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Oligonucleotides manufacturing</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Oligonucleotide manufacturing technology has matured significantly over the last several decades, with advanced oligonucleotide synthesizers commercially available to support smaller-scale synthesis, and a network of oligonucleotide contract manufacturers available to support larger-scale syntheses. Our internal CMC team supports our contract manufacturers with process development and optimization, or, where needed, we may collaborate with external consultants and contractors to optimize synthesis and scale-up.</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Small molecule manufacturing</w:t>
      </w:r>
    </w:p>
    <w:p>
      <w:pPr>
        <w:spacing w:after="0" w:line="11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Small molecule manufacturing is a mature industry and is well supported by an extensive network of contract manufacturers. Like our approach for oligonucleotides, our internal CMC team conducts process development and optimization, and supports our contract manufacturers with technology transfer.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 life sciences industry is highly competitive and subject to rapid and significant technological change. Our competitors include multinational pharmaceutical companies, established biotechnology companies, universities and other research institutions. Many of our competitors have significantly greater financial, technical, human and other resources than we do and may be better equipped to develop, manufacture and market technologically superior products. In addition, many of these competitors may have significantly greater experience than we have in undertaking nonclinical studies and human clinical trials of new pharmaceutical drug candidates and in obtaining regulatory approvals of human therapeutic candidates. Accordingly, our competitors may develop superior drug candidates and may succeed in obtaining FDA approval for such candidates. Many of our competitors have established distribution channels for the commercialization of their products, whereas we have no such channel or capabilities. In addition, many competitors have greater name recognition and more extensive collaborative relationships.</w:t>
      </w:r>
    </w:p>
    <w:p>
      <w:pPr>
        <w:spacing w:after="0" w:line="70"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Any drug candidates that we successfully develop and commercialize may compete with existing therapies and/or new therapies that may become available in the future. Our competitors may obtain regulatory approval of their candidates more rapidly than we do or may obtain patent protection or other intellectual property rights that limit our ability to develop or commercialize our drug candidates or any future drug candidates. Our competitors may also develop drugs that are more effective, more convenient, more widely used and less costly or that have a better safety profile than our drugs (if any) and these competitors may also be more successful than we are in manufacturing and marketing their products. If we are unable to compete effectively against our competitors, we may not be able to commercialize our drug candidates or any future drug candidates or achieve a competitive position in the market. This would adversely affect our ability to generate revenue. It is likely that our competitors, either working alone or in collaboration with others, will have significantly greater financial resources, an established presence in target markets, expertise in research and development, manufacturing, nonclinical and clinical testing, and experience obtaining regulatory approvals and reimbursement and marketing approved products than we do. We are also in competition for the limited qualified scientific, sales, marketing and management personnel, space at clinical trial sites, for patient registration for clinical trials and technologies complementary to, or necessary for, our programs. New competitors may emerge, smaller or early-stage companies may grow, either on their own or through collaborative arrangements with large and established companies and competitors may concentrate through mergers and acquisitions.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NASH competitors</w:t>
      </w:r>
    </w:p>
    <w:p>
      <w:pPr>
        <w:spacing w:after="0" w:line="117"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There currently are no FDA-approved treatments for NASH. A number of pharmaceutical companies, including AbbVie, Inc., Akero, AstraZeneca PLC/MedImmune LLC, Bristol-Myers Squibb Company, Eli Lilly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ind w:right="20"/>
        <w:spacing w:after="0" w:line="272" w:lineRule="auto"/>
        <w:rPr>
          <w:sz w:val="20"/>
          <w:szCs w:val="20"/>
          <w:color w:val="auto"/>
        </w:rPr>
      </w:pPr>
      <w:r>
        <w:rPr>
          <w:rFonts w:ascii="Arial" w:cs="Arial" w:eastAsia="Arial" w:hAnsi="Arial"/>
          <w:sz w:val="17"/>
          <w:szCs w:val="17"/>
          <w:color w:val="auto"/>
        </w:rPr>
        <w:t>Company, Janssen, Merck, Novartis Pharmaceuticals Corporation (together with Pfizer, Inc.), Novo Nordisk A/S, Pfizer Inc., Roche, Sanofi S.A. and Takeda Pharmaceutical Company Limited (together with HemoShear Therapeutics, LLC), as well as large and small biotechnology companies such as 89bio, Inc., Akero Therapeutics, Inc., Cirius Therapeutics, Inc., Enanta Pharmaceuticals, Inc., FronThera US Pharmaceuticals LLC, Galectin Therapeutics Inc., Galmed Pharmaceuticals Ltd., Genfit SA, Gilead, Intercept Pharmaceuticals, Inc., Inventiva Pharma SA, Madrigal Pharmaceuticals, Inc., MediciNova, Inc., NGM Biopharmaceuticals, Inc., Pliant Therapeutics, Inc. (together with Novartis), Terns Pharmaceuticals, Inc. and Viking Therapeutics, Inc. are pursuing the development or marketing of pharmaceuticals that target NASH. It is also probable that the number of companies seeking to develop products and therapies for the treatment of serious metabolic diseases, such as NASH, will increase.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Coronaviruses competitors</w:t>
      </w:r>
    </w:p>
    <w:p>
      <w:pPr>
        <w:spacing w:after="0" w:line="117"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In addition to remdesivir, which is FDA-approved, on December 22, 2021, Pfizer, Inc. received an emergency use authorization from the FDA for Paxlovid, an orally administered SARS-CoV-2 protease inhibitor co-administered with ritonavir. Similarly, Merck (together with Ridgeback Bio), is developing the drug molnupiravir, an oral antiviral drug which has been issued an emergency use authorization by the FDA on December 23, 2021. Several drugs are likely being used off-label for treatment, such as dexamethasone. Several approved drugs are being studied for their utility in reducing the severity of SARS-CoV-2 infections, including Soliris by Alexion Pharmaceuticals Inc., Atea Pharmaceuticals, Inc.</w:t>
      </w:r>
      <w:r>
        <w:rPr>
          <w:rFonts w:ascii="Arial" w:cs="Arial" w:eastAsia="Arial" w:hAnsi="Arial"/>
          <w:sz w:val="20"/>
          <w:szCs w:val="20"/>
          <w:color w:val="auto"/>
        </w:rPr>
        <w:t>,</w:t>
      </w:r>
      <w:r>
        <w:rPr>
          <w:rFonts w:ascii="Arial" w:cs="Arial" w:eastAsia="Arial" w:hAnsi="Arial"/>
          <w:sz w:val="17"/>
          <w:szCs w:val="17"/>
          <w:color w:val="auto"/>
        </w:rPr>
        <w:t xml:space="preserve"> Jakafi by Incyte Corporation, and Kevzara by Sanofi S.A./Regeneron Pharmaceuticals, Inc. There are significant efforts globally to develop both therapeutic and prophylactic drug candidates. In November 2022, Enanta Pharmaceuticals announced the initiation of a Phase 2 clinical trial for EDP-235 which is its oral protease inhibitor specifically designed for the treatment of COVID-19. Additionally, in September 2022 Pardes Biosciences announced commencement of its Phase 2 trial evaluating PBI-0451, its oral protease inhibitor, for the treatment of SARS-CoV-2 infections. In addition, Novartis is working on a once a day, pan-coronavirus, main protease inhibitor pill and had planned to start human testing in 2022, and Shionogi announced in September 2022 that its oral therapeutic drug for COVID-19, S-217622, a 3CL protease inhibitor has achieved its primary endpoint in its Phase 3 part of the Phase 2/3 clinical trial in Asia. Several companies are focused on antibody treatments, including Amgen Inc. (together with Adaptive Biotechnologies Corporation), AbCellera Biologics, Inc. (together with Eli Lilly and Company), Regeneron Pharmaceuticals, Inc. and Vir Biotechnology, Inc. (together with GSK, Biogen Inc. and WuXi Biologics Ltd.). Numerous efforts are underway to develop vaccines against SARS-CoV-2, including by Altimmune, Inc., AstraZeneca PLC (together with Oxford University), BioNTech SE (together with Pfizer Inc.), GSK (together with Sanofi S.A.), Heat Biologics, Inc., Inovio Pharmaceuticals, Inc., Johnson &amp; Johnson, Moderna, Inc., Novavax, Inc., and Vaxart, Inc.</w:t>
      </w:r>
    </w:p>
    <w:p>
      <w:pPr>
        <w:spacing w:after="0" w:line="73"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For example, BioNTech SE (together with Pfizer Inc.), Janssen Pharmaceutical Companies of Johnson &amp; Johnson and Moderna Inc. have each developed COVID-19 vaccines that have received FDA approval and/or authorization for emergency use and are being widely administered. In addition, on December 22, 2021, Pfizer, Inc. received an emergency use authorization from the FDA for Paxlovid, an orally administered COVID-19 protease inhibitor co-administered with ritonavir. Similarly, Merck (together with Ridgeback Bio), is developing the drug molnupiravir, an oral antiviral drug which also has been issued an emergency use authorization by the FDA on December 23, 2021.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CHB competitors</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Current FDA-approved treatments for chronic HBV infection include peg-IFNα, marketed by Roche Holding AG (Roche), and oral antiviral agents such as nucleoside analogs, marketed by Gilead Sciences, Inc. (Gilead) and Bristol-Myers Squibb Company. These treatments do not lead to either a functional or a complete cure in the vast majority of patients, and in the case of nucleoside analogs, may require life-long treatment. Several large and small pharmaceutical companies are developing programs with various mechanisms of action, to be used alone or in combination, with the goal of achieving higher rates of functional or complete cure in patients with CHB. Companies with oligonucleotide agents in clinical development include Arbutus Biopharma Corporation, Dicerna Pharmaceuticals, Inc. (together with Roche), Ionis Pharmaceuticals, Inc. (together with GlaxoSmithKline plc (GSK)), Arrowhead Pharmaceuticals, Inc. (together with Janssen Pharmaceuticals, Inc. (Janssen)), and Vir Biotechnology, Inc. (together with Alnylam Pharmaceuticals, Inc.). Several companies are developing CAM-Es, including Johnson &amp; Johnson, Assembly Biosciences Inc., Arbutus Biopharma Corporation, Roche and Enanta Pharmaceuticals. Several companies, including Altimmune, Inc., GSK, Janssen and Transgene SA, are developing therapeutic vaccines for HBV, and several others have approved HBV vaccines, including Dynavax Technologies,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Inc., GSK, Johnson &amp; Johnson, and Merck. Replicor, Inc. is developing nucleic acid polymers (NAPs) for use in CHB patients.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collaborations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Emory University</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In June 2018, we entered into the Emory License Agreement. In June 2020, we amended the Emory License Agreement (the Emory Amendment). Under the Emory License Agreement, Emory granted us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Beginning in June 2022, the license to such patents became non-exclusive with respect to all fields except for the treatment and prevention of HBV. With respect to all other compounds that are enabled by the licensed patents, those which are jointly invented by Aligos and Emory or inventors in the Schinazi laboratory, or which are disclosed in a specified licensed patent, are licensed to us exclusively including as to Emory, whereas all other such compounds are licensed to us non-exclusively. We have the right to sublicense rights licensed under the Emory License Agreement, provided that the sublicense agreement must be in compliance and consistent with the terms of the Emory License Agreement.</w:t>
      </w:r>
    </w:p>
    <w:p>
      <w:pPr>
        <w:spacing w:after="0" w:line="185" w:lineRule="exact"/>
        <w:rPr>
          <w:sz w:val="20"/>
          <w:szCs w:val="20"/>
          <w:color w:val="auto"/>
        </w:rPr>
      </w:pPr>
    </w:p>
    <w:p>
      <w:pPr>
        <w:jc w:val="both"/>
        <w:ind w:right="160" w:firstLine="509"/>
        <w:spacing w:after="0" w:line="286" w:lineRule="auto"/>
        <w:rPr>
          <w:sz w:val="20"/>
          <w:szCs w:val="20"/>
          <w:color w:val="auto"/>
        </w:rPr>
      </w:pPr>
      <w:r>
        <w:rPr>
          <w:rFonts w:ascii="Arial" w:cs="Arial" w:eastAsia="Arial" w:hAnsi="Arial"/>
          <w:sz w:val="17"/>
          <w:szCs w:val="17"/>
          <w:color w:val="auto"/>
        </w:rPr>
        <w:t>Emory reserves the right for itself to practice, and have practiced by other entities solely for purposes of collaborative research with Emory, under the licensed patents for educational purposes, Emory’s internal purposes, and for non-commercial research, patient care and treatment. Emory can further grant licenses to not-for-profit and governmental institutions for their internal non-commercial research and scholarly use.</w:t>
      </w:r>
    </w:p>
    <w:p>
      <w:pPr>
        <w:spacing w:after="0" w:line="165"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Ownership of any new inventions arising out of our activities under the Emory License Agreement follows the inventorship laws of the United States. With respect to the licensed patents owned by Emory, we are required to prepare documents and filings for the prosecution and maintenance of such licensed patents, while Emory retains the option to provide final edits and approval of such documents and is responsible for the actual filing of such documents. We are responsible for the cost of the prosecution and maintenance of the licensed patents, and we have the first right, but not the obligation, to enforce such patents. We are solely responsible for the costs of any lawsuits we elect to initiate to enforce the licensed patents and cannot enter into a settlement in respect of such lawsuits without the prior written consent of Emory. Any sums recovered in such lawsuits will be shared equally between us and Emory after reimbursement of our costs for such litigation, except that for any award based on lost profits, Emory shall recover the greater of fifty percent of the award or the royalty Emory would have received had the infringing sales been made by us.</w:t>
      </w:r>
    </w:p>
    <w:p>
      <w:pPr>
        <w:spacing w:after="0" w:line="178" w:lineRule="exact"/>
        <w:rPr>
          <w:sz w:val="20"/>
          <w:szCs w:val="20"/>
          <w:color w:val="auto"/>
        </w:rPr>
      </w:pPr>
    </w:p>
    <w:p>
      <w:pPr>
        <w:ind w:right="40" w:firstLine="515"/>
        <w:spacing w:after="0" w:line="259" w:lineRule="auto"/>
        <w:rPr>
          <w:sz w:val="20"/>
          <w:szCs w:val="20"/>
          <w:color w:val="auto"/>
        </w:rPr>
      </w:pPr>
      <w:r>
        <w:rPr>
          <w:rFonts w:ascii="Arial" w:cs="Arial" w:eastAsia="Arial" w:hAnsi="Arial"/>
          <w:sz w:val="18"/>
          <w:szCs w:val="18"/>
          <w:color w:val="auto"/>
        </w:rPr>
        <w:t>The technology claimed by the licensed patents under the Emory License Agreement may have been developed using U.S. government funding and the licenses therefore may be subject to a non-exclusive license held by the U.S. government, certain requirements that licensed products be manufactured substantially in the United States and U.S. government march-in rights. For more information on risks related to technology developed using government funding see the section titled “Risk Factors—Risks related to intellectual property.”</w:t>
      </w:r>
    </w:p>
    <w:p>
      <w:pPr>
        <w:spacing w:after="0" w:line="187" w:lineRule="exact"/>
        <w:rPr>
          <w:sz w:val="20"/>
          <w:szCs w:val="20"/>
          <w:color w:val="auto"/>
        </w:rPr>
      </w:pPr>
    </w:p>
    <w:p>
      <w:pPr>
        <w:ind w:right="140" w:firstLine="515"/>
        <w:spacing w:after="0" w:line="277" w:lineRule="auto"/>
        <w:rPr>
          <w:sz w:val="20"/>
          <w:szCs w:val="20"/>
          <w:color w:val="auto"/>
        </w:rPr>
      </w:pPr>
      <w:r>
        <w:rPr>
          <w:rFonts w:ascii="Arial" w:cs="Arial" w:eastAsia="Arial" w:hAnsi="Arial"/>
          <w:sz w:val="18"/>
          <w:szCs w:val="18"/>
          <w:color w:val="auto"/>
        </w:rPr>
        <w:t>Under the terms of the Emory License Agreement, we are obligated to use commercially reasonable efforts to bring licensed products to market in accordance with a mutually agreed upon development plan.</w:t>
      </w:r>
    </w:p>
    <w:p>
      <w:pPr>
        <w:spacing w:after="0" w:line="62"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Pursuant to the Emory License Agreement, we paid an upfront fee of $0.3 million to Emory, reimbursed Emory for past patent expenses, and issued a convertible promissory note with a principal amount of $0.6 million to Emory. In August 2018, the convertible promissory note was cancelled and converted into 64,980 shares of Series A convertible preferred stock. We paid Emory an additional $0.2 million in connection with the Emory Amendment entered into in June 2020,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was set to terminate one year from the effective date of June 2020 but the Company exercised its option to extend it for a second year. In June 2022, the research plan terminated. In connection with the research plan, the Company provided Emory funding of $0.3 million per year.</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0" w:name="page21"/>
    <w:bookmarkEnd w:id="20"/>
    <w:p>
      <w:pPr>
        <w:ind w:right="80" w:firstLine="554"/>
        <w:spacing w:after="0" w:line="287" w:lineRule="auto"/>
        <w:rPr>
          <w:sz w:val="20"/>
          <w:szCs w:val="20"/>
          <w:color w:val="auto"/>
        </w:rPr>
      </w:pPr>
      <w:r>
        <w:rPr>
          <w:rFonts w:ascii="Arial" w:cs="Arial" w:eastAsia="Arial" w:hAnsi="Arial"/>
          <w:sz w:val="16"/>
          <w:szCs w:val="16"/>
          <w:color w:val="auto"/>
        </w:rPr>
        <w:t>Additionally, we agreed to pay Emory up to an aggregate of $125 million upon the achievement of specified development, regulatory, and commercial milestones, and all ongoing patent costs. We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span a range of percentage rates within the mid-single digits if a Phase 1 clinical trial is initiated for the product within three years of the effective date of the Emory License Agreement, and range from a low-single digit to a mid-single digit rate if a Phase 1 clinical trial is initiated more than three years after the effective date. Our obligation to pay royalties expires on a product-by-product and country-by-country basis upon the later of ten years after the date of first commercial sale of such product in such country and the expiration of the last-to-expire licensed patent right covering such product in such country. Lastly, if we sublicense any of the licensed patent rights, we are required to pay Emory a percentage of any license issuance or upfront fees we might receive, with the percent decreasing if we sublicense after the first anniversary and third anniversary of the effective date of the Emory License Agreement from a mid-double digit to a mid-single digit percentage rate. To date we have not granted any sublicense.</w:t>
      </w:r>
    </w:p>
    <w:p>
      <w:pPr>
        <w:spacing w:after="0" w:line="64"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The Emory License Agreement will expire upon expiration of the last-to-expire patent licensed to us thereunder. We may terminate the Emory License Agreement at any time in its entirety or with respect to specific patents for convenience by providing Emory with 90 days’ written notice and are required to terminate the Emory License Agreement if we make a final decision to cease research, development or commercialization of any licensed products. Either party may terminate the Emory License Agreement if the other party materially breaches such agreement and fails to timely cure such breach. Emory may terminate the Emory License Agreement if we fail to reach a milestone at an agreed date and fail to timely provide commercially reasonable evidence of a reasonable, good-faith business or technical justification for such failure. Upon termination of the Emory License Agreement for our material breach, we will, upon Emory’s request, grant to Emory a non-exclusive, royalty-free license to all of our rights in patents owned by, licensed or controlled by us to the extent they relate to our exercise of the licensed rights under the Emory License Agreement and include claims covering the manufacture, use or sale of any licensed products containing the licensed compounds. The Emory License Agreement will automatically terminate if we become bankrupt or insolvent or if we challenge the validity or enforceability of any patent licensed to us under the Emory License Agreement.</w:t>
      </w:r>
    </w:p>
    <w:p>
      <w:pPr>
        <w:spacing w:after="0" w:line="60" w:lineRule="exact"/>
        <w:rPr>
          <w:sz w:val="20"/>
          <w:szCs w:val="20"/>
          <w:color w:val="auto"/>
        </w:rPr>
      </w:pPr>
    </w:p>
    <w:p>
      <w:pPr>
        <w:jc w:val="both"/>
        <w:ind w:right="420" w:firstLine="509"/>
        <w:spacing w:after="0" w:line="263" w:lineRule="auto"/>
        <w:rPr>
          <w:sz w:val="20"/>
          <w:szCs w:val="20"/>
          <w:color w:val="auto"/>
        </w:rPr>
      </w:pPr>
      <w:r>
        <w:rPr>
          <w:rFonts w:ascii="Arial" w:cs="Arial" w:eastAsia="Arial" w:hAnsi="Arial"/>
          <w:sz w:val="18"/>
          <w:szCs w:val="18"/>
          <w:color w:val="auto"/>
        </w:rPr>
        <w:t>We have agreed to indemnify Emory and certain others under the Emory License Agreement for losses they may suffer arising out of the rights licensed thereunder or the manufacturing, testing, design, use, sale or labeling of any product containing a licensed compound, unless caused by such potential indemnitee’s negligence.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Luxna Biotech Co., Ltd.</w:t>
      </w:r>
    </w:p>
    <w:p>
      <w:pPr>
        <w:spacing w:after="0" w:line="117" w:lineRule="exact"/>
        <w:rPr>
          <w:sz w:val="20"/>
          <w:szCs w:val="20"/>
          <w:color w:val="auto"/>
        </w:rPr>
      </w:pPr>
    </w:p>
    <w:p>
      <w:pPr>
        <w:ind w:right="120" w:firstLine="509"/>
        <w:spacing w:after="0" w:line="286" w:lineRule="auto"/>
        <w:rPr>
          <w:sz w:val="20"/>
          <w:szCs w:val="20"/>
          <w:color w:val="auto"/>
        </w:rPr>
      </w:pPr>
      <w:r>
        <w:rPr>
          <w:rFonts w:ascii="Arial" w:cs="Arial" w:eastAsia="Arial" w:hAnsi="Arial"/>
          <w:sz w:val="16"/>
          <w:szCs w:val="16"/>
          <w:color w:val="auto"/>
        </w:rPr>
        <w:t>In December 2018, we entered into the Luxna Agreement. Under the Luxna Agreement, Luxna granted us an exclusive, worldwide, sublicensable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NASH, which we may select at any time during the first eight years of the term, to the extent not licensed to a third party, and</w:t>
      </w:r>
    </w:p>
    <w:p>
      <w:pPr>
        <w:spacing w:after="0" w:line="1" w:lineRule="exact"/>
        <w:rPr>
          <w:sz w:val="20"/>
          <w:szCs w:val="20"/>
          <w:color w:val="auto"/>
        </w:rPr>
      </w:pPr>
    </w:p>
    <w:p>
      <w:pPr>
        <w:ind w:right="20" w:firstLine="8"/>
        <w:spacing w:after="0" w:line="268" w:lineRule="auto"/>
        <w:tabs>
          <w:tab w:leader="none" w:pos="315"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products containing oligonucleotides targeting up to three genes which contribute to HCC, which we may select at any time during the first three years of the term. During the first three years of the term, Luxna will not grant rights to any third parties under the licensed patents to research or develop any compounds or products targeting an HCC gene target. As of June 30, 2020, we have identified two HCC gene targets and two NASH gene targets for the exclusive license. In addition, we have a right of first refusal for any additional xeno-nucleic acid (XNA) and/or gapmer modifications that are not claimed by the licensed patents that Luxna controls. If we exercise this right, we and Luxna will use good faith, diligent efforts to negotiate additional commercially reasonable financial terms for such additional modifications. We are obligated to use commercially reasonable efforts to pursue the research, development and commercialization of the licensed products throughout the term. We have the right to sublicense our licensed rights provided that the sublicense agreement must be in compliance and consistent with the terms of the Luxna Agreement.</w:t>
      </w:r>
    </w:p>
    <w:p>
      <w:pPr>
        <w:spacing w:after="0" w:line="75"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Additionally, pursuant to an April 2020 amendment to the Luxna Agreement (the Luxna Amendment), we obtained an exclusive, worldwide license under the licensed patents to research, develop, make, have made, and commercialize products containing oligonucleotides targeting three families of viruses: Orthomyxoviridae, Paramyxoviridae, and Coronaviridae (a family which includes SARS-CoV-2).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right="80" w:firstLine="509"/>
        <w:spacing w:after="0" w:line="272" w:lineRule="auto"/>
        <w:rPr>
          <w:sz w:val="20"/>
          <w:szCs w:val="20"/>
          <w:color w:val="auto"/>
        </w:rPr>
      </w:pPr>
      <w:r>
        <w:rPr>
          <w:rFonts w:ascii="Arial" w:cs="Arial" w:eastAsia="Arial" w:hAnsi="Arial"/>
          <w:sz w:val="17"/>
          <w:szCs w:val="17"/>
          <w:color w:val="auto"/>
        </w:rPr>
        <w:t>Pursuant to the Luxna Agreement, we paid Luxna an upfront license fee of $0.6 million and pursuant to the Luxna Amendment, we paid Luxna an additional one-time non-refundable fee of $0.2 million. Additionally, we agreed to pay Luxna up to an aggregate of $55.5 million upon achievement of specified development, regulatory, and commercial milestones. During the year ended December 31, 2022, we did not recognize any milestone payments. During the year ended December 31, 2021, we recognized $0.5 million related to milestone payments relating to ALG-020572. We also agreed to pay Luxna tiered royalties on worldwide annual net sales of licensed products, on a product-by-product basis, spanning a range of rates within low-single digit percentages, on a quarterly basis. With respect to each licensed product, our obligation to pay royalties will continue until the expiration of the last-to-expire licensed patent covering such licensed product in any country.</w:t>
      </w:r>
    </w:p>
    <w:p>
      <w:pPr>
        <w:spacing w:after="0" w:line="69"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Luxna’s rights to the intellectual property subject to the Luxna Agreement stem from an exclusive license (the Luxna-Osaka Agreement) from Osaka University (Osaka) for certain rights pertaining to modifications of XNA and other gapmer technologies covered by the licensed patents. Separately, Osaka granted rights to certain third parties in connection with the licensed patents, such as rights to amido-bridged nucleic acid (AmNA) for specific indications including NASH, rights to manufacture reagents containing the modifications of AmNA and rights to use specified genes. Such rights are not included in the scope of rights granted to us under the Luxna Agreement and the Luxna Agreement does not prevent Osaka from using any of the licensed rights under the Luxna Agreement for its non-commercial research purposes relating to the modifications of XNA.</w:t>
      </w:r>
    </w:p>
    <w:p>
      <w:pPr>
        <w:spacing w:after="0" w:line="70"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Ownership of any new inventions arising out of our activities under the Luxna Agreement will follow the inventorship laws of the United States. Luxna retains the responsibility for the prosecution and maintenance of the licensed patents, provided that Luxna consider our comments and suggestions in connection therewith. We retain step-in rights should Luxna decide to no longer prosecute or maintain any licensed patents under the Luxna Agreement. We have the first right, but not the obligation, at our sole expense to enforce the licensed patents. In connection with any infringement suit, neither party can enter into a settlement without the prior written consent of the other.</w:t>
      </w:r>
    </w:p>
    <w:p>
      <w:pPr>
        <w:spacing w:after="0" w:line="80"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Luxna Agreement will expire upon expiration of the last-to-expire patent licensed to us under the agreement. We may terminate the Luxna Agreement at any time for convenience by providing Luxna with 90 days’ written notice. In addition, we have agreed to terminate the Luxna Agreement if we make a final decision to cease research, development or commercialization of the licensed products. Either party may terminate the Luxna Agreement if the other party materially breaches the Luxna Agreement and fails to timely cure such breach. The Luxna Agreement will automatically terminate if we become bankrupt or insolvent.</w:t>
      </w:r>
    </w:p>
    <w:p>
      <w:pPr>
        <w:spacing w:after="0" w:line="80" w:lineRule="exact"/>
        <w:rPr>
          <w:sz w:val="20"/>
          <w:szCs w:val="20"/>
          <w:color w:val="auto"/>
        </w:rPr>
      </w:pPr>
    </w:p>
    <w:p>
      <w:pPr>
        <w:ind w:right="420" w:firstLine="509"/>
        <w:spacing w:after="0" w:line="263" w:lineRule="auto"/>
        <w:rPr>
          <w:sz w:val="20"/>
          <w:szCs w:val="20"/>
          <w:color w:val="auto"/>
        </w:rPr>
      </w:pPr>
      <w:r>
        <w:rPr>
          <w:rFonts w:ascii="Arial" w:cs="Arial" w:eastAsia="Arial" w:hAnsi="Arial"/>
          <w:sz w:val="18"/>
          <w:szCs w:val="18"/>
          <w:color w:val="auto"/>
        </w:rPr>
        <w:t>We have agreed to indemnify Luxna and certain others under the Luxna Agreement for losses they may suffer arising out of the rights licensed thereunder or the manufacturing, testing, design, use, sale or labeling of any product containing a licensed product, unless caused by such potential indemnitee’s negligence.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Katholieke Universiteit Leuven (KU Leuven)</w:t>
      </w:r>
    </w:p>
    <w:p>
      <w:pPr>
        <w:spacing w:after="0" w:line="117"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On June 25, 2020, we entered into a Research, Licensing and Commercialization Agreement (KU Leuven Agreement) with KU Leuven, under which we are collaborating with KU Leuven’s Rega Institute for Medical Research, as well as its Centre for Drug Design and Discovery, to research and develop potential protease inhibitors for the treatment, diagnosis or prevention of coronaviruses, including of SARS-CoV-2. Unless terminated earlier by either party in accordance with provisions in the agreement, the collaboration period is set to terminate at the earlier of completion of all collaboration activities or 2.5 years. In connection with the KU Leuven Agreement, KU Leuven and our Company granted each other exclusive cross-licenses to use certain know-how and existing patents of the other party as well as certain joint know-how and joint patents to carry out research and development collaboration activities during the collaboration period. As of December 2022, the collaboration period has expired. KU Leuven granted to us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w:t>
      </w:r>
    </w:p>
    <w:p>
      <w:pPr>
        <w:spacing w:after="0" w:line="74"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As consideration for this license, we are obligated to make payments to KU Leuven, in aggregate, totaling up to but no more than $30.0 million upon the achievement of certain commercial sales milestones. For each licensed product developed through KU Leuven and the Company’s collaborative effort, the Company is obligated to make payments to KU Leuven, in aggregate, totaling up to $32.0 million upon the achievement of certain development</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2" w:name="page23"/>
    <w:bookmarkEnd w:id="22"/>
    <w:p>
      <w:pPr>
        <w:spacing w:after="0" w:line="279" w:lineRule="auto"/>
        <w:rPr>
          <w:sz w:val="20"/>
          <w:szCs w:val="20"/>
          <w:color w:val="auto"/>
        </w:rPr>
      </w:pPr>
      <w:r>
        <w:rPr>
          <w:rFonts w:ascii="Arial" w:cs="Arial" w:eastAsia="Arial" w:hAnsi="Arial"/>
          <w:sz w:val="17"/>
          <w:szCs w:val="17"/>
          <w:color w:val="auto"/>
        </w:rPr>
        <w:t>and regulatory milestones. The Company is also required to pay KU Leuven a low-to-mid-single digit royalty percentage, subject to certain adjustments, on net sales of applicable products, if any.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 years after the first commercial sale of a licensed product.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Research Collaboration with Merck</w:t>
      </w:r>
    </w:p>
    <w:p>
      <w:pPr>
        <w:spacing w:after="0" w:line="11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 December 2020, we entered into an exclusive License and Research Collaboration Agreement with Merck under which Merck and Aligos will apply our oligonucleotide platform technology to discover, research, optimize and develop oligonucleotides directed against a NASH target and up to one additional liver-targeted cardiometabolic and/or fibroses target.</w:t>
      </w:r>
    </w:p>
    <w:p>
      <w:pPr>
        <w:spacing w:after="0" w:line="76" w:lineRule="exact"/>
        <w:rPr>
          <w:sz w:val="20"/>
          <w:szCs w:val="20"/>
          <w:color w:val="auto"/>
        </w:rPr>
      </w:pPr>
    </w:p>
    <w:p>
      <w:pPr>
        <w:ind w:right="460" w:firstLine="509"/>
        <w:spacing w:after="0" w:line="257" w:lineRule="auto"/>
        <w:rPr>
          <w:sz w:val="20"/>
          <w:szCs w:val="20"/>
          <w:color w:val="auto"/>
        </w:rPr>
      </w:pPr>
      <w:r>
        <w:rPr>
          <w:rFonts w:ascii="Arial" w:cs="Arial" w:eastAsia="Arial" w:hAnsi="Arial"/>
          <w:sz w:val="18"/>
          <w:szCs w:val="18"/>
          <w:color w:val="auto"/>
        </w:rPr>
        <w:t>In January 2022, we entered into an amendment to such License and Research Collaboration Agreement, which expanded our collaboration to include a license to Merck of an early-stage program directed to a second undisclosed NASH target on which we had previously been working independently and separately from Merck. In addition, under this expanded arrangement, Merck has the right to add a third target of interest to the collaboration. This third target, if added, will be for a liver-based cardiometabolic/fibrosis target. Such right to add a third target to the collaboration expired in January 2023.</w:t>
      </w:r>
    </w:p>
    <w:p>
      <w:pPr>
        <w:spacing w:after="0" w:line="80"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Under the terms of the original agreement, we received an upfront payment from Merck. Under the amendment, we received a payment from Merck to carry out the research program for the second undisclosed NASH target. With respect to each collaboration target, we will be eligible to receive up to approximately $460 million in development and commercialization milestones as well as tiered royalties on net sales. We will be primarily responsible for designing, preparing and evaluating the oligonucleotide molecules and delivering optimized lead molecules, and Merck will be responsible for subsequent research, clinical development and commercialization efforts.</w:t>
      </w:r>
    </w:p>
    <w:p>
      <w:pPr>
        <w:spacing w:after="0" w:line="80"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Merck has the right to terminate the License and Research Collaboration Agreement in its entirety or on a target-by-target basis at any time by giving us 90 days’ written notice. From the time Merck assumes responsibility for subsequent research until achievement of a certain regulatory event, we may terminate the License and Research Collaboration Agreement if Merck ceases all development activities for a specified period and fails to resume such activities within a reasonable time after we provide them with a resumption notice. Either party may terminate the License and Research Collaboration Agreement upon the other party’s uncured material breach or insolvency. Upon termination for any reason other than our material breach, we will have the right to acquire from Merck the products and compounds being developed or commercialized by Merck under the License and Research Collaboration Agreement. Good faith negotiations between the Company and Merck would be performed to enact a transition plan.</w:t>
      </w:r>
    </w:p>
    <w:p>
      <w:pPr>
        <w:spacing w:after="0" w:line="58" w:lineRule="exact"/>
        <w:rPr>
          <w:sz w:val="20"/>
          <w:szCs w:val="20"/>
          <w:color w:val="auto"/>
        </w:rPr>
      </w:pPr>
    </w:p>
    <w:p>
      <w:pPr>
        <w:ind w:right="2060" w:firstLine="509"/>
        <w:spacing w:after="0" w:line="375" w:lineRule="auto"/>
        <w:rPr>
          <w:sz w:val="20"/>
          <w:szCs w:val="20"/>
          <w:color w:val="auto"/>
        </w:rPr>
      </w:pPr>
      <w:r>
        <w:rPr>
          <w:rFonts w:ascii="Arial" w:cs="Arial" w:eastAsia="Arial" w:hAnsi="Arial"/>
          <w:sz w:val="18"/>
          <w:szCs w:val="18"/>
          <w:color w:val="auto"/>
        </w:rPr>
        <w:t xml:space="preserve">In February 2023, Merck provided the Company written notice of termination for one of the targets in the collaboration. </w:t>
      </w:r>
      <w:r>
        <w:rPr>
          <w:rFonts w:ascii="Arial" w:cs="Arial" w:eastAsia="Arial" w:hAnsi="Arial"/>
          <w:sz w:val="18"/>
          <w:szCs w:val="18"/>
          <w:b w:val="1"/>
          <w:bCs w:val="1"/>
          <w:color w:val="auto"/>
        </w:rPr>
        <w:t>Intellectual property</w:t>
      </w:r>
    </w:p>
    <w:p>
      <w:pPr>
        <w:spacing w:after="0" w:line="1" w:lineRule="exact"/>
        <w:rPr>
          <w:sz w:val="20"/>
          <w:szCs w:val="20"/>
          <w:color w:val="auto"/>
        </w:rPr>
      </w:pPr>
    </w:p>
    <w:p>
      <w:pPr>
        <w:ind w:right="40" w:firstLine="515"/>
        <w:spacing w:after="0" w:line="269" w:lineRule="auto"/>
        <w:rPr>
          <w:sz w:val="20"/>
          <w:szCs w:val="20"/>
          <w:color w:val="auto"/>
        </w:rPr>
      </w:pPr>
      <w:r>
        <w:rPr>
          <w:rFonts w:ascii="Arial" w:cs="Arial" w:eastAsia="Arial" w:hAnsi="Arial"/>
          <w:sz w:val="17"/>
          <w:szCs w:val="17"/>
          <w:color w:val="auto"/>
        </w:rPr>
        <w:t>One key to our success is our ability to establish and maintain protection for our drug candidates, platform technology and know-how, in order to enforce and defend our intellectual property rights. To protect our drug candidates and technologies, we file U.S., Patent Cooperation Treaty (PCT) and foreign patent applications related to our inventions, improvements, manufacturing and analytical processes and technology. We also rely on our know-how, confidential methodologies and processes and continuing technological innovation as well as our active third-party intellectual property in-licensing program to develop and maintain our proprietary positions, in addition to trademarks, copyrights and trade secret laws, and employee disclosure and invention assignment agreements. Although we take steps to protect our proprietary information and trade secrets, including through contractual means with our employees, advisors and consultants, these agreements may be breached, and we may not have adequate remedies for any breach. In addition, third parties may independently develop substantially equivalent proprietary information and techniques or otherwise gain access to our trade secrets or disclose our technology. As a result,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3" w:name="page24"/>
    <w:bookmarkEnd w:id="23"/>
    <w:p>
      <w:pPr>
        <w:ind w:right="80"/>
        <w:spacing w:after="0" w:line="293" w:lineRule="auto"/>
        <w:rPr>
          <w:sz w:val="20"/>
          <w:szCs w:val="20"/>
          <w:color w:val="auto"/>
        </w:rPr>
      </w:pPr>
      <w:r>
        <w:rPr>
          <w:rFonts w:ascii="Arial" w:cs="Arial" w:eastAsia="Arial" w:hAnsi="Arial"/>
          <w:sz w:val="16"/>
          <w:szCs w:val="16"/>
          <w:color w:val="auto"/>
        </w:rPr>
        <w:t>entity during the course of the party’s relationship with us is to be kept confidential and not disclosed to third parties except in specific circumstances. In the case of employees, the agreements provide that all inventions conceived of by the individual during the course of employment, and which relate to or are reasonably capable or being used in our current or planned business or research and development, are our exclusive property. In addition, we take other appropriate precautions, such as physical and technological security measures, to guard against misappropriation of our proprietary technology by third parties. However, such agreements and policies may be breached, and we may not have adequate remedies for such breaches. For more information regarding the risks related to our intellectual property, see the section titled “Risk Factors—Risks related to intellectual property.”</w:t>
      </w:r>
    </w:p>
    <w:p>
      <w:pPr>
        <w:spacing w:after="0" w:line="56" w:lineRule="exact"/>
        <w:rPr>
          <w:sz w:val="20"/>
          <w:szCs w:val="20"/>
          <w:color w:val="auto"/>
        </w:rPr>
      </w:pPr>
    </w:p>
    <w:p>
      <w:pPr>
        <w:ind w:right="260" w:firstLine="509"/>
        <w:spacing w:after="0" w:line="271" w:lineRule="auto"/>
        <w:rPr>
          <w:sz w:val="20"/>
          <w:szCs w:val="20"/>
          <w:color w:val="auto"/>
        </w:rPr>
      </w:pPr>
      <w:r>
        <w:rPr>
          <w:rFonts w:ascii="Arial" w:cs="Arial" w:eastAsia="Arial" w:hAnsi="Arial"/>
          <w:sz w:val="17"/>
          <w:szCs w:val="17"/>
          <w:color w:val="auto"/>
        </w:rPr>
        <w:t>We have licensed patents and patent applications from various entities, including Emory, Luxna and AM Chemicals, which are further described below. Regarding our internal patent portfolio, as of December 31, 2022, we own 8 issued U.S. patents, 38 U.S. non-provisional patent applications, 21 U.S. provisional patent applications (excluding any non-expired U.S. provisional applications to which priority has already been claimed), 21 PCT applications and 284 foreign patent applications, including pending applications in Arab Emirates, ARIPO, Argentina, Australia, Brazil, Canada, Chile, China, Colombia, Eurasia, Egypt, European Union, Georgia, Indonesia, Israel, India, Japan, South Korea, Malaysia, Mexico, New Zealand, OAPI, Peru, Philippines, Russian Federation, Singapore, Thailand, Taiwan, Ukraine, Uzbekistan and South Africa. The projected expiration date of any patent that issues from our non-provisional U.S. and foreign applications is between 2039 to 2043, excluding any additional term from a potential patent term extension and/or patent term adjustment.</w:t>
      </w:r>
    </w:p>
    <w:p>
      <w:pPr>
        <w:spacing w:after="0" w:line="70"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For our drug candidates, we have filed and licensed certain patent applications and we generally intend to pursue patent protection covering compositions of matter, methods of making, and methods of use. As of December 31, 2022, we own U.S. patents with claims directed to ALG-000184 and ALG-055009.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Emory University</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have licensed the exclusive rights to a patent estate from Emory in the CAM-E chemical space, consisting of one issued U.S. patent, two pending nonprovisional U.S. patent applications as well as 11 issued foreign patents and 30 foreign patent applications. The issued U.S. patent has an expected expiration of March 2037, excluding any potential patent term extension or adjustment.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Luxna</w:t>
      </w:r>
    </w:p>
    <w:p>
      <w:pPr>
        <w:spacing w:after="0" w:line="117"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We have licensed the right to a patent estate from Luxna in the oligonucleotide chemical space, consisting of five issued U.S. patents, two nonprovisional U.S. patent applications and 17 issued foreign patents and five foreign patent applications. We have exclusive rights to use this technology in the development of drug candidates for CHB, as well as rights to certain named targets in NASH and respiratory diseases, including coronaviruses. These U.S. patents have an expected expiration between October 2030 and February 2037, excluding any potential patent term extension or adjustment.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 Chemicals</w:t>
      </w:r>
    </w:p>
    <w:p>
      <w:pPr>
        <w:spacing w:after="0" w:line="117" w:lineRule="exact"/>
        <w:rPr>
          <w:sz w:val="20"/>
          <w:szCs w:val="20"/>
          <w:color w:val="auto"/>
        </w:rPr>
      </w:pPr>
    </w:p>
    <w:p>
      <w:pPr>
        <w:jc w:val="both"/>
        <w:ind w:right="220" w:firstLine="509"/>
        <w:spacing w:after="0" w:line="263" w:lineRule="auto"/>
        <w:rPr>
          <w:sz w:val="20"/>
          <w:szCs w:val="20"/>
          <w:color w:val="auto"/>
        </w:rPr>
      </w:pPr>
      <w:r>
        <w:rPr>
          <w:rFonts w:ascii="Arial" w:cs="Arial" w:eastAsia="Arial" w:hAnsi="Arial"/>
          <w:sz w:val="18"/>
          <w:szCs w:val="18"/>
          <w:color w:val="auto"/>
        </w:rPr>
        <w:t>We have licensed the exclusive right to the use of specific constructs encompassed by the patent estate from AM Chemicals, including two issued U.S. patents, and three foreign patent applications. The issued U.S. patents have an expected expiration of July 2037, excluding any potential patent term extension or patent term adjustment.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candidate intellectual property</w:t>
      </w:r>
    </w:p>
    <w:p>
      <w:pPr>
        <w:spacing w:after="0" w:line="117"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NASH—ALG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055009 and additional potential drug candidates</w:t>
      </w:r>
    </w:p>
    <w:p>
      <w:pPr>
        <w:spacing w:after="0" w:line="117" w:lineRule="exact"/>
        <w:rPr>
          <w:sz w:val="20"/>
          <w:szCs w:val="20"/>
          <w:color w:val="auto"/>
        </w:rPr>
      </w:pPr>
    </w:p>
    <w:p>
      <w:pPr>
        <w:ind w:right="120" w:firstLine="509"/>
        <w:spacing w:after="0" w:line="219" w:lineRule="exact"/>
        <w:rPr>
          <w:sz w:val="20"/>
          <w:szCs w:val="20"/>
          <w:color w:val="auto"/>
        </w:rPr>
      </w:pPr>
      <w:r>
        <w:rPr>
          <w:rFonts w:ascii="Arial" w:cs="Arial" w:eastAsia="Arial" w:hAnsi="Arial"/>
          <w:sz w:val="18"/>
          <w:szCs w:val="18"/>
          <w:color w:val="auto"/>
        </w:rPr>
        <w:t>We own a patent family that includes one issued U.S. patent and 30 applications across multiple jurisdictions, and have claims to compositions of matter, including ALG</w:t>
      </w:r>
      <w:r>
        <w:rPr>
          <w:rFonts w:ascii="MS PGothic" w:cs="MS PGothic" w:eastAsia="MS PGothic" w:hAnsi="MS PGothic"/>
          <w:sz w:val="18"/>
          <w:szCs w:val="18"/>
          <w:color w:val="auto"/>
        </w:rPr>
        <w:t>‑</w:t>
      </w:r>
      <w:r>
        <w:rPr>
          <w:rFonts w:ascii="Arial" w:cs="Arial" w:eastAsia="Arial" w:hAnsi="Arial"/>
          <w:sz w:val="18"/>
          <w:szCs w:val="18"/>
          <w:color w:val="auto"/>
        </w:rPr>
        <w:t>055009, our lead drug candidate for the treatment of NASH, and methods of use. This patent family also discloses combination therapies with our lead molecule. US 11091467 is our issued US patent, and it is projected to expire in May 2040, excluding any potential patent term extension or patent term adjustment. We also own patent families that includes two U.S. provisional applications relating to ALG-055009 and related matter, which if filed as a non-provisional application and granted would expire in July and August 2042, excluding any potential patent term extension or patent term adjustment.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Coronaviruses – ALG-097558 and additional potential drug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ind w:right="220" w:firstLine="509"/>
        <w:spacing w:after="0" w:line="220" w:lineRule="exact"/>
        <w:rPr>
          <w:sz w:val="20"/>
          <w:szCs w:val="20"/>
          <w:color w:val="auto"/>
        </w:rPr>
      </w:pPr>
      <w:r>
        <w:rPr>
          <w:rFonts w:ascii="Arial" w:cs="Arial" w:eastAsia="Arial" w:hAnsi="Arial"/>
          <w:sz w:val="18"/>
          <w:szCs w:val="18"/>
          <w:color w:val="auto"/>
        </w:rPr>
        <w:t>We own a patent family that includes three applications across multiple jurisdictions, which have claims to compositions of matter, including ALG</w:t>
      </w:r>
      <w:r>
        <w:rPr>
          <w:rFonts w:ascii="MS PGothic" w:cs="MS PGothic" w:eastAsia="MS PGothic" w:hAnsi="MS PGothic"/>
          <w:sz w:val="18"/>
          <w:szCs w:val="18"/>
          <w:color w:val="auto"/>
        </w:rPr>
        <w:t>‑</w:t>
      </w:r>
      <w:r>
        <w:rPr>
          <w:rFonts w:ascii="Arial" w:cs="Arial" w:eastAsia="Arial" w:hAnsi="Arial"/>
          <w:sz w:val="18"/>
          <w:szCs w:val="18"/>
          <w:color w:val="auto"/>
        </w:rPr>
        <w:t>097558, our lead drug candidate for the treatment of coronavirus, and methods of use. This patent family also discloses combination therapies with our lead molecule.</w:t>
      </w:r>
    </w:p>
    <w:p>
      <w:pPr>
        <w:spacing w:after="0" w:line="96"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Hepatitis B—ALG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000184 and additional potential drug candidates</w:t>
      </w:r>
    </w:p>
    <w:p>
      <w:pPr>
        <w:spacing w:after="0" w:line="117" w:lineRule="exact"/>
        <w:rPr>
          <w:sz w:val="20"/>
          <w:szCs w:val="20"/>
          <w:color w:val="auto"/>
        </w:rPr>
      </w:pPr>
    </w:p>
    <w:p>
      <w:pPr>
        <w:ind w:right="40" w:firstLine="509"/>
        <w:spacing w:after="0" w:line="220" w:lineRule="exact"/>
        <w:rPr>
          <w:sz w:val="20"/>
          <w:szCs w:val="20"/>
          <w:color w:val="auto"/>
        </w:rPr>
      </w:pPr>
      <w:r>
        <w:rPr>
          <w:rFonts w:ascii="Arial" w:cs="Arial" w:eastAsia="Arial" w:hAnsi="Arial"/>
          <w:sz w:val="17"/>
          <w:szCs w:val="17"/>
          <w:color w:val="auto"/>
        </w:rPr>
        <w:t>We own a patent family that includes one issued U.S. patent and 30 applications pending across multiple jurisdictions, and have claims directed to composition of matter, including ALG</w:t>
      </w:r>
      <w:r>
        <w:rPr>
          <w:rFonts w:ascii="MS PGothic" w:cs="MS PGothic" w:eastAsia="MS PGothic" w:hAnsi="MS PGothic"/>
          <w:sz w:val="17"/>
          <w:szCs w:val="17"/>
          <w:color w:val="auto"/>
        </w:rPr>
        <w:t>‑</w:t>
      </w:r>
      <w:r>
        <w:rPr>
          <w:rFonts w:ascii="Arial" w:cs="Arial" w:eastAsia="Arial" w:hAnsi="Arial"/>
          <w:sz w:val="17"/>
          <w:szCs w:val="17"/>
          <w:color w:val="auto"/>
        </w:rPr>
        <w:t>000184 (our lead CAM-E molecule), pharmaceutical composition and method of use claims. This patent family also includes claims directed to combination treatment with our lead molecule with other modes of action drugs and drug candidates directed against CHB. U.S. Patent 11191747 is projected to expire in April 2040, excluding any potential patent term extension or adjustment.</w:t>
      </w:r>
    </w:p>
    <w:p>
      <w:pPr>
        <w:spacing w:after="0" w:line="96"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Hepatitis B—ALG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125755 and additional potential drug candidates</w:t>
      </w:r>
    </w:p>
    <w:p>
      <w:pPr>
        <w:spacing w:after="0" w:line="117" w:lineRule="exact"/>
        <w:rPr>
          <w:sz w:val="20"/>
          <w:szCs w:val="20"/>
          <w:color w:val="auto"/>
        </w:rPr>
      </w:pPr>
    </w:p>
    <w:p>
      <w:pPr>
        <w:ind w:right="100" w:firstLine="509"/>
        <w:spacing w:after="0" w:line="219" w:lineRule="exact"/>
        <w:rPr>
          <w:sz w:val="20"/>
          <w:szCs w:val="20"/>
          <w:color w:val="auto"/>
        </w:rPr>
      </w:pPr>
      <w:r>
        <w:rPr>
          <w:rFonts w:ascii="Arial" w:cs="Arial" w:eastAsia="Arial" w:hAnsi="Arial"/>
          <w:sz w:val="18"/>
          <w:szCs w:val="18"/>
          <w:color w:val="auto"/>
        </w:rPr>
        <w:t>We own a patent family that includes 32 patent applications pending across multiple jurisdictions (including three in the United States), that have claims to compositions of matter, including ALG</w:t>
      </w:r>
      <w:r>
        <w:rPr>
          <w:rFonts w:ascii="MS PGothic" w:cs="MS PGothic" w:eastAsia="MS PGothic" w:hAnsi="MS PGothic"/>
          <w:sz w:val="18"/>
          <w:szCs w:val="18"/>
          <w:color w:val="auto"/>
        </w:rPr>
        <w:t>‑</w:t>
      </w:r>
      <w:r>
        <w:rPr>
          <w:rFonts w:ascii="Arial" w:cs="Arial" w:eastAsia="Arial" w:hAnsi="Arial"/>
          <w:sz w:val="18"/>
          <w:szCs w:val="18"/>
          <w:color w:val="auto"/>
        </w:rPr>
        <w:t>125755, our lead siRNA candidate, and methods of use. This patent family also discloses combination therapies with our lead molecule. We received a notice of allowance for a U.S. patent application on August 30, 2022. The U.S. patent that issues from our allowed application is projected to expire in March 2041, excluding any additional term from a potential patent term extension and/or patent term adjustment.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Discovery pipeline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NASH</w:t>
      </w:r>
    </w:p>
    <w:p>
      <w:pPr>
        <w:spacing w:after="0" w:line="117"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We have filed four U.S. non-provisional patent applications, four PCT patent applications, one U.S. provisional application and six foreign patent applications that include claims to compositions of matter and methods of use with our additional drug candidates for the treatment of NASH. These U.S. provisional applications also disclose combination therapies with our drug candidates and other compounds for treating NASH. Any patent that issues from a non-provisional application claiming in one of these patent families is projected to expire in 2042, excluding any potential patent term extension or patent term adjustment.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Coronaviruses</w:t>
      </w:r>
    </w:p>
    <w:p>
      <w:pPr>
        <w:spacing w:after="0" w:line="117"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We have filed seven U.S. nonprovisional patent applications, four U.S. provisional patent applications, and 27 foreign applications that include claims to compositions of matter, pharmaceutical compositions and methods of use for treating coronaviruses. This includes multiple applications covering both small molecule and oligonucleotide approaches. Some of these applications are co-owned by Aligos and a collaborator. These patent families also include disclosure relating to combination therapy strategies for treating coronaviruses. Any patent that issues from a non-provisional patent application in one of these patent families is projected to expire in 2041 to 2042, excluding any potential patent term extension or patent term adjustment.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Hepatitis B</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own multiple additional families of applications that include claims to compositions of matter, pharmaceutical compositions and methods of use for the treatment of CHB with our additional drug candidates. This includes three U.S. patents, nine U.S. non-provisional patent applications, eight U.S. provisional patent applications, seven PCT patent applications and 81 foreign patent applications in the small molecule space and six U.S. non-provisional patent applications, one U.S. provisional application, two PCT patent applications and seven foreign patent applications in the oligonucleotide space. These patent families also disclose combination therapies with our drug candidates and other compounds for treating CHB. Any patent that issues from a non-provisional application in one of these patent families is projected to expire in 2040 to 2042, excluding any potential patent term extension or patent term adjustment.</w:t>
      </w:r>
    </w:p>
    <w:p>
      <w:pPr>
        <w:spacing w:after="0" w:line="87" w:lineRule="exact"/>
        <w:rPr>
          <w:sz w:val="20"/>
          <w:szCs w:val="20"/>
          <w:color w:val="auto"/>
        </w:rPr>
      </w:pPr>
    </w:p>
    <w:p>
      <w:pPr>
        <w:ind w:right="240" w:firstLine="509"/>
        <w:spacing w:after="0" w:line="279" w:lineRule="auto"/>
        <w:rPr>
          <w:sz w:val="20"/>
          <w:szCs w:val="20"/>
          <w:color w:val="auto"/>
        </w:rPr>
      </w:pPr>
      <w:r>
        <w:rPr>
          <w:rFonts w:ascii="Arial" w:cs="Arial" w:eastAsia="Arial" w:hAnsi="Arial"/>
          <w:sz w:val="17"/>
          <w:szCs w:val="17"/>
          <w:color w:val="auto"/>
        </w:rPr>
        <w:t>With respect to both our licensed and our owned intellectual property, we cannot be sure that patents will be granted with respect to any of our pending patent applications or with respect to any patent applications filed by us in the future, nor can we be sure that any current patents or any patents that may be granted to us in the future will be commercially useful in protecting our platforms and drug candidates and the methods used to manufacture them. Moreover, the time required for development, testing and regulatory review of our candidate drug candidates may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line="268" w:lineRule="auto"/>
        <w:rPr>
          <w:sz w:val="20"/>
          <w:szCs w:val="20"/>
          <w:color w:val="auto"/>
        </w:rPr>
      </w:pPr>
      <w:r>
        <w:rPr>
          <w:rFonts w:ascii="Arial" w:cs="Arial" w:eastAsia="Arial" w:hAnsi="Arial"/>
          <w:sz w:val="17"/>
          <w:szCs w:val="17"/>
          <w:color w:val="auto"/>
        </w:rPr>
        <w:t>shorten the length of effective patent protection following commercialization. If we do obtain any patents for our drug candidates, the term of such patents depends upon the legal term of the patents in the countries in which they are obtained. In most countries in which we file, the patent term is 20 years from the earliest date of filing of a non-provisional patent application. In the United States, the patent term of a patent that covers an FDA approved drug or biologic may also be eligible for patent term extension, which permits patent term restoration as compensation for the patent term lost during FDA regulatory review process. The Hatch-Waxman Act permits a patent term extension of up to five years beyond the expiration of the patent. The length of the patent term extension is related to the length of time that the drug or biologic is under regulatory review. Patent term extension cannot extend the remaining term of a patent beyond a total of 14 years from the date of product approval and only one patent applicable to an approved drug or biologic may be extended. Similar provisions are available in the EU and other foreign jurisdictions to extend the term of a patent that covers an approved drug or biologic. In the future, if our drug candidates receive FDA approval and if our patent applications relating to such drug candidates issue as patents, we expect to apply for patent term extensions where applicable on patents covering those drugs. We plan to seek patent term extensions to any of our future issued patents in any jurisdiction where these are available, however there is no guarantee that the applicable authorities, including FDA in the United States, will agree with our assessment of whether these extensions should be granted, and if granted, the length of these extensions. For this and other risks related to our proprietary technology, inventions, improvements, platforms and product candidates, see the section titled “Risk Factors—Risks related to intellectual property.”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17"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Our trademark portfolio contains several trademark applications and registrations, including U.S. and foreign, as of December 31, 2022. The trademark portfolio includes the mark ALIGOS which is registered in the United States, Australia, the European Union, Great Britain and Japan, and is pending in China.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17"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The FDA and other regulatory authorities at the federal, state, and local level, as well as in foreign countries, extensively regulate, among other things, the research, development, testing, manufacture, storage, recordkeeping, approval, labeling, marketing and promotion, distribution, post-approval monitoring and reporting, sampling, and import and export of pharmaceutical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regulation</w:t>
      </w:r>
    </w:p>
    <w:p>
      <w:pPr>
        <w:spacing w:after="0" w:line="117"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In the United States, the FDA regulates drugs under the Federal Food, Drug, and Cosmetic Act (the FDCA), and its implementing regulations. FDA approval is required before any new unapproved drug can be marketed in the United States. Drugs are also subject to other federal, state and local statutes and regulations. Failure to comply with applicable FDA or other requirements may subject a company to a variety of administrative or judicial sanctions, such as FDA clinical holds, refusal to approve pending applications, withdrawal of an approval, warning or untitled letters, product recalls, product seizures, total or partial suspension of production or distribution, injunctions, fines, civil penalties and criminal prosecution.</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process required by the FDA before drug candidates may be marketed in the United States generally involves the following:</w:t>
      </w:r>
    </w:p>
    <w:p>
      <w:pPr>
        <w:spacing w:after="0" w:line="117" w:lineRule="exact"/>
        <w:rPr>
          <w:sz w:val="20"/>
          <w:szCs w:val="20"/>
          <w:color w:val="auto"/>
        </w:rPr>
      </w:pPr>
    </w:p>
    <w:p>
      <w:pPr>
        <w:ind w:left="1020" w:right="2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where all supporting safety and toxicity studies are performed in accordance with the FDA’s Good Laboratory Practice (GLP) regulations;</w:t>
      </w:r>
    </w:p>
    <w:p>
      <w:pPr>
        <w:spacing w:after="0" w:line="62"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which must become effective before human clinical trials may begin and must be updated annually or when significant changes are made;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representing each clinical site before a clinical trial may be initiated;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6" w:name="page27"/>
    <w:bookmarkEnd w:id="26"/>
    <w:p>
      <w:pPr>
        <w:ind w:left="1020" w:right="2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(GCP) regulations to establish the safety and efficacy of the product candidate for each proposed indication;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preparation of and submission to the FDA of a new drug application (NDA);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application for review;</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1020" w:right="220" w:hanging="503"/>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facility(ies) where the product is manufactured to assess compliance with current good manufacturing practice (cGMP) regulations, and of selected clinical investigation sites to assess compliance with GCP; and</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FDA review and approval of an NDA to permit commercial marketing of the product for its particular labeled uses in the United States.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Nonclinical and clinical studies</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nonclinical and clinical testing process can take many years and the actual time required to obtain approval, if any, may vary substantially based upon the type, complexity and novelty of the drug or condition being treated.</w:t>
      </w:r>
    </w:p>
    <w:p>
      <w:pPr>
        <w:spacing w:after="0" w:line="62"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Nonclinical tests include laboratory (in vitro) evaluation of drug chemistry, formulation and toxicity, as well as animal (in vivo) studies to assess the characteristics and potential safety and efficacy of the drug candidate. The conduct of nonclinical studies that provide safety and toxicological information must comply with federal regulations and requirements, including GLPs. The results of nonclinical studies are submitted to the FDA as part of an IND along with other information, including information about drug CMC and any available human data or literature to support use of the drug in humans. Long-term nonclinical tests, such as animal tests of reproductive toxicity and carcinogenicity, may continue after the IND is submitted.</w:t>
      </w:r>
    </w:p>
    <w:p>
      <w:pPr>
        <w:spacing w:after="0" w:line="16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central focus of an IND submission is on the general investigational plan and the protocol(s) for human studies.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clinical hold and the IND sponsor and the FDA must resolve any outstanding concerns or questions before clinical trials can begin.</w:t>
      </w:r>
    </w:p>
    <w:p>
      <w:pPr>
        <w:spacing w:after="0" w:line="187" w:lineRule="exact"/>
        <w:rPr>
          <w:sz w:val="20"/>
          <w:szCs w:val="20"/>
          <w:color w:val="auto"/>
        </w:rPr>
      </w:pPr>
    </w:p>
    <w:p>
      <w:pPr>
        <w:ind w:right="160" w:firstLine="509"/>
        <w:spacing w:after="0" w:line="301" w:lineRule="auto"/>
        <w:rPr>
          <w:sz w:val="20"/>
          <w:szCs w:val="20"/>
          <w:color w:val="auto"/>
        </w:rPr>
      </w:pPr>
      <w:r>
        <w:rPr>
          <w:rFonts w:ascii="Arial" w:cs="Arial" w:eastAsia="Arial" w:hAnsi="Arial"/>
          <w:sz w:val="16"/>
          <w:szCs w:val="16"/>
          <w:color w:val="auto"/>
        </w:rPr>
        <w:t>For each successive clinical trial conducted with the investigational drug, a separate, new protocol submission to an existing IND must be made, along with any subsequent changes to the investigational plan. Sponsors are also subject to ongoing reporting requirements, including submission of IND safety reports for any serious adverse experiences associated with use of the investigational drug or findings from nonclinical studies suggesting a significant risk for human subjects, as well as IND annual reports on the progress of the investigations conducted under the IND.</w:t>
      </w:r>
    </w:p>
    <w:p>
      <w:pPr>
        <w:spacing w:after="0" w:line="157"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Clinical trials involve the administration of the investigational drug to human subjects under the supervision of qualified investigators in accordance with GCPs, which include the requirement that all research subjects provide their informed consent for participation in each clinical trial. Clinical trials are conducted under protocols detailing, among other things, the objectives of the trial, the parameters to be used in monitoring safety and the efficacy criteria to be evaluated. A protocol for each clinical trial and any subsequent protocol amendments must be submitted to the FDA as part of the IND. Additionally, approval must also be obtained from each clinical trial site’s IRB before a trial may be initiated at the site, and the IRB must monitor the trial until completed. Sponsors of clinical trials generally must register and report ongoing clinical trials and clinical trial results to public registries, including the website maintained by the U.S. National Institutes of Health, ClinicalTrials.gov.</w:t>
      </w:r>
    </w:p>
    <w:p>
      <w:pPr>
        <w:spacing w:after="0" w:line="177"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For purposes of NDA approval, human clinical trials are typically divided into three or four phases. Although the phases are usually conducted sequentially, they may overlap or be combined.</w:t>
      </w:r>
    </w:p>
    <w:p>
      <w:pPr>
        <w:spacing w:after="0" w:line="58" w:lineRule="exact"/>
        <w:rPr>
          <w:sz w:val="20"/>
          <w:szCs w:val="20"/>
          <w:color w:val="auto"/>
        </w:rPr>
      </w:pPr>
    </w:p>
    <w:p>
      <w:pPr>
        <w:ind w:left="1020" w:right="60" w:hanging="503"/>
        <w:spacing w:after="0" w:line="28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Phase 1</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drug is initially introduced into healthy human subjects or into patients with the target disease or condition. These studies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to evaluate the safety, dosage tolerance, metabolism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7" w:name="page28"/>
    <w:bookmarkEnd w:id="27"/>
    <w:p>
      <w:pPr>
        <w:ind w:left="1020" w:right="40"/>
        <w:spacing w:after="0" w:line="277" w:lineRule="auto"/>
        <w:rPr>
          <w:sz w:val="20"/>
          <w:szCs w:val="20"/>
          <w:color w:val="auto"/>
        </w:rPr>
      </w:pPr>
      <w:r>
        <w:rPr>
          <w:rFonts w:ascii="Arial" w:cs="Arial" w:eastAsia="Arial" w:hAnsi="Arial"/>
          <w:sz w:val="18"/>
          <w:szCs w:val="18"/>
          <w:color w:val="auto"/>
        </w:rPr>
        <w:t>and pharmacologic actions of the drug in humans, the side effects associated with increasing doses, and if possible, to gain early evidence of effectiveness.</w:t>
      </w:r>
    </w:p>
    <w:p>
      <w:pPr>
        <w:spacing w:after="0" w:line="58" w:lineRule="exact"/>
        <w:rPr>
          <w:sz w:val="20"/>
          <w:szCs w:val="20"/>
          <w:color w:val="auto"/>
        </w:rPr>
      </w:pPr>
    </w:p>
    <w:p>
      <w:pPr>
        <w:ind w:left="1020" w:right="320" w:hanging="503"/>
        <w:spacing w:after="0" w:line="266"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Phase 2</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drug is administered to a limited patient population to evaluate tolerance and optimal dose, identify possible adverse side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effects and safety risks, and preliminarily evaluate efficacy. Multiple Phase 2 trials may be conducted to obtain additional data prior to beginning Phase 3 trials.</w:t>
      </w:r>
    </w:p>
    <w:p>
      <w:pPr>
        <w:spacing w:after="0" w:line="67" w:lineRule="exact"/>
        <w:rPr>
          <w:rFonts w:ascii="Arial" w:cs="Arial" w:eastAsia="Arial" w:hAnsi="Arial"/>
          <w:sz w:val="18"/>
          <w:szCs w:val="18"/>
          <w:color w:val="auto"/>
        </w:rPr>
      </w:pPr>
    </w:p>
    <w:p>
      <w:pPr>
        <w:ind w:left="1020" w:right="180" w:hanging="503"/>
        <w:spacing w:after="0" w:line="266"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Phase 3</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drug is administered to an expanded patient population, generally at geographically dispersed clinical trial sites to generate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enough data to statistically evaluate dosage, clinical effectiveness and safety, to establish the overall benefit-risk relationship of the investigational drug and to provide an adequate basis for drug approval.</w:t>
      </w:r>
    </w:p>
    <w:p>
      <w:pPr>
        <w:spacing w:after="0" w:line="67" w:lineRule="exact"/>
        <w:rPr>
          <w:rFonts w:ascii="Arial" w:cs="Arial" w:eastAsia="Arial" w:hAnsi="Arial"/>
          <w:sz w:val="18"/>
          <w:szCs w:val="18"/>
          <w:color w:val="auto"/>
        </w:rPr>
      </w:pPr>
    </w:p>
    <w:p>
      <w:pPr>
        <w:jc w:val="both"/>
        <w:ind w:left="1020" w:hanging="503"/>
        <w:spacing w:after="0" w:line="289"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Phase 4</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some cases, the FDA may provide conditional approval of an NDA for a drug candidate on the sponsor’s agreement to conduct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clinical trials after approval. In other cases, a sponsor may voluntarily conduct additional clinical trials after approval to gain more information about the drug. Such post-approval trials are typically referred to as Phase 4 clinical trials.</w:t>
      </w:r>
    </w:p>
    <w:p>
      <w:pPr>
        <w:spacing w:after="0" w:line="162"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The FDA, the IRB or the clinical trial sponsor may suspend or terminate a clinical trial at any time on various grounds, including a finding that the research subjects are being exposed to an unacceptable health risk. The sponsor may also suspend or terminate a clinical trial based on evolving business objectives and/or competitive climate.</w:t>
      </w:r>
    </w:p>
    <w:p>
      <w:pPr>
        <w:spacing w:after="0" w:line="76"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Concurrent with clinical trials, companies may complete additional in vivo studies and develop additional information about the characteristics of the drug candidate. Companies must also finalize a process for manufacturing the drug in commercially applicable quantities in accordance with cGMP requirements. The manufacturing process must be capable of consistently producing quality batches of the drug and, among other things, must use validated methods for testing the drug against specifications to confirm its identity, strength, quality and purity. Additionally, appropriate packaging must be selected and tested, and stability studies must be conducted to demonstrate that the drug does not undergo unacceptable deterioration over its shelf life.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Submission of an NDA to the FDA</w:t>
      </w:r>
    </w:p>
    <w:p>
      <w:pPr>
        <w:spacing w:after="0" w:line="117" w:lineRule="exact"/>
        <w:rPr>
          <w:sz w:val="20"/>
          <w:szCs w:val="20"/>
          <w:color w:val="auto"/>
        </w:rPr>
      </w:pPr>
    </w:p>
    <w:p>
      <w:pPr>
        <w:ind w:right="640" w:firstLine="509"/>
        <w:spacing w:after="0" w:line="311"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the results of product development and testing are submitted to the FDA in the form of an NDA requesting approval to market the drug for one or more indications. The submission of an NDA requires payment of a substantial application user fee to the FDA, unless a waiver or exemption applies.</w:t>
      </w:r>
    </w:p>
    <w:p>
      <w:pPr>
        <w:spacing w:after="0" w:line="149"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An NDA must include all relevant data available from pertinent nonclinical studies and clinical trials, including negative or ambiguous results as well as positive findings, together with detailed information relating to the drug’s chemistry, manufacturing, controls and proposed labeling, among other things. Data can come from company-sponsored clinical trials intended to test the safety and effectiveness of the drug for a specific use, or from a number of alternative sources, including studies initiated by investigators. To support marketing approval, the data submitted must be sufficient in quality and quantity to establish the safety and effectiveness of the drug to the satisfaction of the FDA.</w:t>
      </w:r>
    </w:p>
    <w:p>
      <w:pPr>
        <w:spacing w:after="0" w:line="176" w:lineRule="exact"/>
        <w:rPr>
          <w:sz w:val="20"/>
          <w:szCs w:val="20"/>
          <w:color w:val="auto"/>
        </w:rPr>
      </w:pPr>
    </w:p>
    <w:p>
      <w:pPr>
        <w:ind w:right="160" w:firstLine="509"/>
        <w:spacing w:after="0" w:line="254" w:lineRule="auto"/>
        <w:rPr>
          <w:sz w:val="20"/>
          <w:szCs w:val="20"/>
          <w:color w:val="auto"/>
        </w:rPr>
      </w:pPr>
      <w:r>
        <w:rPr>
          <w:rFonts w:ascii="Arial" w:cs="Arial" w:eastAsia="Arial" w:hAnsi="Arial"/>
          <w:sz w:val="18"/>
          <w:szCs w:val="18"/>
          <w:color w:val="auto"/>
        </w:rPr>
        <w:t>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application for filing. In this event, the application must be resubmitted with the additional information and is subject to payment of additional user fees. The resubmitted application is also subject to review before the FDA accepts it for filing. Once the submission is accepted for filing, the FDA begins an in-depth substantive review. Under applicable Prescription Drug User Fee Act (PDUFA) performance goals, the FDA endeavors to review NDAs for drugs containing new molecular entities within ten months of the 60-day filing date under standard review or within six months of the 60-day filing date under priority review.</w:t>
      </w:r>
    </w:p>
    <w:p>
      <w:pPr>
        <w:spacing w:after="0" w:line="195" w:lineRule="exact"/>
        <w:rPr>
          <w:sz w:val="20"/>
          <w:szCs w:val="20"/>
          <w:color w:val="auto"/>
        </w:rPr>
      </w:pPr>
    </w:p>
    <w:p>
      <w:pPr>
        <w:ind w:right="400" w:firstLine="509"/>
        <w:spacing w:after="0" w:line="308" w:lineRule="auto"/>
        <w:rPr>
          <w:sz w:val="20"/>
          <w:szCs w:val="20"/>
          <w:color w:val="auto"/>
        </w:rPr>
      </w:pPr>
      <w:r>
        <w:rPr>
          <w:rFonts w:ascii="Arial" w:cs="Arial" w:eastAsia="Arial" w:hAnsi="Arial"/>
          <w:sz w:val="17"/>
          <w:szCs w:val="17"/>
          <w:color w:val="auto"/>
        </w:rPr>
        <w:t>The FDA may refer applications for novel drug products or drug products which present difficult questions of safety or efficacy to an advisory committee for review, evaluation and recommendation as to whether the application should be approved and under what conditions.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8" w:name="page29"/>
    <w:bookmarkEnd w:id="28"/>
    <w:p>
      <w:pPr>
        <w:ind w:right="300" w:firstLine="509"/>
        <w:spacing w:after="0" w:line="259" w:lineRule="auto"/>
        <w:rPr>
          <w:sz w:val="20"/>
          <w:szCs w:val="20"/>
          <w:color w:val="auto"/>
        </w:rPr>
      </w:pPr>
      <w:r>
        <w:rPr>
          <w:rFonts w:ascii="Arial" w:cs="Arial" w:eastAsia="Arial" w:hAnsi="Arial"/>
          <w:sz w:val="18"/>
          <w:szCs w:val="18"/>
          <w:color w:val="auto"/>
        </w:rPr>
        <w:t>Before approving an NDA, the FDA typically will inspect the facility or facilities where the drug is manufactured. The FDA will not approve an application unless it determines that the manufacturing processes and facilities are in compliance with cGMP requirements and are adequate to assure consistent production of the drug within required specifications. Additionally, the FDA will typically inspect one or more clinical sites to assure that relevant trial data was obtained in compliance with GCP requirements.</w:t>
      </w:r>
    </w:p>
    <w:p>
      <w:pPr>
        <w:spacing w:after="0" w:line="79"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After the FDA evaluates the NDA and conducts inspections of manufacturing facilities, it may issue an approval letter or a complete response letter. A complete response letter indicates that the review cycle of the application is complete, and the application is not ready for approval. A complete response letter generally outlines the deficiencies in the submission and may require substantial additional testing or information in order for the FDA to reconsider the application. Even with submission of this additional information, the FDA may ultimately decide that an application does not satisfy the regulatory criteria for approval. If, or when, the deficiencies have been addressed to the FDA’s satisfaction in a resubmission of the application, the FDA will issue an approval letter. An approval letter authorizes commercial marketing of the drug with specific prescribing information for specific indications.</w:t>
      </w:r>
    </w:p>
    <w:p>
      <w:pPr>
        <w:spacing w:after="0" w:line="56"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As a condition of NDA approval, the FDA may require a Risk Evaluation and Mitigation Strategy (REMS) program to help ensure that the benefits of the drug outweigh its risks. If the FDA determines a REMS program is necessary, the drug sponsor must develop and submit a REMS as part of its NDA prior to approval. A REMS program may be required to include various elements, such as a medication guide or patient package insert, a communication plan to educate healthcare providers of the drug’s risks, or other elements to assure safe use, such as limitations on who may prescribe or dispense the drug, dispensing only under certain circumstances, special monitoring and the use of patient registries. In addition, all REMS programs must include a timetable to periodically assess the strategy following implementation.</w:t>
      </w:r>
    </w:p>
    <w:p>
      <w:pPr>
        <w:spacing w:after="0" w:line="84" w:lineRule="exact"/>
        <w:rPr>
          <w:sz w:val="20"/>
          <w:szCs w:val="20"/>
          <w:color w:val="auto"/>
        </w:rPr>
      </w:pPr>
    </w:p>
    <w:p>
      <w:pPr>
        <w:ind w:right="280" w:firstLine="509"/>
        <w:spacing w:after="0" w:line="272" w:lineRule="auto"/>
        <w:rPr>
          <w:sz w:val="20"/>
          <w:szCs w:val="20"/>
          <w:color w:val="auto"/>
        </w:rPr>
      </w:pPr>
      <w:r>
        <w:rPr>
          <w:rFonts w:ascii="Arial" w:cs="Arial" w:eastAsia="Arial" w:hAnsi="Arial"/>
          <w:sz w:val="17"/>
          <w:szCs w:val="17"/>
          <w:color w:val="auto"/>
        </w:rPr>
        <w:t>Further, the FDA may require substantial post-approval testing and surveillance as a condition of NDA approval to monitor the drug’s safety and efficacy, and the FDA has the authority to prevent or limit further marketing of a product based on the results of these post-marketing programs. Once granted, product approvals may be withdrawn if compliance with regulatory requirements is not maintained or problems are identified following initial marketing. Moreover, changes to the conditions established in an approved application, including changes in indications, labeling or manufacturing processes or facilities may require submission and FDA approval of a new NDA or NDA supplement before the changes can be implemented. An NDA supplement for a new indication typically requires clinical data similar to that supporting the original approval, and the FDA uses similar procedures in reviewing supplements as it does in reviewing original applications.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The FDA offers a number of expedited development and review programs for qualifying drugs, one or more of which may be available for our current or future drug candidates.</w:t>
      </w:r>
    </w:p>
    <w:p>
      <w:pPr>
        <w:spacing w:after="0" w:line="62"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New drug candidates are eligible for fast track designation if they are intended to treat a serious or life-threatening disease or condition and demonstrate the potential to address unmet medical needs for the disease or condition. Fast track designation applies to the combination of the drug and the specific indication for which it is being studied. The sponsor of a fast track drug candidate has opportunities for frequent interactions with the review team during drug development and, once an NDA is submitted, the drug candidate may be eligible for priority review. A fast track drug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69"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A drug candidate intended to treat a serious or life-threatening disease or condition may also be eligible for breakthrough therapy designation to expedite its development and review. A drug candidate can receive breakthrough therapy designation if preliminary clinical evidence indicates that the drug candidate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drug candidate, including involvement of senior managers.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9" w:name="page30"/>
    <w:bookmarkEnd w:id="29"/>
    <w:p>
      <w:pPr>
        <w:ind w:firstLine="509"/>
        <w:spacing w:after="0" w:line="257" w:lineRule="auto"/>
        <w:rPr>
          <w:sz w:val="20"/>
          <w:szCs w:val="20"/>
          <w:color w:val="auto"/>
        </w:rPr>
      </w:pPr>
      <w:r>
        <w:rPr>
          <w:rFonts w:ascii="Arial" w:cs="Arial" w:eastAsia="Arial" w:hAnsi="Arial"/>
          <w:sz w:val="18"/>
          <w:szCs w:val="18"/>
          <w:color w:val="auto"/>
        </w:rPr>
        <w:t>After an NDA is submitted for a drug candidate, including a drug candidate with a fast track designation and/or breakthrough therapy designation, the NDA may be eligible for priority review. An NDA is eligible for priority review if it has the potential to provide a significant improvement in the treatment, diagnosis or prevention of a serious disease or condition compared to marketed products. Depending on whether a drug candidate contains a new molecular entity, priority review designation means the FDA’s goal is to take an action on the marketing application within six to eight months of the 60-day filing date, compared with ten to twelve months under standard review.</w:t>
      </w:r>
    </w:p>
    <w:p>
      <w:pPr>
        <w:spacing w:after="0" w:line="80"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Additionally, drug candidates studied for their safety and effectiveness in treating serious or life-threatening diseases or conditions may receive accelerated approval upon a determination that the drug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trials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drug.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We may pursue orphan drug designation for one or more of our current or future drug candidates, as appropriate, with the potential to obtain orphan drug exclusivity for our products, if approved.</w:t>
      </w:r>
    </w:p>
    <w:p>
      <w:pPr>
        <w:spacing w:after="0" w:line="62"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Under the Orphan Drug Act, the FDA may grant orphan designation to a drug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78"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If a drug that has orphan drug designation subsequently receives the first FDA approval for the disease for which it has such designation, the drug is entitled to orphan drug exclusive approval (or exclusivity), which means that the FDA may not approve any other applications, including a full NDA, to market the same drug for the same indication for seven years, except in limited circumstances, such as a showing of clinical superiority to the drug with orphan drug exclusivity. Orphan drug exclusivity does not prevent the FDA from approving a different drug for the same disease or condition, or the same drug for a different disease or condition. Among the other benefits of orphan drug designation are tax credits for certain research and a waiver of the application user fee.</w:t>
      </w:r>
    </w:p>
    <w:p>
      <w:pPr>
        <w:spacing w:after="0" w:line="19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drug to meet the needs of patients with the rare disease or condition.</w:t>
      </w:r>
    </w:p>
    <w:p>
      <w:pPr>
        <w:spacing w:after="0" w:line="79"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Under the Pediatric Research Equity Act, certain NDAs and certain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amended the FDCA to require that a sponsor who is planning to submit an NDA for a drug that includes a new active ingredient, new indication, new dosage form, new dosing regimen or new route of administration submit an initial Pediatric Study Plan (iPSP), within 60 days of an end-of-Phase 2 meeting or, if there is no such meeting, as early as practicable before the initiation of a Phase 3 or Phase 2/3 study. The iPSP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jc w:val="both"/>
        <w:ind w:right="240"/>
        <w:spacing w:after="0" w:line="263" w:lineRule="auto"/>
        <w:rPr>
          <w:sz w:val="20"/>
          <w:szCs w:val="20"/>
          <w:color w:val="auto"/>
        </w:rPr>
      </w:pPr>
      <w:r>
        <w:rPr>
          <w:rFonts w:ascii="Arial" w:cs="Arial" w:eastAsia="Arial" w:hAnsi="Arial"/>
          <w:sz w:val="18"/>
          <w:szCs w:val="18"/>
          <w:color w:val="auto"/>
        </w:rPr>
        <w:t>requirement to provide data from pediatric studies along with supporting information. The FDA and the sponsor must reach an agreement on the iPSP. A sponsor can submit amendments to an agreed-upon iPSP at any time if changes to the pediatric plan need to be considered based on data collected from nonclinical studies, early phase clinical trials and/or other clinical development programs.</w:t>
      </w:r>
    </w:p>
    <w:p>
      <w:pPr>
        <w:spacing w:after="0" w:line="76" w:lineRule="exact"/>
        <w:rPr>
          <w:sz w:val="20"/>
          <w:szCs w:val="20"/>
          <w:color w:val="auto"/>
        </w:rPr>
      </w:pPr>
    </w:p>
    <w:p>
      <w:pPr>
        <w:ind w:right="300" w:firstLine="509"/>
        <w:spacing w:after="0" w:line="286" w:lineRule="auto"/>
        <w:rPr>
          <w:sz w:val="20"/>
          <w:szCs w:val="20"/>
          <w:color w:val="auto"/>
        </w:rPr>
      </w:pPr>
      <w:r>
        <w:rPr>
          <w:rFonts w:ascii="Arial" w:cs="Arial" w:eastAsia="Arial" w:hAnsi="Arial"/>
          <w:sz w:val="17"/>
          <w:szCs w:val="17"/>
          <w:color w:val="auto"/>
        </w:rPr>
        <w:t>A drug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Once an NDA is approved, a drug will be subject to pervasive and continuing regulation by the FDA, including, among other things, requirements relating to drug listing and registration, recordkeeping, periodic reporting, product sampling and distribution, adverse event reporting and advertising, marketing and promotion. Drugs may be marketed only for the approved indications and in accordance with the provisions of the approved labeling. While physicians may prescribe for off-label uses, manufacturers may only promote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7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After approval, most changes to the approved drug, such as adding new indications or other labeling claims, are subject to prior FDA review and approval. There also are continuing user fee requirements, under which FDA assesses an annual program fee for each drug identified in an approved NDA. In addition, quality-control,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and announced inspections by the FDA and these state agencies, during which the agency inspects manufacturing facilities to assess compliance with cGMPs. FDA regulations also require investigation and correction of any deviations from cGMP and impose reporting requirements upon manufacturers and their subcontractors, if applicable. Accordingly, manufacturers must continue to expend time, money and effort in the area of production and quality control to maintain compliance with cGMP and other aspects of regulatory compliance.</w:t>
      </w:r>
    </w:p>
    <w:p>
      <w:pPr>
        <w:spacing w:after="0" w:line="165"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 FDA may withdraw approval of a drug if compliance with regulatory requirements is not maintained or if problems occur after the drug reaches the market. Later discovery of previously unknown problems with a drug,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80"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drug, complete withdrawal of the drug from the market or drug recalls;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fines, warning or untitled letters or holds on post-approval clinical studies;</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drug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drug seizure or detention, or refusal of the FDA to permit the import or export of drugs;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80" w:firstLine="509"/>
        <w:spacing w:after="0" w:line="259" w:lineRule="auto"/>
        <w:rPr>
          <w:sz w:val="20"/>
          <w:szCs w:val="20"/>
          <w:color w:val="auto"/>
        </w:rPr>
      </w:pPr>
      <w:r>
        <w:rPr>
          <w:rFonts w:ascii="Arial" w:cs="Arial" w:eastAsia="Arial" w:hAnsi="Arial"/>
          <w:sz w:val="18"/>
          <w:szCs w:val="18"/>
          <w:color w:val="auto"/>
        </w:rPr>
        <w:t>The FDA may also require post-approval studies and clinical trials if the FDA finds that scientific data, including information regarding related drugs, deem it appropriate. The purpose of such studies would be to assess a known serious risk or signals of serious risk related to the drug or to identify an unexpected serious risk when available data indicate the potential for a serious risk. The FDA may also require a labeling change if it becomes aware of new safety information that it believes should be included in the labeling of a drug.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17"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In addition to regulations in the United States, we are subject to certain and could become subject to a variety of additional foreign regulations regarding development, approval, commercial sales and distribution of our drugs if we seek to market our drugs (if approved) in other jurisdictions. Whether or not we obtain FDA approval for a drug candidate, we must obtain the necessary approvals by the comparable regulatory authorities of foreign countries before we can commence clinical trials or marketing of the drug in those countries. The approval process varies from country to country and can involve additional drug testing and additional review periods, and the time may be longer or shorter than that required to obtain FDA approval. The requirements governing, among other things, the conduct of clinical trials, drug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If we fail to comply with applicable foreign regulatory requirements, we may be subject to fines, suspension or withdrawal of regulatory approvals, drug recalls, seizure of drugs, operating restrictions and criminal prosecution.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In the United States, such laws include, without limitation, state and federal anti-kickback, fraud and abuse, false claims, price reporting, and transparency laws and regulations regarding drug pricing and payments and other transfers of value made to physicians and other healthcare providers.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governmental healthcare programs and imprisonment.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Significant uncertainty exists as to the coverage and reimbursement status of any drug candidates for which we or our collaborators obtain regulatory approval. In the United States and markets in other countries, sales of any drugs for which we or our collaborators receive regulatory approval for commercial sale will depend, in part, on the extent to which third-party payors provide coverage, and establish adequate reimbursement levels for such drug products.</w:t>
      </w:r>
    </w:p>
    <w:p>
      <w:pPr>
        <w:spacing w:after="0" w:line="79"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In the United States, third-party payors include federal and state healthcare programs, government authorities, private managed care providers, private health insurers, and other organizations. 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or our collaborators may need to conduct expensive pharmacoeconomic studies in order to demonstrate the medical necessity and cost-effectiveness of our drugs, in addition to the costs required to obtain the FDA approvals. Nonetheless, our drug candidates may not be considered medically necessary or cost-effective. A payor’s decision to provide coverage for a drug product does not imply that an adequate reimbursement rate will be approved. Further, one payor’s determination to provide coverage for a drug product does not assure that other payors will also provide coverage for the drug product.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right="60" w:firstLine="509"/>
        <w:spacing w:after="0" w:line="255" w:lineRule="auto"/>
        <w:rPr>
          <w:sz w:val="20"/>
          <w:szCs w:val="20"/>
          <w:color w:val="auto"/>
        </w:rPr>
      </w:pPr>
      <w:r>
        <w:rPr>
          <w:rFonts w:ascii="Arial" w:cs="Arial" w:eastAsia="Arial" w:hAnsi="Arial"/>
          <w:sz w:val="18"/>
          <w:szCs w:val="18"/>
          <w:color w:val="auto"/>
        </w:rPr>
        <w:t>Moreover, the process for determining whether a third-party payor will provide coverage for a drug product may be separate from the process for setting the price of a drug product or for establishing the reimbursement rate that such a payor will pay for the drug product. For drugs administered under the supervision of a physician, obtaining coverage and adequate reimbursement may be particularly difficult because of the higher prices often associated with such drugs. Additionally, separate reimbursement for the drug itself or the treatment for which the drug is used may not be available, which may impact physician utilization. Adequate third-party reimbursement may not be available to enable us to maintain price levels sufficient to realize an appropriate return on our investment in drug development.</w:t>
      </w:r>
    </w:p>
    <w:p>
      <w:pPr>
        <w:spacing w:after="0" w:line="84"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Different pricing and reimbursement schemes exist in other countries. In Europe,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drugs may only be marketed once a reimbursement price has been agreed. To obtain reimbursement or pricing approval, some of these countries may require the completion of clinical trials that compare the cost-effectiveness of a particular drug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drugs. In addition, in some countries, cross-border imports from low-priced markets exert a commercial pressure on pricing within a country.</w:t>
      </w:r>
    </w:p>
    <w:p>
      <w:pPr>
        <w:spacing w:after="0" w:line="70"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The marketability of any drug candidates for which we or our collaborators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 drug candidates for which we or our collaborators receive regulatory approval, less favorable coverage policies and reimbursement rates may be implemented in the future.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payors have attempted to control costs by limiting coverage and the amount of reimbursement for particular medical products and services, implementing reductions in Medicare and other healthcare funding and applying new payment methodologies. For example, in March 2010, the Affordable Care Act, or ACA was enacted, which affected existing government healthcare programs and resulted in the development of new programs.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Among the ACA’s provisions of importance to the pharmaceutical industry, in addition to those otherwise described above, are the following:</w:t>
      </w:r>
    </w:p>
    <w:p>
      <w:pPr>
        <w:spacing w:after="0" w:line="129" w:lineRule="exact"/>
        <w:rPr>
          <w:sz w:val="20"/>
          <w:szCs w:val="20"/>
          <w:color w:val="auto"/>
        </w:rPr>
      </w:pPr>
    </w:p>
    <w:p>
      <w:pPr>
        <w:ind w:left="1020" w:right="320" w:hanging="503"/>
        <w:spacing w:after="0" w:line="308"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specified branded prescription drugs and biologic agents apportioned among these entities according to their market share in some government healthcare programs;</w:t>
      </w:r>
    </w:p>
    <w:p>
      <w:pPr>
        <w:spacing w:after="0" w:line="38" w:lineRule="exact"/>
        <w:rPr>
          <w:rFonts w:ascii="Arial" w:cs="Arial" w:eastAsia="Arial" w:hAnsi="Arial"/>
          <w:sz w:val="17"/>
          <w:szCs w:val="17"/>
          <w:color w:val="auto"/>
        </w:rPr>
      </w:pPr>
    </w:p>
    <w:p>
      <w:pPr>
        <w:ind w:left="1020" w:right="180" w:hanging="503"/>
        <w:spacing w:after="0" w:line="26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 and a cap on the total rebate amount for innovator drugs at 100% of the Average Manufacturer Price (AMP);</w:t>
      </w:r>
    </w:p>
    <w:p>
      <w:pPr>
        <w:spacing w:after="0" w:line="75" w:lineRule="exact"/>
        <w:rPr>
          <w:rFonts w:ascii="Arial" w:cs="Arial" w:eastAsia="Arial" w:hAnsi="Arial"/>
          <w:sz w:val="18"/>
          <w:szCs w:val="18"/>
          <w:color w:val="auto"/>
        </w:rPr>
      </w:pPr>
    </w:p>
    <w:p>
      <w:pPr>
        <w:ind w:left="1020" w:right="160" w:hanging="503"/>
        <w:spacing w:after="0" w:line="26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75"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ind w:left="1020" w:right="100" w:hanging="503"/>
        <w:spacing w:after="0" w:line="26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including individuals with income at or below 133% of the federal poverty level, thereby potentially increasing manufacturers’ Medicaid rebate liability;</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33" w:name="page34"/>
    <w:bookmarkEnd w:id="33"/>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 and</w:t>
      </w:r>
    </w:p>
    <w:p>
      <w:pPr>
        <w:spacing w:after="0" w:line="117"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62"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68"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Other legislative changes have been proposed and adopted in the United States since the Affordable Care Act was enacted. On August 2, 2011, the Budget Control Act of 2011, among other things, included aggregate reductions to Medicare payments to providers, which went into effect on April 1, 2013, and will remain in effect through 2032, with the exception of a temporary suspension from May 1, 2020 through March 31, 2022, unless additional Congressional action is taken. In addition,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In addition, the American Rescue Plan Act of 2021 was signed into law, which eliminates the statutory Medicaid drug rebate cap, currently set at 100% of a drug's average manufacturer price, beginning January 1, 2024.</w:t>
      </w:r>
    </w:p>
    <w:p>
      <w:pPr>
        <w:spacing w:after="0" w:line="84"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There has also been heightened governmental scrutiny recently over the manner in which pharmaceutical companies set prices for their marketed products, which has resulted in several Congressional inquiries and proposed federal legislation, as well as state efforts, designed to, among other things, bring more transparency to drug pricing, reduce the cost of prescription drugs under Medicare, review the relationship between pricing and manufacturer patient programs, and reform government program reimbursement methodologies for drug products. Most recently, on August 16, 2022, the Inflation Reduction Act of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w:t>
      </w:r>
    </w:p>
    <w:p>
      <w:pPr>
        <w:spacing w:after="0" w:line="5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anticipate that these new laws will result in additional downward pressure on coverage and the price that we receive for any approved drug,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drugs (if approved). In addition, it is possible that there will be further legislation or regulation that could harm our business,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w:t>
      </w:r>
    </w:p>
    <w:p>
      <w:pPr>
        <w:spacing w:after="0" w:line="11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We may also be subject to federal, state and foreign data privacy and security laws and regulations. In the United States, numerous federal and state laws and regulations, including state data breach notification laws, state health information privacy laws, and federal and state consumer protection laws and regulations (e.g., Section 5 of the FTC Act), govern the collection, use, disclosure, and protection of health-related and other personal information could apply to our operations or the operations of our partners.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ind w:right="180" w:firstLine="509"/>
        <w:spacing w:after="0" w:line="342" w:lineRule="auto"/>
        <w:rPr>
          <w:sz w:val="20"/>
          <w:szCs w:val="20"/>
          <w:color w:val="auto"/>
        </w:rPr>
      </w:pPr>
      <w:r>
        <w:rPr>
          <w:rFonts w:ascii="Arial" w:cs="Arial" w:eastAsia="Arial" w:hAnsi="Arial"/>
          <w:sz w:val="16"/>
          <w:szCs w:val="16"/>
          <w:color w:val="auto"/>
        </w:rPr>
        <w:t>As of December 31, 2022, we had 83 full-time employees, including 66 employees engaged in research and development. None of our employees are represented by labor unions or covered by collective bargaining agreements. We consider our relationship with our employees to be good.</w:t>
      </w:r>
    </w:p>
    <w:p>
      <w:pPr>
        <w:spacing w:after="0" w:line="16"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We were founded in February 2018 as a Delaware corporation. Our principal executive offices are located at One Corporate Dr., 2nd Floor, South San Francisco, California 94080, and our telephone number is (800) 466-6059.</w:t>
      </w:r>
    </w:p>
    <w:p>
      <w:pPr>
        <w:spacing w:after="0" w:line="62"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Our website address is www.aligos.com. We make available on or through our website certain reports and amendments to those reports that we file with or furnish to the SEC in accordance with the Securities Exchange Act of 1934, as amended, or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References to our website address do not constitute incorporation by reference of the information contained on the website, and the information contained on the website is not part of this document or any other document that we file with or furnish to the SEC. The SEC maintains a site on the worldwide web that contains reports, proxy and information statements and other information regarding our filings at www.sec.gov.</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Annual Report on Form 10-K, including our consolidated financial statements and the related notes and the section titled “Management’s Discussion and Analysis of Financial Condition and Results of Operations,” before deciding whether to invest in our common stock. Many of the following risks and uncertainties are, and will be, exacerbated by the coronavirus pandemic (COVID-19) and any worsening of the global business and economic environment as a result.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need for additional capital</w:t>
      </w:r>
    </w:p>
    <w:p>
      <w:pPr>
        <w:spacing w:after="0" w:line="12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b w:val="1"/>
          <w:bCs w:val="1"/>
          <w:i w:val="1"/>
          <w:iCs w:val="1"/>
          <w:color w:val="auto"/>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57"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Biopharmaceutical product development is a highly speculative undertaking and involves a substantial degree of risk. We are a clinical-stage biopharmaceutical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limited experience as a company and have not yet demonstrated an ability to successfully overcome many of the risks and uncertainties frequently encountered by companies in new and rapidly evolving fields, particularly in the biopharmaceutical industry.</w:t>
      </w:r>
    </w:p>
    <w:p>
      <w:pPr>
        <w:spacing w:after="0" w:line="53"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Since inception, we have incurred significant net losses. Our net losses were $96.0 million for the year ended December 31, 2022 and $128.3 million for the year ended December 31, 2021. As of December 31, 2022, we had a total stockholders’ equity of $103.9 million. We have funded our operations to date primarily with proceeds from the sale of common stock, preferred stock and convertible notes.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may continue to incur significant expenses and operating losses for the foreseeable future.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11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drug candidates. We do not anticipate generating revenue from product sales for the next several years, if ever. Our ability to generate revenue from product sales depends heavily on our and our current and potential future collaborators’ success in:</w:t>
      </w:r>
    </w:p>
    <w:p>
      <w:pPr>
        <w:spacing w:after="0" w:line="79"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completing clinical and nonclinical development of drug candidates and programs and identifying and developing new drug candidates;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seeking and obtaining marketing approvals for any drug candidates that we develop;</w:t>
      </w:r>
    </w:p>
    <w:p>
      <w:pPr>
        <w:spacing w:after="0" w:line="117"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launching and commercializing drug candidates for which we obtain marketing approval by establishing a sales force, marketing, medical affairs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achieving adequate coverage and reimbursement by third-party payors for drug candidates that we develop;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ind w:left="1020" w:right="40" w:hanging="503"/>
        <w:spacing w:after="0" w:line="342"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market acceptance of drug candidates that we develop as viable treatment options;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technological and market developments;</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maintaining, protecting, enforcing and expanding our portfolio of intellectual property rights, including patents, trade secrets and know-how;</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defending against third-party interference, infringement or other intellectual property-related claims, if any;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8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16"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As of December 31, 2022, we had cash, cash equivalents and investments of $125.8 million.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1020" w:right="8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drug candidates and programs, and of conducting nonclinical studies and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for drug candidates we develop if clinical trials are successful;</w:t>
      </w:r>
    </w:p>
    <w:p>
      <w:pPr>
        <w:spacing w:after="0" w:line="128" w:lineRule="exact"/>
        <w:rPr>
          <w:rFonts w:ascii="Arial" w:cs="Arial" w:eastAsia="Arial" w:hAnsi="Arial"/>
          <w:sz w:val="17"/>
          <w:szCs w:val="17"/>
          <w:color w:val="auto"/>
        </w:rPr>
      </w:pPr>
    </w:p>
    <w:p>
      <w:pPr>
        <w:jc w:val="both"/>
        <w:ind w:left="1020" w:right="400" w:hanging="503"/>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75" w:lineRule="exact"/>
        <w:rPr>
          <w:rFonts w:ascii="Arial" w:cs="Arial" w:eastAsia="Arial" w:hAnsi="Arial"/>
          <w:sz w:val="18"/>
          <w:szCs w:val="18"/>
          <w:color w:val="auto"/>
        </w:rPr>
      </w:pPr>
    </w:p>
    <w:p>
      <w:pPr>
        <w:ind w:left="1020" w:right="128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manufacturing our current and future drug candidates for clinical trials in preparation for marketing approval and commercialization;</w:t>
      </w:r>
    </w:p>
    <w:p>
      <w:pPr>
        <w:spacing w:after="0" w:line="62"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 including milestone payments to our licensors;</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left="1020" w:hanging="503"/>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lawsuits related to our drug candidates or commenced against us, including the costs associated with our current litigation with Janssen;</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receipt and amount of sales of, or profit share or royalties on, our future products, if any;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emergence of competing therapies for hepatological indications and viral diseases and other adverse market developments; and</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acquisitions or in-licensing of other programs or technologies.</w:t>
      </w:r>
    </w:p>
    <w:p>
      <w:pPr>
        <w:spacing w:after="0" w:line="225" w:lineRule="exact"/>
        <w:rPr>
          <w:sz w:val="20"/>
          <w:szCs w:val="20"/>
          <w:color w:val="auto"/>
        </w:rPr>
      </w:pPr>
    </w:p>
    <w:p>
      <w:pPr>
        <w:ind w:right="220" w:firstLine="509"/>
        <w:spacing w:after="0" w:line="273" w:lineRule="auto"/>
        <w:rPr>
          <w:sz w:val="20"/>
          <w:szCs w:val="20"/>
          <w:color w:val="auto"/>
        </w:rPr>
      </w:pPr>
      <w:r>
        <w:rPr>
          <w:rFonts w:ascii="Arial" w:cs="Arial" w:eastAsia="Arial" w:hAnsi="Arial"/>
          <w:sz w:val="17"/>
          <w:szCs w:val="17"/>
          <w:color w:val="auto"/>
        </w:rPr>
        <w:t>To date, we have primarily financed our operations through the sale of common stock, preferred stock and convertible notes. For example, in November 2021, we filed a Registration Statement on Form S-3 covering the offering of up to $400.0 million of common stock, preferred stock, debt securities, warrants and units, which was declared effective by the SEC in November 2021 (November 2021 Shelf Registration Statement). In November 2021, we also entered into a sales agreement (November 2021 Sales Agreement), with Jefferies LLC, as sales agent to sell shares of our common stock, from time to time, with aggregate gross sales proceeds of up to $75.0 million pursuant to the November 2021 Shelf Registration Statement as an “at-the-market” offering under the Securities Act (ATM Offering Program).</w:t>
      </w:r>
    </w:p>
    <w:p>
      <w:pPr>
        <w:spacing w:after="0" w:line="178"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cash equivalents and investments will enable us to fund our operations for at least 12 months following the date of this report. However, our operating plan may change as a result of many factors currently unknown to us, and we may need to seek additional funds sooner than planned. Moreover, it is particularly difficult to estimate with certainty our future expenses given the dynamic nature of our business, the COVID-19 pandemic and the macro-economic environment generally.</w:t>
      </w:r>
    </w:p>
    <w:p>
      <w:pPr>
        <w:spacing w:after="0" w:line="177"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Our ability to raise additional funds will depend on financial, economic and other factors, many of which are beyond our control. For example, the COVID-19 pandemic, the current inflationary economic environment and rising interest rates have resulted in a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w:t>
      </w:r>
    </w:p>
    <w:p>
      <w:pPr>
        <w:spacing w:after="0" w:line="80" w:lineRule="exact"/>
        <w:rPr>
          <w:sz w:val="20"/>
          <w:szCs w:val="20"/>
          <w:color w:val="auto"/>
        </w:rPr>
      </w:pPr>
    </w:p>
    <w:p>
      <w:pPr>
        <w:ind w:left="1020" w:right="26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limit, reduce or terminate nonclinical studies, clinical trials or other research and development activities or eliminate one or more of our development programs altogether; or</w:t>
      </w:r>
    </w:p>
    <w:p>
      <w:pPr>
        <w:spacing w:after="0" w:line="62" w:lineRule="exact"/>
        <w:rPr>
          <w:rFonts w:ascii="Arial" w:cs="Arial" w:eastAsia="Arial" w:hAnsi="Arial"/>
          <w:sz w:val="18"/>
          <w:szCs w:val="18"/>
          <w:color w:val="auto"/>
        </w:rPr>
      </w:pPr>
    </w:p>
    <w:p>
      <w:pPr>
        <w:jc w:val="both"/>
        <w:ind w:left="1020" w:right="340" w:hanging="503"/>
        <w:spacing w:after="0" w:line="26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184"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currently have a shelf registration statement effective and existing ATM Offering Program, however, our ability to raise capital under this registration statement and through the ATM Offering Program may be limited by, among other things, SEC rules and regulations impacting the eligibility of smaller companies to use Form S-3 for primary offerings of securities. Based on our public float, as of the date of the filing of this Annual Report on Form 10-K, we are only permitted to utilize a shelf registration statement, including the registration statements under which our ATM Offering Programs are operated, subject to Instruction I.B.6 to Form S-3, which is referred to as the “baby shelf” rule. For so long as our public float is less than $75.0 million, we may not sell more than the equivalent of one-third of our public float during any 12 consecutive months pursuant to the baby shelf rules. Although alternative public and private transaction structures may be available, these may require additional time and cost, may impose operational restrictions on us, and may not be available on attractive terms.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right="54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will make our future results difficult to predict and could cause our results to fall below expectations.</w:t>
      </w:r>
    </w:p>
    <w:p>
      <w:pPr>
        <w:spacing w:after="0" w:line="62" w:lineRule="exact"/>
        <w:rPr>
          <w:sz w:val="20"/>
          <w:szCs w:val="20"/>
          <w:color w:val="auto"/>
        </w:rPr>
      </w:pPr>
    </w:p>
    <w:p>
      <w:pPr>
        <w:ind w:right="660" w:firstLine="509"/>
        <w:spacing w:after="0" w:line="308" w:lineRule="auto"/>
        <w:rPr>
          <w:sz w:val="20"/>
          <w:szCs w:val="20"/>
          <w:color w:val="auto"/>
        </w:rPr>
      </w:pPr>
      <w:r>
        <w:rPr>
          <w:rFonts w:ascii="Arial" w:cs="Arial" w:eastAsia="Arial" w:hAnsi="Arial"/>
          <w:sz w:val="17"/>
          <w:szCs w:val="17"/>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38" w:lineRule="exact"/>
        <w:rPr>
          <w:sz w:val="20"/>
          <w:szCs w:val="20"/>
          <w:color w:val="auto"/>
        </w:rPr>
      </w:pPr>
    </w:p>
    <w:p>
      <w:pPr>
        <w:ind w:left="1020" w:right="20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and commercialization activities, which may change from time to time;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status of enrollment for our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regulatory approvals, if any, in the United States and internationally;</w:t>
      </w:r>
    </w:p>
    <w:p>
      <w:pPr>
        <w:spacing w:after="0" w:line="117" w:lineRule="exact"/>
        <w:rPr>
          <w:rFonts w:ascii="Arial" w:cs="Arial" w:eastAsia="Arial" w:hAnsi="Arial"/>
          <w:sz w:val="18"/>
          <w:szCs w:val="18"/>
          <w:color w:val="auto"/>
        </w:rPr>
      </w:pPr>
    </w:p>
    <w:p>
      <w:pPr>
        <w:ind w:left="1020" w:right="540" w:hanging="503"/>
        <w:spacing w:after="0" w:line="308"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38" w:lineRule="exact"/>
        <w:rPr>
          <w:rFonts w:ascii="Arial" w:cs="Arial" w:eastAsia="Arial" w:hAnsi="Arial"/>
          <w:sz w:val="17"/>
          <w:szCs w:val="17"/>
          <w:color w:val="auto"/>
        </w:rPr>
      </w:pPr>
    </w:p>
    <w:p>
      <w:pPr>
        <w:ind w:left="1020" w:right="26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manufacturing, as well as building out our supply chain, which may vary depending on the quantity produced, and the terms of any agreements we enter into with third-party suppliers;</w:t>
      </w:r>
    </w:p>
    <w:p>
      <w:pPr>
        <w:spacing w:after="0" w:line="62" w:lineRule="exact"/>
        <w:rPr>
          <w:rFonts w:ascii="Arial" w:cs="Arial" w:eastAsia="Arial" w:hAnsi="Arial"/>
          <w:sz w:val="18"/>
          <w:szCs w:val="18"/>
          <w:color w:val="auto"/>
        </w:rPr>
      </w:pPr>
    </w:p>
    <w:p>
      <w:pPr>
        <w:ind w:left="1020" w:right="5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amount of any milestone, royalty or other payments due under any current or future collaboration or license agreement, including our existing license agreements with Emory University (Emory) and KU Leuven;</w:t>
      </w:r>
    </w:p>
    <w:p>
      <w:pPr>
        <w:spacing w:after="0" w:line="62" w:lineRule="exact"/>
        <w:rPr>
          <w:rFonts w:ascii="Arial" w:cs="Arial" w:eastAsia="Arial" w:hAnsi="Arial"/>
          <w:sz w:val="18"/>
          <w:szCs w:val="18"/>
          <w:color w:val="auto"/>
        </w:rPr>
      </w:pPr>
    </w:p>
    <w:p>
      <w:pPr>
        <w:ind w:left="1020" w:right="68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any future approved products, and potential future drugs that compete with our products;</w:t>
      </w:r>
    </w:p>
    <w:p>
      <w:pPr>
        <w:spacing w:after="0" w:line="62" w:lineRule="exact"/>
        <w:rPr>
          <w:rFonts w:ascii="Arial" w:cs="Arial" w:eastAsia="Arial" w:hAnsi="Arial"/>
          <w:sz w:val="18"/>
          <w:szCs w:val="18"/>
          <w:color w:val="auto"/>
        </w:rPr>
      </w:pPr>
    </w:p>
    <w:p>
      <w:pPr>
        <w:ind w:left="1020" w:right="20" w:hanging="503"/>
        <w:spacing w:after="0" w:line="308"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and cost to establish a sales, marketing, medical affairs and distribution infrastructure to commercialize any products for which we may obtain marketing approval and intend to commercialize on our own or jointly with current or future collaborators;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117"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expenditures that we may incur in any lawsuits related to our drug candidates or commenced against us, including the costs associated with our current litigation with Janssen;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level of demand for any future approved products, which may vary significantly over time;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accounting pronouncements or changes in accounting principles or our accounting policies; and</w:t>
      </w:r>
    </w:p>
    <w:p>
      <w:pPr>
        <w:spacing w:after="0" w:line="117" w:lineRule="exact"/>
        <w:rPr>
          <w:rFonts w:ascii="Arial" w:cs="Arial" w:eastAsia="Arial" w:hAnsi="Arial"/>
          <w:sz w:val="18"/>
          <w:szCs w:val="18"/>
          <w:color w:val="auto"/>
        </w:rPr>
      </w:pPr>
    </w:p>
    <w:p>
      <w:pPr>
        <w:ind w:left="1020" w:right="140" w:hanging="503"/>
        <w:spacing w:after="0" w:line="308"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and success or failure of nonclinical studies and clinical trials for our drug candidates or competing drug candidates, or any other change in the competitive landscape of our industry, including consolidation among our competitors or collaboration partners.</w:t>
      </w:r>
    </w:p>
    <w:p>
      <w:pPr>
        <w:spacing w:after="0" w:line="38"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76"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w:t>
      </w:r>
    </w:p>
    <w:p>
      <w:pPr>
        <w:spacing w:after="0" w:line="49"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Our business could be materially adversely affected by the effects of health pandemics or epidemics, including the current outbreak of COVID-19 and future coronavirus outbreaks, and in particular in regions where we or third parties on which we rely have significant manufacturing facilities, concentrations of clinical trial sites or other business operations, including the San Francisco Bay Area where our headquarters are located.</w:t>
      </w:r>
    </w:p>
    <w:p>
      <w:pPr>
        <w:spacing w:after="0" w:line="4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Our business could be materially adversely affected by the effects of health pandemics or epidemics, including the current outbreak of COVID-19, which the World Health Organization declared a global pandemic and which has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ind w:right="40"/>
        <w:spacing w:after="0" w:line="286" w:lineRule="auto"/>
        <w:rPr>
          <w:sz w:val="20"/>
          <w:szCs w:val="20"/>
          <w:color w:val="auto"/>
        </w:rPr>
      </w:pPr>
      <w:r>
        <w:rPr>
          <w:rFonts w:ascii="Arial" w:cs="Arial" w:eastAsia="Arial" w:hAnsi="Arial"/>
          <w:sz w:val="16"/>
          <w:szCs w:val="16"/>
          <w:color w:val="auto"/>
        </w:rPr>
        <w:t>prompted severe lifestyle 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implemented work-from-home policies for most of our employees. Since the availability of COVID-19 vaccines, almost all of our employees have been fully vaccinated and as a result, we are allowing such employees to return to work, subject to certain COVID-19 related protocols and policies we have put in place and which are modified from time to time as appropriate. However, as the global COVID-19 pandemic and orders and guidance from state and local governments continue to evolve, we may need to reverse course and again implement work-from-home policies as necessary. For example, given the Omicron variant of COVID-19, we again implemented work-from-home policies for our employees in January 2022. While we have allowed our employees to return to work at our U.S. facility as of March 2022, we continue to monitor the COVID-19 situation and may once again reverse course periodically as necessary. Government-imposed quarantines and our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upticks in COVID-19 cases and other limitations on our ability to conduct our business in the ordinary course. Although we do not anticipate any impacts to our clinical programs, these and similar, and perhaps more severe, disruptions in our operations could negatively impact our business, operating results and financial condition in the future.</w:t>
      </w:r>
    </w:p>
    <w:p>
      <w:pPr>
        <w:spacing w:after="0" w:line="59"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Quarantines, shutdowns and shelter-in-place and similar government orders related to COVID-19 or other infectious diseases, or the perception that such events, orders or other restrictions on the conduct of business operations could occur, could impact personnel at third-party manufacturing facilities in the United States and other countries, or the availability or cost of materials, which would disrupt our supply chain. Restrictions resulting from the COVID-19 outbreak may at any time disrupt our supply chain and delay or limit our ability to obtain sufficient materials for our drug candidates.</w:t>
      </w:r>
    </w:p>
    <w:p>
      <w:pPr>
        <w:spacing w:after="0" w:line="49"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In addition, our current clinical trial and planned clinical trials may be affected by the ongoing COVID-19 pandemic. Site initiation and patient enrollment may be delayed due to prioritization of hospital resources toward the COVID-19 pandemic, and potential patients may not be able or willing to comply with clinical trial protocols, whether due to quarantines impeding patient movement or interrupting healthcare services, or due to potential patient concerns regarding interactions with medical facilities or staff. Similarly, our ability to recruit and retain principal investigators and site staff who, as healthcare providers, may have heightened exposure to COVID-19, may be delayed or disrupted, which may adversely impact our clinical trial operations.</w:t>
      </w:r>
    </w:p>
    <w:p>
      <w:pPr>
        <w:spacing w:after="0" w:line="53"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addition, the global COVID-19 pandemic has adversely affected, and any future significant outbreak of contagious diseases in the human population could similarly adversely affect, the economies and financial markets of many countries, including the United States, resulting in an economic downturn that could suppress demand for our future products. Any of these events could have a material adverse effect on our business, financial condition, results of operations or cash flows.</w:t>
      </w:r>
    </w:p>
    <w:p>
      <w:pPr>
        <w:spacing w:after="0" w:line="7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addition, while the duration and severity of the effects of COVID-19 may be difficult to assess or predict, a continuing widespread pandemic could result in significant disruption of global financial markets, reducing our ability to access capital, which could negatively affect our liquidity and ability to progress our operations. In addition, a recession, down-turn, market correction or supply chain disruption resulting from the COVID-19 pandemic or other health pandemics or epidemics could materially adversely affect the value of our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regulatory process</w:t>
      </w:r>
    </w:p>
    <w:p>
      <w:pPr>
        <w:spacing w:after="0" w:line="121"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b w:val="1"/>
          <w:bCs w:val="1"/>
          <w:i w:val="1"/>
          <w:iCs w:val="1"/>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41" w:lineRule="exact"/>
        <w:rPr>
          <w:sz w:val="20"/>
          <w:szCs w:val="20"/>
          <w:color w:val="auto"/>
        </w:rPr>
      </w:pPr>
    </w:p>
    <w:p>
      <w:pPr>
        <w:ind w:right="160" w:firstLine="509"/>
        <w:spacing w:after="0" w:line="311" w:lineRule="auto"/>
        <w:rPr>
          <w:sz w:val="20"/>
          <w:szCs w:val="20"/>
          <w:color w:val="auto"/>
        </w:rPr>
      </w:pPr>
      <w:r>
        <w:rPr>
          <w:rFonts w:ascii="Arial" w:cs="Arial" w:eastAsia="Arial" w:hAnsi="Arial"/>
          <w:sz w:val="16"/>
          <w:szCs w:val="16"/>
          <w:color w:val="auto"/>
        </w:rPr>
        <w:t>Our clinical development efforts across our drug candidates are in an early stage. We have initiated clinical trials for our most advanced drug candidates in many countries (e.g., New Zealand, Hong Kong, the United Kingdom). Our other programs are in the discovery or nonclinical development stage. We have invested substantially all of our efforts and financial resources in the identification of targets and nonclinical development of</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spacing w:after="0" w:line="219" w:lineRule="exact"/>
        <w:rPr>
          <w:sz w:val="20"/>
          <w:szCs w:val="20"/>
          <w:color w:val="auto"/>
        </w:rPr>
      </w:pPr>
      <w:r>
        <w:rPr>
          <w:rFonts w:ascii="Arial" w:cs="Arial" w:eastAsia="Arial" w:hAnsi="Arial"/>
          <w:sz w:val="16"/>
          <w:szCs w:val="16"/>
          <w:color w:val="auto"/>
        </w:rPr>
        <w:t>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 For example, our CHB portfolio previously included our STOPS</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drug candidate, ALG-010133, one of our proprietary s-antigen transport-inhibiting oligonucleotide polymers that was in a Phase 1b dose range finding trial (NCT04485663) evaluating subjects with CHB as well as our proprietary antisense oligonucleotide, ALG-020572, that was in a Phase 1a/1b umbrella study (NCT05001022) and for which dosing in CHB patients were initiated as part of the multiple ascending dose portion of such study. However, in January 2022, we announced we halted further development of ALG-010133 based on data from such trial indicating insufficient antiviral activity to warrant further development of such drug candidate. And, in March 2022, we announced our discontinuation of further development of ALG</w:t>
      </w:r>
      <w:r>
        <w:rPr>
          <w:rFonts w:ascii="MS PGothic" w:cs="MS PGothic" w:eastAsia="MS PGothic" w:hAnsi="MS PGothic"/>
          <w:sz w:val="16"/>
          <w:szCs w:val="16"/>
          <w:color w:val="auto"/>
        </w:rPr>
        <w:t>‑</w:t>
      </w:r>
      <w:r>
        <w:rPr>
          <w:rFonts w:ascii="Arial" w:cs="Arial" w:eastAsia="Arial" w:hAnsi="Arial"/>
          <w:sz w:val="16"/>
          <w:szCs w:val="16"/>
          <w:color w:val="auto"/>
        </w:rPr>
        <w:t>020572 due to an unanticipated serious adverse event involving significant increase in alanine aminotransferase (ALT) in one CHB subject and several additional subjects experiencing ALT flares. 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spacing w:after="0" w:line="95"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87"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We are evaluating drug candidates in clinical trials in many countries (e.g., New Zealand, Hong Kong, the United Kingdom). As a company, we have limited experience in preparing, submitting and prosecuting regulatory filings. Specifically, 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 will be required or whether the FDA will agree with the design or implementation of our clinical trials. In addition, we cannot be certain that our current or future drug candidates will be successful in clinical trials such that the information contained in an NDA or comparable regulatory filing would support approval, and thus we cannot guarantee that any of our drug candidates will receive regulatory approval. Further, even if our current or future drug candidates are successful in clinical trials, such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w:t>
      </w:r>
    </w:p>
    <w:p>
      <w:pPr>
        <w:spacing w:after="0" w:line="186"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We plan to seek regulatory approval to commercialize our drug candidates both in the United States and in select foreign countries. While the scope of regulatory approval in other countries is generally similar to that in the United States,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our current and future drug candidates will depend on many factors, which may include the following:</w:t>
      </w:r>
    </w:p>
    <w:p>
      <w:pPr>
        <w:spacing w:after="0" w:line="117" w:lineRule="exact"/>
        <w:rPr>
          <w:sz w:val="20"/>
          <w:szCs w:val="20"/>
          <w:color w:val="auto"/>
        </w:rPr>
      </w:pPr>
    </w:p>
    <w:p>
      <w:pPr>
        <w:ind w:left="1020" w:right="24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nonclinical studies and clinical trials, and our ability to raise any additional required capital on acceptable terms, or at 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develop and successfully utilize our drug discovery platforms;</w:t>
      </w:r>
    </w:p>
    <w:p>
      <w:pPr>
        <w:spacing w:after="0" w:line="117"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timely and successful completion of our nonclinical studies and clinical trials, which may be significantly slower or cost more than we currently anticipate and will depend substantially upon the performance of third-party contractors;</w:t>
      </w:r>
    </w:p>
    <w:p>
      <w:pPr>
        <w:spacing w:after="0" w:line="62" w:lineRule="exact"/>
        <w:rPr>
          <w:rFonts w:ascii="Arial" w:cs="Arial" w:eastAsia="Arial" w:hAnsi="Arial"/>
          <w:sz w:val="18"/>
          <w:szCs w:val="18"/>
          <w:color w:val="auto"/>
        </w:rPr>
      </w:pPr>
    </w:p>
    <w:p>
      <w:pPr>
        <w:ind w:left="1020" w:right="90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investigational new drug applications (INDs), clinical trial applications (CTAs) and/or similar applications in other jurisdictions for our planned and future clinical trials;</w:t>
      </w:r>
    </w:p>
    <w:p>
      <w:pPr>
        <w:spacing w:after="0" w:line="62"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we are required by the FDA or a comparable foreign regulatory agency to conduct additional clinical trials or other studies beyond those planned to support approval of our drug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successful data from our clinical program that supports an acceptable risk-benefit profile of our drug candidates in the intended populations;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receipt and maintenance of marketing approvals from applicable regulatory authorities;</w:t>
      </w:r>
    </w:p>
    <w:p>
      <w:pPr>
        <w:spacing w:after="0" w:line="117"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drug candidates are approved;</w:t>
      </w:r>
    </w:p>
    <w:p>
      <w:pPr>
        <w:spacing w:after="0" w:line="62" w:lineRule="exact"/>
        <w:rPr>
          <w:rFonts w:ascii="Arial" w:cs="Arial" w:eastAsia="Arial" w:hAnsi="Arial"/>
          <w:sz w:val="18"/>
          <w:szCs w:val="18"/>
          <w:color w:val="auto"/>
        </w:rPr>
      </w:pPr>
    </w:p>
    <w:p>
      <w:pPr>
        <w:ind w:left="1020" w:right="100" w:hanging="503"/>
        <w:spacing w:after="0" w:line="342"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and the ability of any third parties with whom we contract, to remain in good standing with regulatory agencies and develop, validate and maintain commercially viable manufacturing processes that are compliant with current good manufacturing practices (cGMPs);</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our drug candidates in select indications or geographies;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maintaining and expanding our portfolio of intellectual property rights, including patents, trade secrets and know-how;</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enforcing and defending our intellectual property rights and having and successfully executing an intellectual property life cycle management strategy that supports long-term product development and commercialization goals;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regulatory exclusivity for our drug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launching commercial sales of our drug candidates, if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the drug candidate’s benefits and uses, if approved, by patients, the medical community and third-party payors;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prevalence, duration and severity of potential side effects or other safety issues experienced with our drug candidates following approval;</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from third-party payors.</w:t>
      </w:r>
    </w:p>
    <w:p>
      <w:pPr>
        <w:spacing w:after="0" w:line="117" w:lineRule="exact"/>
        <w:rPr>
          <w:sz w:val="20"/>
          <w:szCs w:val="20"/>
          <w:color w:val="auto"/>
        </w:rPr>
      </w:pPr>
    </w:p>
    <w:p>
      <w:pPr>
        <w:ind w:right="240" w:firstLine="509"/>
        <w:spacing w:after="0" w:line="257"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obtain approval of or commercialize the drug candidates we develop, which would materially 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are evaluating drug candidates in clinical trials in many countries (e.g., New Zealand, Hong Kong, the United Kingdom). The rest of our programs are in nonclinical research or earlier stages of development, including our other chronic hepatitis B (CHB) drug candidates and our coronavirus drug candidates.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 of INDs, CTAs or similar applications will result in the FDA or other regulatory authorities allowing additional clinical trials to begin.</w:t>
      </w:r>
    </w:p>
    <w:p>
      <w:pPr>
        <w:spacing w:after="0" w:line="71"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 potential future partners, if any, over which we have no control. The commencement and rate of completion of nonclinical studies and clinical trials for a drug candidate may be delayed by many factors, including:</w:t>
      </w:r>
    </w:p>
    <w:p>
      <w:pPr>
        <w:spacing w:after="0" w:line="53" w:lineRule="exact"/>
        <w:rPr>
          <w:sz w:val="20"/>
          <w:szCs w:val="20"/>
          <w:color w:val="auto"/>
        </w:rPr>
      </w:pPr>
    </w:p>
    <w:p>
      <w:pPr>
        <w:ind w:left="1020" w:right="44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or failure by us or third parties to comply with regulatory requirements, including the requirements of good laboratory practice (GLP);</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generate sufficient nonclinical or other in vivo or in vitro data to support the initiation of clinical studies;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delays in reaching a consensus with regulatory agencies on study design and obtaining regulatory authorization to commence clinical trials;</w:t>
      </w:r>
    </w:p>
    <w:p>
      <w:pPr>
        <w:spacing w:after="0" w:line="140" w:lineRule="exact"/>
        <w:rPr>
          <w:rFonts w:ascii="Arial" w:cs="Arial" w:eastAsia="Arial" w:hAnsi="Arial"/>
          <w:sz w:val="16"/>
          <w:szCs w:val="16"/>
          <w:color w:val="auto"/>
        </w:rPr>
      </w:pPr>
    </w:p>
    <w:p>
      <w:pPr>
        <w:ind w:left="1020" w:right="26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sufficient quantities of our drug candidates for use in nonclinical studies and clinical trials from third-party suppliers on a timely basis;</w:t>
      </w:r>
    </w:p>
    <w:p>
      <w:pPr>
        <w:spacing w:after="0" w:line="62" w:lineRule="exact"/>
        <w:rPr>
          <w:rFonts w:ascii="Arial" w:cs="Arial" w:eastAsia="Arial" w:hAnsi="Arial"/>
          <w:sz w:val="18"/>
          <w:szCs w:val="18"/>
          <w:color w:val="auto"/>
        </w:rPr>
      </w:pPr>
    </w:p>
    <w:p>
      <w:pPr>
        <w:ind w:left="1020" w:right="140" w:hanging="503"/>
        <w:spacing w:after="0" w:line="286"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delays due to the COVID-19 pandemic, including due to reduced workforce productivity as a result of our implementation of a temporary work-from-home policy or illness among personnel, or due to delays at our third-party contract research organizations throughout the world for similar reasons or due to restrictions imposed by applicable governmental authorities; and</w:t>
      </w:r>
    </w:p>
    <w:p>
      <w:pPr>
        <w:spacing w:after="0" w:line="57" w:lineRule="exact"/>
        <w:rPr>
          <w:rFonts w:ascii="Arial" w:cs="Arial" w:eastAsia="Arial" w:hAnsi="Arial"/>
          <w:sz w:val="17"/>
          <w:szCs w:val="17"/>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due to other global-scale potentially catastrophic events, including other pandemics, terrorism, war, and climate changes.</w:t>
      </w:r>
    </w:p>
    <w:p>
      <w:pPr>
        <w:spacing w:after="0" w:line="117" w:lineRule="exact"/>
        <w:rPr>
          <w:sz w:val="20"/>
          <w:szCs w:val="20"/>
          <w:color w:val="auto"/>
        </w:rPr>
      </w:pPr>
    </w:p>
    <w:p>
      <w:pPr>
        <w:jc w:val="both"/>
        <w:ind w:right="40" w:firstLine="509"/>
        <w:spacing w:after="0" w:line="259" w:lineRule="auto"/>
        <w:rPr>
          <w:sz w:val="20"/>
          <w:szCs w:val="20"/>
          <w:color w:val="auto"/>
        </w:rPr>
      </w:pPr>
      <w:r>
        <w:rPr>
          <w:rFonts w:ascii="Arial" w:cs="Arial" w:eastAsia="Arial" w:hAnsi="Arial"/>
          <w:sz w:val="18"/>
          <w:szCs w:val="18"/>
          <w:color w:val="auto"/>
        </w:rPr>
        <w:t>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w:t>
      </w:r>
    </w:p>
    <w:p>
      <w:pPr>
        <w:spacing w:after="0" w:line="79"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p>
    <w:p>
      <w:pPr>
        <w:spacing w:after="0" w:line="1"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but typically takes many years following the commencement of clinical trials and depends upon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spacing w:after="0" w:line="259" w:lineRule="auto"/>
        <w:rPr>
          <w:sz w:val="20"/>
          <w:szCs w:val="20"/>
          <w:color w:val="auto"/>
        </w:rPr>
      </w:pPr>
      <w:r>
        <w:rPr>
          <w:rFonts w:ascii="Arial" w:cs="Arial" w:eastAsia="Arial" w:hAnsi="Arial"/>
          <w:sz w:val="18"/>
          <w:szCs w:val="18"/>
          <w:color w:val="auto"/>
        </w:rPr>
        <w:t>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 not obtained regulatory approval for any drug candidate and it is possible that none of our current or future drug candidates will ever obtain regulatory approval.</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current and future drug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FDA, the EMA or comparable foreign regulatory authorities may disagree with the design or implementation of our clinical trials;</w:t>
      </w:r>
    </w:p>
    <w:p>
      <w:pPr>
        <w:spacing w:after="0" w:line="128" w:lineRule="exact"/>
        <w:rPr>
          <w:rFonts w:ascii="Arial" w:cs="Arial" w:eastAsia="Arial" w:hAnsi="Arial"/>
          <w:sz w:val="17"/>
          <w:szCs w:val="17"/>
          <w:color w:val="auto"/>
        </w:rPr>
      </w:pPr>
    </w:p>
    <w:p>
      <w:pPr>
        <w:ind w:left="1020" w:right="6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foreign regulatory authorities that a drug candidate is safe or effective for its proposed indication;</w:t>
      </w:r>
    </w:p>
    <w:p>
      <w:pPr>
        <w:spacing w:after="0" w:line="62"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17" w:lineRule="exact"/>
        <w:rPr>
          <w:rFonts w:ascii="Arial" w:cs="Arial" w:eastAsia="Arial" w:hAnsi="Arial"/>
          <w:sz w:val="18"/>
          <w:szCs w:val="18"/>
          <w:color w:val="auto"/>
        </w:rPr>
      </w:pPr>
    </w:p>
    <w:p>
      <w:pPr>
        <w:ind w:left="1020" w:right="80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interpretation of data from clinical trials or nonclinical studies;</w:t>
      </w:r>
    </w:p>
    <w:p>
      <w:pPr>
        <w:spacing w:after="0" w:line="62"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data collected from clinical trials of our drug candidates may not be sufficient to support the submission of an NDA to the FDA or other submission or to obtain regulatory approval in the United States, the European Union or elsewhere;</w:t>
      </w:r>
    </w:p>
    <w:p>
      <w:pPr>
        <w:spacing w:after="0" w:line="62"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62"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 from future clinical trials of our drug candidates are promising, such data may not be sufficient to support approval by the FDA, the EMA or any other regulatory authority.</w:t>
      </w:r>
    </w:p>
    <w:p>
      <w:pPr>
        <w:spacing w:after="0" w:line="68"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w:t>
      </w:r>
    </w:p>
    <w:p>
      <w:pPr>
        <w:spacing w:after="0" w:line="80"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We cannot be certain that any of our programs will be successful in clinical trials or receive regulatory approval. Further, drug candidates we develop may not receive regulatory approval even if they are successful in clinical trials. If we do not receive regulatory approvals for our drug candidates, we may not be able to continue our operations.</w:t>
      </w:r>
    </w:p>
    <w:p>
      <w:pPr>
        <w:spacing w:after="0" w:line="76" w:lineRule="exact"/>
        <w:rPr>
          <w:sz w:val="20"/>
          <w:szCs w:val="20"/>
          <w:color w:val="auto"/>
        </w:rPr>
      </w:pPr>
    </w:p>
    <w:p>
      <w:pPr>
        <w:ind w:right="220"/>
        <w:spacing w:after="0" w:line="340" w:lineRule="auto"/>
        <w:rPr>
          <w:sz w:val="20"/>
          <w:szCs w:val="20"/>
          <w:color w:val="auto"/>
        </w:rPr>
      </w:pPr>
      <w:r>
        <w:rPr>
          <w:rFonts w:ascii="Arial" w:cs="Arial" w:eastAsia="Arial" w:hAnsi="Arial"/>
          <w:sz w:val="15"/>
          <w:szCs w:val="15"/>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p>
    <w:p>
      <w:pPr>
        <w:spacing w:after="0" w:line="23"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4" w:name="page45"/>
    <w:bookmarkEnd w:id="44"/>
    <w:p>
      <w:pPr>
        <w:ind w:right="140"/>
        <w:spacing w:after="0" w:line="218" w:lineRule="exact"/>
        <w:rPr>
          <w:sz w:val="20"/>
          <w:szCs w:val="20"/>
          <w:color w:val="auto"/>
        </w:rPr>
      </w:pPr>
      <w:r>
        <w:rPr>
          <w:rFonts w:ascii="Arial" w:cs="Arial" w:eastAsia="Arial" w:hAnsi="Arial"/>
          <w:sz w:val="16"/>
          <w:szCs w:val="16"/>
          <w:color w:val="auto"/>
        </w:rPr>
        <w:t>uncertain. Failure can occur at any time during the clinical trial process and our future clinical trial results may not be successful. For example, in January 2022, we halted further development of ALG-010133. This decision was based on emerging data from the Phase 1 Study ALG-010133-101</w:t>
      </w:r>
      <w:r>
        <w:rPr>
          <w:rFonts w:ascii="Arial" w:cs="Arial" w:eastAsia="Arial" w:hAnsi="Arial"/>
          <w:sz w:val="16"/>
          <w:szCs w:val="16"/>
          <w:color w:val="auto"/>
          <w:strike w:val="1"/>
        </w:rPr>
        <w:t>,</w:t>
      </w:r>
      <w:r>
        <w:rPr>
          <w:rFonts w:ascii="Arial" w:cs="Arial" w:eastAsia="Arial" w:hAnsi="Arial"/>
          <w:sz w:val="16"/>
          <w:szCs w:val="16"/>
          <w:color w:val="auto"/>
        </w:rPr>
        <w:t>that indicated that at the projected efficacious dose (400 mg, estimated to achieve liver exposures &gt;3 x EC90 for HBsAg inhibition) there was no meaningful HBsAg reduction. Furthermore, higher doses levels (maximum feasible dose is 600 mg) that were planned to be evaluated in a subsequent cohort were very unlikely to reach the 1 log10 IU/mL HBsAg reduction level that we had previously defined as necessary to advance the program. As another example, in March 2022, we discontinued further development of our ASO drug candidate for CHB, ALG</w:t>
      </w:r>
      <w:r>
        <w:rPr>
          <w:rFonts w:ascii="MS PGothic" w:cs="MS PGothic" w:eastAsia="MS PGothic" w:hAnsi="MS PGothic"/>
          <w:sz w:val="16"/>
          <w:szCs w:val="16"/>
          <w:color w:val="auto"/>
        </w:rPr>
        <w:t>‑</w:t>
      </w:r>
      <w:r>
        <w:rPr>
          <w:rFonts w:ascii="Arial" w:cs="Arial" w:eastAsia="Arial" w:hAnsi="Arial"/>
          <w:sz w:val="16"/>
          <w:szCs w:val="16"/>
          <w:color w:val="auto"/>
        </w:rPr>
        <w:t>020572, due to an unanticipated serious adverse event involving significant increase in ALT in one CHB subject and several other subjects experiencing ALT flares in the same study.</w:t>
      </w:r>
    </w:p>
    <w:p>
      <w:pPr>
        <w:spacing w:after="0" w:line="96"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We may experience delays in completing our clinical trials and initiating or completing additional clinical trials. We may also experience numerous unforeseen events prior to, during, or as a result of our nonclinical studies or clinical trials that could delay or prevent our ability to receive marketing approval or commercialize the drug candidates we develop, including:</w:t>
      </w:r>
    </w:p>
    <w:p>
      <w:pPr>
        <w:spacing w:after="0" w:line="76" w:lineRule="exact"/>
        <w:rPr>
          <w:sz w:val="20"/>
          <w:szCs w:val="20"/>
          <w:color w:val="auto"/>
        </w:rPr>
      </w:pPr>
    </w:p>
    <w:p>
      <w:pPr>
        <w:ind w:left="1020" w:right="6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regulators, Institutional Review Boards (IRBs) or ethics committees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(CROs);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may be larger than we anticipate;</w:t>
      </w:r>
    </w:p>
    <w:p>
      <w:pPr>
        <w:spacing w:after="0" w:line="117" w:lineRule="exact"/>
        <w:rPr>
          <w:rFonts w:ascii="Arial" w:cs="Arial" w:eastAsia="Arial" w:hAnsi="Arial"/>
          <w:sz w:val="18"/>
          <w:szCs w:val="18"/>
          <w:color w:val="auto"/>
        </w:rPr>
      </w:pPr>
    </w:p>
    <w:p>
      <w:pPr>
        <w:ind w:left="1020" w:right="120" w:hanging="503"/>
        <w:spacing w:after="0" w:line="342"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it may be difficult to enroll a sufficient number of suitable patients, or enrollment in these clinical trials may be slower than we anticipate or participants may drop out of these clinical trials or fail to return for post-treatment follow-up at a higher rate than we anticipate;</w:t>
      </w:r>
    </w:p>
    <w:p>
      <w:pPr>
        <w:spacing w:after="0" w:line="15" w:lineRule="exact"/>
        <w:rPr>
          <w:rFonts w:ascii="Arial" w:cs="Arial" w:eastAsia="Arial" w:hAnsi="Arial"/>
          <w:sz w:val="16"/>
          <w:szCs w:val="16"/>
          <w:color w:val="auto"/>
        </w:rPr>
      </w:pPr>
    </w:p>
    <w:p>
      <w:pPr>
        <w:ind w:left="1020" w:right="80" w:hanging="503"/>
        <w:spacing w:after="0" w:line="263"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w:t>
      </w:r>
    </w:p>
    <w:p>
      <w:pPr>
        <w:spacing w:after="0" w:line="75"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supply or quality of materials for drug candidates we develop or other materials necessary to conduct clinical trials may be insufficient or inadequate; and</w:t>
      </w:r>
    </w:p>
    <w:p>
      <w:pPr>
        <w:spacing w:after="0" w:line="62"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experience disruptions by man-made or natural disasters or public health pandemics or epidemics or other business interruptions, including the current COVID-19 pandemic and future outbreaks of the disease.</w:t>
      </w:r>
    </w:p>
    <w:p>
      <w:pPr>
        <w:spacing w:after="0" w:line="62"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drug candidates.</w:t>
      </w:r>
    </w:p>
    <w:p>
      <w:pPr>
        <w:spacing w:after="0" w:line="69"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Further, we are currently conducting clinical trials in many countries (e.g., New Zealand, Hong Kong, the United Kingdom). We may also in the future conduct clinical trials for these and other drug candidates in other countries and territories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5" w:name="page46"/>
    <w:bookmarkEnd w:id="45"/>
    <w:p>
      <w:pPr>
        <w:ind w:right="60" w:firstLine="509"/>
        <w:spacing w:after="0" w:line="255" w:lineRule="auto"/>
        <w:rPr>
          <w:sz w:val="20"/>
          <w:szCs w:val="20"/>
          <w:color w:val="auto"/>
        </w:rPr>
      </w:pPr>
      <w:r>
        <w:rPr>
          <w:rFonts w:ascii="Arial" w:cs="Arial" w:eastAsia="Arial" w:hAnsi="Arial"/>
          <w:sz w:val="18"/>
          <w:szCs w:val="18"/>
          <w:color w:val="auto"/>
        </w:rPr>
        <w:t>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w:t>
      </w:r>
    </w:p>
    <w:p>
      <w:pPr>
        <w:spacing w:after="0" w:line="192" w:lineRule="exact"/>
        <w:rPr>
          <w:sz w:val="20"/>
          <w:szCs w:val="20"/>
          <w:color w:val="auto"/>
        </w:rPr>
      </w:pPr>
    </w:p>
    <w:p>
      <w:pPr>
        <w:ind w:right="20" w:firstLine="509"/>
        <w:spacing w:after="0" w:line="218" w:lineRule="exact"/>
        <w:rPr>
          <w:sz w:val="20"/>
          <w:szCs w:val="20"/>
          <w:color w:val="auto"/>
        </w:rPr>
      </w:pPr>
      <w:r>
        <w:rPr>
          <w:rFonts w:ascii="Arial" w:cs="Arial" w:eastAsia="Arial" w:hAnsi="Arial"/>
          <w:sz w:val="18"/>
          <w:szCs w:val="18"/>
          <w:color w:val="auto"/>
        </w:rPr>
        <w:t>Specifically, the clinical trial sites for our current drug trials, including for ALG-000184 and ALG</w:t>
      </w:r>
      <w:r>
        <w:rPr>
          <w:rFonts w:ascii="MS PGothic" w:cs="MS PGothic" w:eastAsia="MS PGothic" w:hAnsi="MS PGothic"/>
          <w:sz w:val="18"/>
          <w:szCs w:val="18"/>
          <w:color w:val="auto"/>
        </w:rPr>
        <w:t>‑</w:t>
      </w:r>
      <w:r>
        <w:rPr>
          <w:rFonts w:ascii="Arial" w:cs="Arial" w:eastAsia="Arial" w:hAnsi="Arial"/>
          <w:sz w:val="18"/>
          <w:szCs w:val="18"/>
          <w:color w:val="auto"/>
        </w:rPr>
        <w:t>055009 and ALG</w:t>
      </w:r>
      <w:r>
        <w:rPr>
          <w:rFonts w:ascii="MS PGothic" w:cs="MS PGothic" w:eastAsia="MS PGothic" w:hAnsi="MS PGothic"/>
          <w:sz w:val="18"/>
          <w:szCs w:val="18"/>
          <w:color w:val="auto"/>
        </w:rPr>
        <w:t>‑</w:t>
      </w:r>
      <w:r>
        <w:rPr>
          <w:rFonts w:ascii="Arial" w:cs="Arial" w:eastAsia="Arial" w:hAnsi="Arial"/>
          <w:sz w:val="18"/>
          <w:szCs w:val="18"/>
          <w:color w:val="auto"/>
        </w:rPr>
        <w:t>125755 and future planned trials may be affected by the COVID-19 outbreak due to prioritization of hospital resources toward COVID-19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 delayed. Some of our third-party manufacturers we use for the supply of materials for drug candidates or other materials necessary to manufacture product to conduct clinical trials are located in countries affected by COVID-19, and, should they experience disruptions such as temporary closures or suspension of services, we would likely experience delays in advancing these trials.</w:t>
      </w:r>
    </w:p>
    <w:p>
      <w:pPr>
        <w:spacing w:after="0" w:line="20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 jeopardized, which could result in the delay or rejection of any applications we submit. Any such delay or rejection could prevent or delay us from commercializing our current or future drug candidates.</w:t>
      </w:r>
    </w:p>
    <w:p>
      <w:pPr>
        <w:spacing w:after="0" w:line="53"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Any of these occurrences may harm our business, financial condition and prospects significantly. In addition, many of the factors that cause, or could lead to, a delay in the commencement or completion of clinical trials may also ultimately lead to the denial of regulatory approval of our drug candidates or result in the development of our drug candidates being terminated.</w:t>
      </w:r>
    </w:p>
    <w:p>
      <w:pPr>
        <w:spacing w:after="0" w:line="7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Our pursuit of potential treatments for NASH is at an early stage and we may be unable to produce a therapy that successfully treats NASH. Even if successful, we may be unable to obtain regulatory approval for and successfully commercialize our drug candidates.</w:t>
      </w:r>
    </w:p>
    <w:p>
      <w:pPr>
        <w:spacing w:after="0" w:line="38" w:lineRule="exact"/>
        <w:rPr>
          <w:sz w:val="20"/>
          <w:szCs w:val="20"/>
          <w:color w:val="auto"/>
        </w:rPr>
      </w:pPr>
    </w:p>
    <w:p>
      <w:pPr>
        <w:ind w:right="140" w:firstLine="509"/>
        <w:spacing w:after="0" w:line="219" w:lineRule="exact"/>
        <w:rPr>
          <w:sz w:val="20"/>
          <w:szCs w:val="20"/>
          <w:color w:val="auto"/>
        </w:rPr>
      </w:pPr>
      <w:r>
        <w:rPr>
          <w:rFonts w:ascii="Arial" w:cs="Arial" w:eastAsia="Arial" w:hAnsi="Arial"/>
          <w:sz w:val="18"/>
          <w:szCs w:val="18"/>
          <w:color w:val="auto"/>
        </w:rPr>
        <w:t>We have invested, and will continue to invest, a significant portion of our time and financial resources in the pursuit of a treatment for NASH, including ALG</w:t>
      </w:r>
      <w:r>
        <w:rPr>
          <w:rFonts w:ascii="MS PGothic" w:cs="MS PGothic" w:eastAsia="MS PGothic" w:hAnsi="MS PGothic"/>
          <w:sz w:val="18"/>
          <w:szCs w:val="18"/>
          <w:color w:val="auto"/>
        </w:rPr>
        <w:t>‑</w:t>
      </w:r>
      <w:r>
        <w:rPr>
          <w:rFonts w:ascii="Arial" w:cs="Arial" w:eastAsia="Arial" w:hAnsi="Arial"/>
          <w:sz w:val="18"/>
          <w:szCs w:val="18"/>
          <w:color w:val="auto"/>
        </w:rPr>
        <w:t>055009, our THR-b agonist which is currently in a Phase 1 trial. If we cannot successfully develop, obtain regulatory approval for and commercialize our drug candidates for the treatment of NASH, our business may be harmed. The mechanism of action of our NASH drug candidates is complex, and we do not know the degree to which it will translate into a therapeutic benefit, if any, in NASH or any other indication, and we do not know the degree to which the complex mechanism of action may contribute to long-term safety issues or adverse events when our drug candidates are taken for prolonged periods, as is inherent in the treatment of NASH.</w:t>
      </w:r>
    </w:p>
    <w:p>
      <w:pPr>
        <w:spacing w:after="0" w:line="95"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In addition, the standards implemented by clinical or regulatory agencies may change at any time and we cannot be certain what efficacy endpoints the FDA or foreign clinical or regulatory agencies may require at the time we plan to conduct clinical trials with respect to NASH or any other applicable indication. Also, if we are able to obtain accelerated approval of our drug candidates based on a liver biopsy endpoint, we may be required to conduct a post-approval clinical outcomes trial to confirm the clinical benefit of the drug candidate; if any such post-approval trial is not successful, we would not be able to continue marketing the product.</w:t>
      </w:r>
    </w:p>
    <w:p>
      <w:pPr>
        <w:spacing w:after="0" w:line="80" w:lineRule="exact"/>
        <w:rPr>
          <w:sz w:val="20"/>
          <w:szCs w:val="20"/>
          <w:color w:val="auto"/>
        </w:rPr>
      </w:pPr>
    </w:p>
    <w:p>
      <w:pPr>
        <w:jc w:val="both"/>
        <w:ind w:right="80" w:firstLine="509"/>
        <w:spacing w:after="0" w:line="311" w:lineRule="auto"/>
        <w:rPr>
          <w:sz w:val="20"/>
          <w:szCs w:val="20"/>
          <w:color w:val="auto"/>
        </w:rPr>
      </w:pPr>
      <w:r>
        <w:rPr>
          <w:rFonts w:ascii="Arial" w:cs="Arial" w:eastAsia="Arial" w:hAnsi="Arial"/>
          <w:sz w:val="16"/>
          <w:szCs w:val="16"/>
          <w:color w:val="auto"/>
        </w:rPr>
        <w:t>If we are successful and any of our drug candidates are approved for the treatment of NASH, our drug candidates will likely compete with products that may be approved for the treatment of NASH prior to our drug candidates and/or that have greater efficacy than our drug candidates, either alone or in combination. Behavioral modifications, such as diet and exercise, can also decrease or eliminate the demand for our potential NASH treatments.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Our pursuit of potential therapies for COVID-19 is at an early stage.</w:t>
      </w:r>
    </w:p>
    <w:p>
      <w:pPr>
        <w:spacing w:after="0" w:line="117"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In response to the outbreak of COVID-19, the disease caused by the virus SARS-CoV-2, we are pursuing various potential therapies to address the disease, including our drug candidate ALG-097558, an oral protease inhibitor which we have selected as our drug candidate to move forward into development. Our identification and development of these potential therapies is at an early stage, and we may be unable to produce in a timely manner a therapy that successfully treats the virus or that has broad clinical applicability, if at all.</w:t>
      </w:r>
    </w:p>
    <w:p>
      <w:pPr>
        <w:spacing w:after="0" w:line="79"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For example, in June 2020, we entered into a Research, Licensing and Commercialization Agreement (the KU Leuven Agreement) with Katholieke Universiteit Leuven (KU Leuven) under which we were collaborating with KU Leuven’s Rega Institute for Medical Research, as well as its Centre for Drug Design and Discovery, to research, develop, manufacture and commercialize potential protease inhibitors for the treatment of coronaviruses, including SARS-CoV-2. While ALG-097558 has been selected as our drug candidate to move forward into development, the KU Leuven Agreement may ultimately not result in a therapy that successfully treats SARS-CoV-2. Further, if the KU Leuven Agreement does result in such a therapy, the therapy may not be developed and commercialized in a timely manner, or at all.</w:t>
      </w:r>
    </w:p>
    <w:p>
      <w:pPr>
        <w:spacing w:after="0" w:line="84"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We are also committing significant financial resources and personnel to the development of potential therapies for COVID-19, which may cause delays in or otherwise negatively impact our other development programs, despite uncertainties surrounding the longevity and extent of COVID-19 as a global health concern. COVID-19 may be substantially eradicated prior to our development of a successful therapy or a vaccine may be developed that is highly efficacious and widely adopted, reducing or eliminating the need for therapies to treat the disease. For instance, the Pfizer/BioNTech BNT162b2, the adenovirus type 26 (Ad26) vaccine by Janssen Pharmaceutical Companies of Johnson &amp; Johnson, Moderna mRNA-1273 and Novavax NVX-CoV2373 COVID-19 vaccines have been approved and/or authorized for emergency use and are in the process of being widely being administered in various countries throughout the world which could adversely impact the need for our potential COVID-19 therapies. Further, while we hope to develop potential therapies that are effective against other or future coronaviruses, in addition to SARS-CoV-2, we cannot be certain this will be the case. If our potential therapies are not effective against other or future coronaviruses, the value and/or sales potential of our therapies will be reduced or eliminated. Our business could be negatively impacted by our allocation of significant resources to a global health threat that is unpredictable and could rapidly dissipate or against which our potential therapies, if developed, may not be partially or fully effective, and may ultimately prove unsuccessful or unprofitable. Furthermore, there are no assurances that our therapy will be approved for inclusion in government stockpile programs, which may be material to the commercial success of any approved coronavirus-related drug candidate, either in the United States or abroad.</w:t>
      </w:r>
    </w:p>
    <w:p>
      <w:pPr>
        <w:spacing w:after="0" w:line="66" w:lineRule="exact"/>
        <w:rPr>
          <w:sz w:val="20"/>
          <w:szCs w:val="20"/>
          <w:color w:val="auto"/>
        </w:rPr>
      </w:pPr>
    </w:p>
    <w:p>
      <w:pPr>
        <w:ind w:right="140" w:firstLine="509"/>
        <w:spacing w:after="0" w:line="286" w:lineRule="auto"/>
        <w:rPr>
          <w:sz w:val="20"/>
          <w:szCs w:val="20"/>
          <w:color w:val="auto"/>
        </w:rPr>
      </w:pPr>
      <w:r>
        <w:rPr>
          <w:rFonts w:ascii="Arial" w:cs="Arial" w:eastAsia="Arial" w:hAnsi="Arial"/>
          <w:sz w:val="17"/>
          <w:szCs w:val="17"/>
          <w:color w:val="auto"/>
        </w:rPr>
        <w:t>We will also need to enter into manufacturing arrangements in the future in order to create a supply chain for our COVID-19 drug candidates that can adequately support demand. Even if we are successful in developing and manufacturing an effective treatment for COVID-19, the SARS-CoV-2 virus could develop resistance to our treatment, which could affect any long-term demand or sales potential for our potential therapies.</w:t>
      </w:r>
    </w:p>
    <w:p>
      <w:pPr>
        <w:spacing w:after="0" w:line="57"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In addition, another party may be successful in producing a more efficacious therapy for COVID-19 or a therapy with a more convenient or preferred route of administration or in producing a therapy in a more timely manner, which may lead to the diversion of funding away from us and toward other companies or lead to decreased demand for our potential therapies. For instance, on December 22, 2021, Pfizer, Inc. received an emergency use authorization from the FDA for Paxlovid, an orally administered SARS-CoV-2 protease inhibitor co-administered with ritonavir. Similarly, Merck (together with Ridgeback Bio), is developing the drug molnupiravir, an oral antiviral drug which has been issued an emergency use authorization by the FDA on December 23, 2021. Several drugs are likely being used off-label for treatment, such as dexamethasone. Several approved drugs are being studied for their utility in reducing the severity of SARS-CoV-2 infections, including Soliris by Alexion Pharmaceuticals Inc., Atea Pharmaceuticals, Inc., Jakafi by Incyte Corporation, and Kevzara by Sanofi S.A./Regeneron Pharmaceuticals, Inc. There are significant efforts globally to develop both therapeutic and prophylactic drug candidates. In November 2022, Enanta Pharmaceuticals announced the initiation of a Phase 2 clinical trial for EDP-235 which is its oral protease inhibitor specifically designed for the treatment of COVID-19. Additionally, in September 2022 Pardes Biosciences announced commencement of its Phase 2 trial evaluating PBI-0451, its oral protease inhibitor, for the treatment of SARS-CoV-2 infections. In addition, Novartis is working on a once a day, pan-coronavirus, main protease inhibitor pill and had planned to start human testing in 2022, and Shionogi announced in September 2022 that its oral therapeutic drug for COVID-19, S-217622, a 3CL protease inhibitor, has achieved its primary endpoint in its Phase 3 part of the Phase 2/3 clinical trial in Asia. Several companies are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ind w:right="80"/>
        <w:spacing w:after="0" w:line="253" w:lineRule="auto"/>
        <w:rPr>
          <w:sz w:val="20"/>
          <w:szCs w:val="20"/>
          <w:color w:val="auto"/>
        </w:rPr>
      </w:pPr>
      <w:r>
        <w:rPr>
          <w:rFonts w:ascii="Arial" w:cs="Arial" w:eastAsia="Arial" w:hAnsi="Arial"/>
          <w:sz w:val="18"/>
          <w:szCs w:val="18"/>
          <w:color w:val="auto"/>
        </w:rPr>
        <w:t>focused on antibody treatments, including Amgen Inc. (together with Adaptive Biotechnologies Corporation), AbCellera Biologics, Inc. (together with Eli Lilly and Company), Regeneron Pharmaceuticals, Inc. and Vir Biotechnology, Inc. (together with GSK, Biogen Inc. and WuXi Biologics Ltd.). Numerous efforts are underway to develop vaccines against SARS-CoV-2, including by Altimmune, Inc., AstraZeneca PLC (together with Oxford University), BioNTech SE (together with Pfizer Inc.), GSK (together with Sanofi S.A.), Heat Biologics, Inc., Inovio Pharmaceuticals, Inc., Johnson &amp; Johnson, Moderna, Inc., Novavax, Inc., and Vaxart, Inc. These other entities may be more successful at developing, manufacturing or commercializing a therapy for COVID-19, especially given that several of these other organizations are much larger than we are and have access to larger pools of capital, including U.S. government funding, and broader manufacturing infrastructure. The success or failure of other entities, or perceived success or failure, may adversely impact our ability to obtain any future funding for our development and manufacturing efforts or to ultimately commercialize a therapy for COVID-19, if approved.</w:t>
      </w:r>
    </w:p>
    <w:p>
      <w:pPr>
        <w:spacing w:after="0" w:line="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regulatory pathways for our drug candidates targeting SARS-CoV-2, the virus that causes COVID-19, are continually evolving, and may result in unexpected or unforeseen challenges.</w:t>
      </w:r>
    </w:p>
    <w:p>
      <w:pPr>
        <w:spacing w:after="0" w:line="62"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Our drug candidates targeting SARS-CoV-2, the virus that causes COVID-19, are in the early discovery stages. The speed at which companies and institutions are acting to create and test many therapeutics and vaccines for COVID-19 is unusually rapid and evolving or changing plans or priorities within the FDA, including changes based on new knowledge of COVID-19 and how the disease affects the human body, may significantly affect the regulatory timelines for our COVID-19 drug candidates. Results from our continued development and planned clinical trials may raise new questions and require us to redesign proposed nonclinical studies and clinical trials, including revising proposed endpoints or adding new clinical trial sites or cohorts of subjects, with minimal lead time.</w:t>
      </w:r>
    </w:p>
    <w:p>
      <w:pPr>
        <w:spacing w:after="0" w:line="84"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The FDA has the authority to grant an EUA to allow unapproved medical products to be used in an emergency to diagnose, treat, or prevent serious or life-threatening diseases or conditions when, based on the totality of scientific evidence, there is evidence of effectiveness of the medical product, and there are no adequate, approved, and available alternatives. For instance, the FDA had granted an EUA for each of the COVID-19 vaccines developed by Pfizer/BioNTech, Moderna and Janssen Pharmaceutical Companies of Johnson &amp; Johnson. In addition,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 Depending on the outcomes of our planned nonclinical and initial clinical testing for our proposed COVID-19 therapies, we may seek an EUA for one or more of our drug candidates for use in the ongoing public health emergency, which would permit us to commercialize a drug candidate prior to FDA approval of an NDA. However, commercialization under an EUA is permitted only during the underlying public health emergency (as declared by the Secretary of the Department of Health and Human Services), meaning that once the emergency declaration is terminated, we would be required to obtain NDA approval to continue marketing the product. Furthermore, the FDA may revoke an EUA based on a determination that the product no longer satisfies the criteria for issuance of an EUA—for example, if there is no longer evidence of effectiveness of the product or there are other adequate, approved alternatives. Accordingly, we cannot predict how long, if at all, an EUA for any of our drug candidates may remain in place. Any termination or revocation of an EUA (if any) for one of our drug candidates could adversely impact our business in a variety of ways, including if one of our COVID-19 drug candidates is not yet approved by the FDA and if we and our manufacturing partners have invested in the supply chain to provide one of our COVID-19 drug candidates under an EUA.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nonclinical studies and early-stage clinical trials may not be predictive of future results.</w:t>
      </w:r>
    </w:p>
    <w:p>
      <w:pPr>
        <w:spacing w:after="0" w:line="11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The results of nonclinical studies may not be predictive of the results of clinical trials, and the results of any early-stage clinical 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 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 regulatory approval of any products. Any such setbacks in our clinical development could have a material adverse effect on our business and operating results.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Interim, “topline” and preliminary data from our clinical trials may differ materially from the final data.</w:t>
      </w:r>
    </w:p>
    <w:p>
      <w:pPr>
        <w:spacing w:after="0" w:line="110"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From time to time, we may disclose interim data from our clinical trials, including the preliminary data with respect to ALG-055009</w:t>
      </w:r>
      <w:r>
        <w:rPr>
          <w:rFonts w:ascii="Arial" w:cs="Arial" w:eastAsia="Arial" w:hAnsi="Arial"/>
          <w:sz w:val="20"/>
          <w:szCs w:val="20"/>
          <w:color w:val="auto"/>
        </w:rPr>
        <w:t>,</w:t>
      </w:r>
      <w:r>
        <w:rPr>
          <w:rFonts w:ascii="Arial" w:cs="Arial" w:eastAsia="Arial" w:hAnsi="Arial"/>
          <w:sz w:val="17"/>
          <w:szCs w:val="17"/>
          <w:color w:val="auto"/>
        </w:rPr>
        <w:t xml:space="preserve"> ALG-000184, and ALG-125755.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79"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152"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p>
    <w:p>
      <w:pPr>
        <w:spacing w:after="0" w:line="76"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drug candidate being studied in relation to other available therapies, including any new products that may be approved for the indications we are investigating;</w:t>
      </w:r>
    </w:p>
    <w:p>
      <w:pPr>
        <w:spacing w:after="0" w:line="62"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for participation in our clinical trials and, where appropriate, biopsies for future patient enrichment efforts;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remain in the trial through the completion of evaluation; and</w:t>
      </w:r>
    </w:p>
    <w:p>
      <w:pPr>
        <w:spacing w:after="0" w:line="117"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disruption by man-made or natural disasters, or public health pandemics or epidemics or other business interruptions, including the current COVID-19 pandemic and future outbreaks of the virus.</w:t>
      </w:r>
    </w:p>
    <w:p>
      <w:pPr>
        <w:spacing w:after="0" w:line="62"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In addition, our clinical trials will compete with other clinical trials for drug candidates that are in the same therapeutic areas as our current and potential future drug candidates. This competition will reduce the number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9" w:name="page50"/>
    <w:bookmarkEnd w:id="49"/>
    <w:p>
      <w:pPr>
        <w:ind w:right="280"/>
        <w:spacing w:after="0" w:line="275" w:lineRule="auto"/>
        <w:rPr>
          <w:sz w:val="20"/>
          <w:szCs w:val="20"/>
          <w:color w:val="auto"/>
        </w:rPr>
      </w:pPr>
      <w:r>
        <w:rPr>
          <w:rFonts w:ascii="Arial" w:cs="Arial" w:eastAsia="Arial" w:hAnsi="Arial"/>
          <w:sz w:val="17"/>
          <w:szCs w:val="17"/>
          <w:color w:val="auto"/>
        </w:rPr>
        <w:t>types of patients available to us, 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 Moreover, because our current and potential future drug candidates may represent a departure from more commonly used methods for treatment, potential patients and their doctors may be inclined to use conventional therapies rather than enroll patients in our clinical trials.</w:t>
      </w:r>
    </w:p>
    <w:p>
      <w:pPr>
        <w:spacing w:after="0" w:line="68"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Delays in patient enrollment may result in increased costs or may affect the timing or outcome of clinical trials, which could prevent completion of these trials and adversely affect our ability to advance the development of our drug candidates.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drug candidate manufacturing or formulation may result in additional costs or delay.</w:t>
      </w:r>
    </w:p>
    <w:p>
      <w:pPr>
        <w:spacing w:after="0" w:line="117"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 additional cost and risks potential delay if the reformulated or otherwise altered drug candidate performs differently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w:t>
      </w:r>
    </w:p>
    <w:p>
      <w:pPr>
        <w:spacing w:after="0" w:line="53"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w:t>
      </w:r>
    </w:p>
    <w:p>
      <w:pPr>
        <w:spacing w:after="0" w:line="76"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76"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planned clinical trials could reveal unacceptably severe and prevalent side effects or unexpected characteristics.</w:t>
      </w:r>
    </w:p>
    <w:p>
      <w:pPr>
        <w:spacing w:after="0" w:line="18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If unacceptable toxicities or other undesirable side effects arise in the development of any of our current or future drug candidates, we could suspend or terminate our trials, or the FDA or comparable foreign regulatory 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w:t>
      </w:r>
    </w:p>
    <w:p>
      <w:pPr>
        <w:spacing w:after="0" w:line="190"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w:t>
      </w:r>
    </w:p>
    <w:p>
      <w:pPr>
        <w:spacing w:after="0" w:line="188"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Furthermore, we plan to evaluate our drug candidates in combination with approved and/or experimental therapies. These combinations may have additional or more severe side effects than caused by our drug candidates as monotherapies or may cause side effects at lower doses. The uncertainty resulting from the use of our drug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candidates in combination with other therapies may make it difficult to accurately predict side effects in potential future clinical trials.</w:t>
      </w:r>
    </w:p>
    <w:p>
      <w:pPr>
        <w:spacing w:after="0" w:line="225"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If any of our drug candidates receives marketing approval and we or others later identify undesirable side effects caused by such products, a number of potentially significant negative consequences could occur, including:</w:t>
      </w:r>
    </w:p>
    <w:p>
      <w:pPr>
        <w:spacing w:after="0" w:line="62"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17"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(REMS) or create a Medication Guide outlining the risks of such side effects for distribution to patients;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260" w:firstLine="509"/>
        <w:spacing w:after="0" w:line="279" w:lineRule="auto"/>
        <w:rPr>
          <w:sz w:val="20"/>
          <w:szCs w:val="20"/>
          <w:color w:val="auto"/>
        </w:rPr>
      </w:pPr>
      <w:r>
        <w:rPr>
          <w:rFonts w:ascii="Arial" w:cs="Arial" w:eastAsia="Arial" w:hAnsi="Arial"/>
          <w:sz w:val="17"/>
          <w:szCs w:val="17"/>
          <w:color w:val="auto"/>
        </w:rPr>
        <w:t>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 candidates prove to be unsafe, our entire technology platform and pipeline could be affected, which would have a material adverse effect on our business, financial condition, results of operations and prospects.</w:t>
      </w:r>
    </w:p>
    <w:p>
      <w:pPr>
        <w:spacing w:after="0" w:line="6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Even if we complete the necessary nonclinical studies and clinical trials, the marketing approval process is expensive, time-consuming and uncertain and may prevent us or any of our future collaboration partners from obtaining approvals for the commercialization of our current drug candidates and any other drug candidate we develop.</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and expect to rely on third-party CROs or regulatory consultants to assist us in this process. Securing 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79" w:lineRule="exact"/>
        <w:rPr>
          <w:sz w:val="20"/>
          <w:szCs w:val="20"/>
          <w:color w:val="auto"/>
        </w:rPr>
      </w:pPr>
    </w:p>
    <w:p>
      <w:pPr>
        <w:ind w:right="200" w:firstLine="509"/>
        <w:spacing w:after="0" w:line="293"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1" w:name="page52"/>
    <w:bookmarkEnd w:id="51"/>
    <w:p>
      <w:pPr>
        <w:ind w:right="440"/>
        <w:spacing w:after="0" w:line="263" w:lineRule="auto"/>
        <w:rPr>
          <w:sz w:val="20"/>
          <w:szCs w:val="20"/>
          <w:color w:val="auto"/>
        </w:rPr>
      </w:pPr>
      <w:r>
        <w:rPr>
          <w:rFonts w:ascii="Arial" w:cs="Arial" w:eastAsia="Arial" w:hAnsi="Arial"/>
          <w:sz w:val="18"/>
          <w:szCs w:val="18"/>
          <w:color w:val="auto"/>
        </w:rPr>
        <w:t>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w:t>
      </w:r>
    </w:p>
    <w:p>
      <w:pPr>
        <w:spacing w:after="0" w:line="184" w:lineRule="exact"/>
        <w:rPr>
          <w:sz w:val="20"/>
          <w:szCs w:val="20"/>
          <w:color w:val="auto"/>
        </w:rPr>
      </w:pPr>
    </w:p>
    <w:p>
      <w:pPr>
        <w:ind w:right="100" w:firstLine="509"/>
        <w:spacing w:after="0" w:line="308" w:lineRule="auto"/>
        <w:rPr>
          <w:sz w:val="20"/>
          <w:szCs w:val="20"/>
          <w:color w:val="auto"/>
        </w:rPr>
      </w:pPr>
      <w:r>
        <w:rPr>
          <w:rFonts w:ascii="Arial" w:cs="Arial" w:eastAsia="Arial" w:hAnsi="Arial"/>
          <w:sz w:val="17"/>
          <w:szCs w:val="17"/>
          <w:color w:val="auto"/>
        </w:rPr>
        <w:t>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w:t>
      </w:r>
    </w:p>
    <w:p>
      <w:pPr>
        <w:spacing w:after="0" w:line="2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Even if a current or future drug candidate receives marketing approval, it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nucleos(t)ide analogs including tenofovir and entecavir. If the drug candidates we develop do not achieve an adequate level of acceptance, we may not generate significant product revenues and we may not become profitable. The degree of market acceptance of any drug candidate, if approved for commercial sale, will depend on a number of factors, including:</w:t>
      </w:r>
    </w:p>
    <w:p>
      <w:pPr>
        <w:spacing w:after="0" w:line="68"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adoption of a companion diagnostic and/or complementary diagnostic (if any);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Adverse events in our therapeutic areas of focus, including hepatological indications and viral diseases, could damage public perception of our current or future drug candidates and negatively affect our business.</w:t>
      </w:r>
    </w:p>
    <w:p>
      <w:pPr>
        <w:spacing w:after="0" w:line="62"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The commercial success of our products will depend in part on public acceptance of our therapeutic areas of focus. Adverse events in clinical trials of our drug candidates, or post-marketing activities, or in clinical trials of others developing similar products or targeting similar indications and the resulting publicity, as well as any other adverse events in our therapeutic areas of focus, including hepatological indications and viral diseases, could result in decreased demand for any product that we may develop. If public perception is influenced by claims that the use of therapies in our therapeutic areas of focus are unsafe, whether related to our therapies or those of our competitors, our products may not be accepted by the general public or the medical community.</w:t>
      </w:r>
    </w:p>
    <w:p>
      <w:pPr>
        <w:spacing w:after="0" w:line="84"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w:t>
      </w:r>
    </w:p>
    <w:p>
      <w:pPr>
        <w:spacing w:after="0" w:line="4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Negative developments and negative public opinion of technologies on which we rely may damage public perception of our drug candidates or adversely affect our ability to conduct our business or obtain regulatory approvals for our drug candidates.</w:t>
      </w:r>
    </w:p>
    <w:p>
      <w:pPr>
        <w:spacing w:after="0" w:line="38"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clinical and commercial success of our drug candidates will depend in part on public acceptance of the use of technologies for the prevention or treatment of human diseases. Adverse public attitudes may adversely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2" w:name="page53"/>
    <w:bookmarkEnd w:id="52"/>
    <w:p>
      <w:pPr>
        <w:ind w:right="40"/>
        <w:spacing w:after="0" w:line="301" w:lineRule="auto"/>
        <w:rPr>
          <w:sz w:val="20"/>
          <w:szCs w:val="20"/>
          <w:color w:val="auto"/>
        </w:rPr>
      </w:pPr>
      <w:r>
        <w:rPr>
          <w:rFonts w:ascii="Arial" w:cs="Arial" w:eastAsia="Arial" w:hAnsi="Arial"/>
          <w:sz w:val="16"/>
          <w:szCs w:val="16"/>
          <w:color w:val="auto"/>
        </w:rPr>
        <w:t>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w:t>
      </w:r>
    </w:p>
    <w:p>
      <w:pPr>
        <w:spacing w:after="0" w:line="49"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Increased negative public opinion or more restrictive government regulations in response thereto, would have a negative effect on our business, financial condition, results of operations or prospects and may delay or impair the 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 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w:t>
      </w:r>
    </w:p>
    <w:p>
      <w:pPr>
        <w:spacing w:after="0" w:line="6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 any drug candidate, which could include requirements for a Medication Guide, physician communication plans or additional elements to ensure safe use, such as restricted distribution methods, patient registries and other risk-minimization tools. In addition, if the FDA 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or cGMP, and Good Clinical Practice, or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74"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untitled and warning letters, or holds on clinical trials;</w:t>
      </w:r>
    </w:p>
    <w:p>
      <w:pPr>
        <w:spacing w:after="0" w:line="117"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by the FDA or other regulatory authorities to approve pending applications or supplements to approved applications we filed or suspension or revocation of license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the product;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profitability.</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the FDA, we may never obtain approval outside the United States, which would limit our market opportunities.</w:t>
      </w:r>
    </w:p>
    <w:p>
      <w:pPr>
        <w:spacing w:after="0" w:line="62"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Approval of a drug candidate in the United States by the FDA does not ensure approval of such drug candidate by regulatory authorities in other countries or jurisdictions, and approval by one foreign regulatory authority does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3" w:name="page54"/>
    <w:bookmarkEnd w:id="53"/>
    <w:p>
      <w:pPr>
        <w:spacing w:after="0" w:line="286" w:lineRule="auto"/>
        <w:rPr>
          <w:sz w:val="20"/>
          <w:szCs w:val="20"/>
          <w:color w:val="auto"/>
        </w:rPr>
      </w:pPr>
      <w:r>
        <w:rPr>
          <w:rFonts w:ascii="Arial" w:cs="Arial" w:eastAsia="Arial" w:hAnsi="Arial"/>
          <w:sz w:val="16"/>
          <w:szCs w:val="16"/>
          <w:color w:val="auto"/>
        </w:rPr>
        <w:t>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 approval. Obtaining approval for our drug candidates in the European Union (the EU)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 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w:t>
      </w:r>
    </w:p>
    <w:p>
      <w:pPr>
        <w:spacing w:after="0" w:line="66" w:lineRule="exact"/>
        <w:rPr>
          <w:sz w:val="20"/>
          <w:szCs w:val="20"/>
          <w:color w:val="auto"/>
        </w:rPr>
      </w:pPr>
    </w:p>
    <w:p>
      <w:pPr>
        <w:ind w:right="20" w:firstLine="509"/>
        <w:spacing w:after="0" w:line="218" w:lineRule="exact"/>
        <w:rPr>
          <w:sz w:val="20"/>
          <w:szCs w:val="20"/>
          <w:color w:val="auto"/>
        </w:rPr>
      </w:pPr>
      <w:r>
        <w:rPr>
          <w:rFonts w:ascii="Arial" w:cs="Arial" w:eastAsia="Arial" w:hAnsi="Arial"/>
          <w:sz w:val="18"/>
          <w:szCs w:val="18"/>
          <w:color w:val="auto"/>
        </w:rPr>
        <w:t>Further, clinical trials conducted in one country may not be accepted by regulatory authorities in other countries. For example, we are conducting our initial clinical trials for ALG</w:t>
      </w:r>
      <w:r>
        <w:rPr>
          <w:rFonts w:ascii="MS PGothic" w:cs="MS PGothic" w:eastAsia="MS PGothic" w:hAnsi="MS PGothic"/>
          <w:sz w:val="18"/>
          <w:szCs w:val="18"/>
          <w:color w:val="auto"/>
        </w:rPr>
        <w:t>‑</w:t>
      </w:r>
      <w:r>
        <w:rPr>
          <w:rFonts w:ascii="Arial" w:cs="Arial" w:eastAsia="Arial" w:hAnsi="Arial"/>
          <w:sz w:val="18"/>
          <w:szCs w:val="18"/>
          <w:color w:val="auto"/>
        </w:rPr>
        <w:t>055009, ALG</w:t>
      </w:r>
      <w:r>
        <w:rPr>
          <w:rFonts w:ascii="MS PGothic" w:cs="MS PGothic" w:eastAsia="MS PGothic" w:hAnsi="MS PGothic"/>
          <w:sz w:val="18"/>
          <w:szCs w:val="18"/>
          <w:color w:val="auto"/>
        </w:rPr>
        <w:t>‑</w:t>
      </w:r>
      <w:r>
        <w:rPr>
          <w:rFonts w:ascii="Arial" w:cs="Arial" w:eastAsia="Arial" w:hAnsi="Arial"/>
          <w:sz w:val="18"/>
          <w:szCs w:val="18"/>
          <w:color w:val="auto"/>
        </w:rPr>
        <w:t>000184, and ALG</w:t>
      </w:r>
      <w:r>
        <w:rPr>
          <w:rFonts w:ascii="MS PGothic" w:cs="MS PGothic" w:eastAsia="MS PGothic" w:hAnsi="MS PGothic"/>
          <w:sz w:val="18"/>
          <w:szCs w:val="18"/>
          <w:color w:val="auto"/>
        </w:rPr>
        <w:t>‑</w:t>
      </w:r>
      <w:r>
        <w:rPr>
          <w:rFonts w:ascii="Arial" w:cs="Arial" w:eastAsia="Arial" w:hAnsi="Arial"/>
          <w:sz w:val="18"/>
          <w:szCs w:val="18"/>
          <w:color w:val="auto"/>
        </w:rPr>
        <w:t>125755 in many countries (e.g., New Zealand, Hong Kong, the United Kingdom), and plan to conduct additional clinical trials in several other countries and territories within the Asia Pacific and/or Europe and our conduct of the trials must satisfy specific requirements in order for the FDA to accept the data in support of an IND or NDA in the United States. Further, any regulatory approval for our drug candidates may be withdrawn. If we fail 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spacing w:after="0" w:line="9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Risks associated with our international operations, including seeking and obtaining approval to commercialize our drug candidates in foreign jurisdictions, could harm our business.</w:t>
      </w:r>
    </w:p>
    <w:p>
      <w:pPr>
        <w:spacing w:after="0" w:line="62"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We engage in international operations with offices in the United States, Belgium and China and intend to seek approval to market our drug candidates outside of the United States. We may also do so for future drug candidates. We expect that we are or will be subject to additional risks related to these international business markets and relationships, including:</w:t>
      </w:r>
    </w:p>
    <w:p>
      <w:pPr>
        <w:spacing w:after="0" w:line="76" w:lineRule="exact"/>
        <w:rPr>
          <w:sz w:val="20"/>
          <w:szCs w:val="20"/>
          <w:color w:val="auto"/>
        </w:rPr>
      </w:pPr>
    </w:p>
    <w:p>
      <w:pPr>
        <w:ind w:left="1020" w:right="64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 candidates in foreign countries, including challenging processes for marketing biopharmaceutical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protection for and enforcement of intellectual property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heightened or different data privacy and information security laws, regulations and policies;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20" w:right="40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w:t>
      </w:r>
    </w:p>
    <w:p>
      <w:pPr>
        <w:spacing w:after="0" w:line="117"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4" w:name="page55"/>
    <w:bookmarkEnd w:id="54"/>
    <w:p>
      <w:pPr>
        <w:ind w:left="1020" w:hanging="503"/>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disruptions resulting from the impact of public health pandemics or epidemics (including, for example, the ongoing COVID-19 pandemic).</w:t>
      </w:r>
    </w:p>
    <w:p>
      <w:pPr>
        <w:spacing w:after="0" w:line="140"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In addition, there are complex regulatory, tax, labor and other legal requirements imposed by many of the individual countries in which we may operate, with which we will need to comply.</w:t>
      </w:r>
    </w:p>
    <w:p>
      <w:pPr>
        <w:spacing w:after="0" w:line="6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could otherwise prevent new or modified products from being developed, approved or commercialized in a timely manner or at all, which could negatively impact our business.</w:t>
      </w:r>
    </w:p>
    <w:p>
      <w:pPr>
        <w:spacing w:after="0" w:line="76"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Disruptions at the FDA and other agencies may also slow the time necessary for new products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8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Relatedly,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may adopt similar restrictions or other policy measures in response to events such as the COVID-19 pandemic. If a prolonged government shutdown occurs, or if global health concerns continue to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w:t>
      </w:r>
    </w:p>
    <w:p>
      <w:pPr>
        <w:spacing w:after="0" w:line="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drug candidates are smaller than we believe or any approval we obtain is based on a narrower definition of the patient population, our business may suffer.</w:t>
      </w:r>
    </w:p>
    <w:p>
      <w:pPr>
        <w:spacing w:after="0" w:line="62"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COVID-19, HBV or other viral diseases as a result of their genetic makeup. In addition, the route of administration for our potential therapies could be inconvenient and/or not commercially viable, which could also limit the potential market for our therapies. If the market opportunities for our drug candidates are smaller than we estimate, it could have an adverse effect on our business, financial condition, results of operations and prospects.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5" w:name="page56"/>
    <w:bookmarkEnd w:id="55"/>
    <w:p>
      <w:pPr>
        <w:ind w:right="20" w:firstLine="509"/>
        <w:spacing w:after="0" w:line="253" w:lineRule="auto"/>
        <w:rPr>
          <w:sz w:val="20"/>
          <w:szCs w:val="20"/>
          <w:color w:val="auto"/>
        </w:rPr>
      </w:pPr>
      <w:r>
        <w:rPr>
          <w:rFonts w:ascii="Arial" w:cs="Arial" w:eastAsia="Arial" w:hAnsi="Arial"/>
          <w:sz w:val="18"/>
          <w:szCs w:val="18"/>
          <w:color w:val="auto"/>
        </w:rPr>
        <w:t>For example, we believe NASH to be one of the most prevalent chronic liver diseases worldwide, however, our projections of the number of people who have NASH, as well as the subset of people with the disease who have the potential to benefit from treatment with our drug candidates, are based on our beliefs and estimates. The effort to identify patients with NASH is in early stages, and we cannot accurately predict the number of patients for whom treatment might be possible. NASH is often undiagnosed and may be left undiagnosed for a long time, partly because a definitive diagnosis of NASH is currently based on a histological assessment of a liver biopsy, which impairs the ability to easily identify patients. If improved diagnostic techniques for identifying NASH patients who will benefit from treatment are not developed, our market opportunity may be smaller than we currently anticipate. Further, if government authorities and third-party payors choose to limit coverage and reimbursement of our NASH drug candidate, such as limiting the number of patients’ treatment that would be covered and reimbursable, this could result in a smaller market opportunity for our NASH drug candidate than we anticipate.</w:t>
      </w:r>
    </w:p>
    <w:p>
      <w:pPr>
        <w:spacing w:after="0" w:line="88"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In addition, the number of people who have HBV, as well as the subset of people with the disease who have the potential to benefit from treatment with our drug candidates, may be reduced due to factors including the genotype or variant of HBV, more widespread use of vaccines or alternative therapies, political roadblocks to approval and/or treatment in certain countries and the virus’s development of resistance to our potential treatments after long-term and persistent exposure to antiviral therapy.</w:t>
      </w:r>
    </w:p>
    <w:p>
      <w:pPr>
        <w:spacing w:after="0" w:line="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intend to develop our current drug candidates, and expect to develop other future drug candidates, in combination with other therapies, which exposes us to additional risks.</w:t>
      </w:r>
    </w:p>
    <w:p>
      <w:pPr>
        <w:spacing w:after="0" w:line="62"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We intend to develop our current drug candidates, and expect to develop other future drug candidates, in combination with one or more therapies, including therapies that we develop and those developed externally. Even if a drug candidate we develop were to receive marketing approval or be commercialized for use in combination with other therapies, we would face the risk that the FDA or similar regulatory authority outside of the United States could revoke approval of the therapy used in combination with our drug candidate or that safety, efficacy, manufacturing or supply issues could arise with these other therapies. Combination therapies are commonly used for the treatment of viral diseases and it is generally believed they will be required for NASH, and we would be subject to similar risks if we develop any of our drug candidates for use in combination with other drugs. This could result in our own products, if approved, being removed from the market or suffering commercially. In addition, we may 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w:t>
      </w:r>
    </w:p>
    <w:p>
      <w:pPr>
        <w:spacing w:after="0" w:line="77"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If the FDA or similar regulatory authorities outside of the United States do not approve these other drugs or revoke their approval of, or if safety, efficacy, manufacturing, or supply issues arise with, the drugs we choose to evaluate in combination with or any of our drug candidate, we may be unable to obtain approval of or market any of our combination treatments.</w:t>
      </w:r>
    </w:p>
    <w:p>
      <w:pPr>
        <w:spacing w:after="0" w:line="7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succeed in obtaining patent protection and/or marketing approval or discovering, developing and commercializing products in our field before we do.</w:t>
      </w:r>
    </w:p>
    <w:p>
      <w:pPr>
        <w:spacing w:after="0" w:line="129"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There are a number of companies developing or marketing treatments for CHB, including Roche Holding AG (Roche), Gilead, Bristol-Myers Squibb Company, Arbutus Biopharma Corporation, Dicerna Pharmaceuticals, Inc. (together with Roche), Ionis Pharmaceuticals, Inc. (together with GSK), Arrowhead Pharmaceuticals, Inc. (together with Janssen Pharmaceuticals Company (Janssen)), Vir Biotechnology, Inc. (together with Alnylam Pharmaceuticals, Inc.), Johnson &amp; Johnson, Assembly Biosciences Inc., Enanta Pharmaceuticals, Altimmune, Inc., GSK, Janssen, Transgene SA, Dynavax Technologies, Inc., Merck and Replicor, Inc. There are also companies developing or marketing treatments or vaccines for COVID-19, including Soliris by Alexion Pharmaceuticals Inc., Atea Pharmaceuticals, Inc. (together with Roche), Jakafi by Incyte Corporation, Kevzara by Sanofi S.A./Regeneron Pharmaceuticals, Inc., Amgen Inc. (together with Adaptive Biotechnologies Corporation), AbCellera Biologics, Inc. (together with Eli Lilly and Company), Vir Biotechnology, Inc. (together with GSK, Biogen Inc. and WuXi Biologics Ltd.), Altimmune, Inc., AstraZeneca PLC (together with Oxford University), BioNTech SE (together with Pfizer Inc.), GlaxoSmithKline plc (GSK) (together with Sanofi S.A.), Heat Biologics, Inc., Inovio Pharmaceuticals, Inc., Johnson &amp; Johnson, Moderna, Inc., Novavax, Inc., Regeneron Pharmaceuticals Inc., Vaxart, Inc., Enanta Pharmaceuticals, Novartis and Shionogi &amp; Co., Ltd. For example, BioNTech SE (together with Pfizer Inc.), Janssen Pharmaceutical Companies of Johnson &amp; Johnson and Moderna Inc. have developed COVID-19 vaccines that have received authorization for emergency use and/or regulatory approval are being widely administered. In addition,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 The availability of such COVID-19 vaccines and each of Pfizer’s and Merck’s oral COVID-19 drug may reduce or eliminate the need for our potential COVID therapies to treat the disease and therefore negatively impact the commercial opportunity.</w:t>
      </w:r>
    </w:p>
    <w:p>
      <w:pPr>
        <w:spacing w:after="0" w:line="68" w:lineRule="exact"/>
        <w:rPr>
          <w:sz w:val="20"/>
          <w:szCs w:val="20"/>
          <w:color w:val="auto"/>
        </w:rPr>
      </w:pPr>
    </w:p>
    <w:p>
      <w:pPr>
        <w:ind w:right="160" w:firstLine="509"/>
        <w:spacing w:after="0" w:line="293" w:lineRule="auto"/>
        <w:rPr>
          <w:sz w:val="20"/>
          <w:szCs w:val="20"/>
          <w:color w:val="auto"/>
        </w:rPr>
      </w:pPr>
      <w:r>
        <w:rPr>
          <w:rFonts w:ascii="Arial" w:cs="Arial" w:eastAsia="Arial" w:hAnsi="Arial"/>
          <w:sz w:val="16"/>
          <w:szCs w:val="16"/>
          <w:color w:val="auto"/>
        </w:rPr>
        <w:t>Furthermore, there are companies developing or marketing treatments for NASH, including AbbVie, Inc., AstraZeneca PLC/MedImmune LLC, Bristol-Myers Squibb Company, Eli Lilly and Company, FronThera US Pharmaceuticals LLC, Janssen, Merck, Novartis Pharmaceuticals Corporation (together with Pfizer, Inc.), Novo Nordisk A/S, Pfizer Inc., Roche, Sanofi S.A., Takeda Pharmaceutical Company Limited (together with HemoShear Therapeutics, LLC), 89bio, Inc., Akero Therapeutics, Inc., Cirius Therapeutics, Inc., Enanta Pharmaceuticals, Inc., Galectin Therapeutics Inc., Galmed Pharmaceuticals Ltd., Genfit SA, Gilead, Intercept Pharmaceuticals, Inc., Inventiva Pharma SA, Madrigal Pharmaceuticals, Inc., MediciNova, Inc., NGM Biopharmaceuticals, Inc., Pliant Therapeutics, Inc. (together with Novartis), Terns Pharmaceuticals, Inc. and Viking Therapeutics, Inc.</w:t>
      </w:r>
    </w:p>
    <w:p>
      <w:pPr>
        <w:spacing w:after="0" w:line="56"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including gaining exclusivity for their competing products on formularies thereby excluding our products from such formularies, are reimbursed or are less expensive than any products that we may develop. Our competitors also may obtain FDA, EMA or other marketing approval for their products more rapidly than we may obtain approval for ours (if at all), which could result in our 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w:t>
      </w:r>
    </w:p>
    <w:p>
      <w:pPr>
        <w:spacing w:after="0" w:line="87"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Smaller and other early stage companies may also prove to be significant competitors. In addition, academic research departments and public and private research institutions may be conducting research on compounds that could prove to be competitive.</w:t>
      </w:r>
    </w:p>
    <w:p>
      <w:pPr>
        <w:spacing w:after="0" w:line="62"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w:t>
      </w:r>
    </w:p>
    <w:p>
      <w:pPr>
        <w:spacing w:after="0" w:line="76" w:lineRule="exact"/>
        <w:rPr>
          <w:sz w:val="20"/>
          <w:szCs w:val="20"/>
          <w:color w:val="auto"/>
        </w:rPr>
      </w:pPr>
    </w:p>
    <w:p>
      <w:pPr>
        <w:jc w:val="both"/>
        <w:ind w:right="320" w:firstLine="509"/>
        <w:spacing w:after="0" w:line="286" w:lineRule="auto"/>
        <w:rPr>
          <w:sz w:val="20"/>
          <w:szCs w:val="20"/>
          <w:color w:val="auto"/>
        </w:rPr>
      </w:pPr>
      <w:r>
        <w:rPr>
          <w:rFonts w:ascii="Arial" w:cs="Arial" w:eastAsia="Arial" w:hAnsi="Arial"/>
          <w:sz w:val="17"/>
          <w:szCs w:val="17"/>
          <w:color w:val="auto"/>
        </w:rPr>
        <w:t>In addition, the biopharmaceutical industry is characterized by rapid technological change. If we fail to keep pace with technological change, we may be unable to compete effectively. Technological advances or products developed by our competitors may render our drug candidates obsolete, less competitive or not economical, thereby adversely affecting our business, financial condition and results of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ind w:right="60"/>
        <w:spacing w:after="0" w:line="277" w:lineRule="auto"/>
        <w:rPr>
          <w:sz w:val="20"/>
          <w:szCs w:val="20"/>
          <w:color w:val="auto"/>
        </w:rPr>
      </w:pPr>
      <w:r>
        <w:rPr>
          <w:rFonts w:ascii="Arial" w:cs="Arial" w:eastAsia="Arial" w:hAnsi="Arial"/>
          <w:sz w:val="18"/>
          <w:szCs w:val="18"/>
          <w:b w:val="1"/>
          <w:bCs w:val="1"/>
          <w:i w:val="1"/>
          <w:iCs w:val="1"/>
          <w:color w:val="auto"/>
        </w:rPr>
        <w:t>If any of our current or future drug candidates obtain regulatory approval, additional competitors could enter the market with generic versions of such products, which may result in a material decline in sales of our competing products.</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Under the Drug Price Competition and Patent Term Restoration Act of 1984, or the Hatch-Waxman Amendments to the Federal Food, Drug, and Cosmetic Act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179"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68"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w:t>
      </w:r>
    </w:p>
    <w:p>
      <w:pPr>
        <w:spacing w:after="0" w:line="6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drug candidates, such products may become subject to unfavorable pricing regulations or third-party coverage and reimbursement policies, which would harm our business.</w:t>
      </w:r>
    </w:p>
    <w:p>
      <w:pPr>
        <w:spacing w:after="0" w:line="62"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w:t>
      </w:r>
    </w:p>
    <w:p>
      <w:pPr>
        <w:spacing w:after="0" w:line="69"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Our ability to successfully commercialize any drug candidates, whether as a single agent or in combination, will also depend in part on the extent to which coverage and reimbursement for these drug candidates and related treatments is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firstLine="509"/>
        <w:spacing w:after="0" w:line="270"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73" w:lineRule="exact"/>
        <w:rPr>
          <w:sz w:val="20"/>
          <w:szCs w:val="20"/>
          <w:color w:val="auto"/>
        </w:rPr>
      </w:pPr>
    </w:p>
    <w:p>
      <w:pPr>
        <w:ind w:firstLine="515"/>
        <w:spacing w:after="0" w:line="269" w:lineRule="auto"/>
        <w:rPr>
          <w:sz w:val="20"/>
          <w:szCs w:val="20"/>
          <w:color w:val="auto"/>
        </w:rPr>
      </w:pPr>
      <w:r>
        <w:rPr>
          <w:rFonts w:ascii="Arial" w:cs="Arial" w:eastAsia="Arial" w:hAnsi="Arial"/>
          <w:sz w:val="17"/>
          <w:szCs w:val="17"/>
          <w:color w:val="auto"/>
        </w:rPr>
        <w:t>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other drug candidates and may fail to capitalize on programs or drug candidates that may present a greater commercial opportunity or for which there is a greater likelihood of success.</w:t>
      </w:r>
    </w:p>
    <w:p>
      <w:pPr>
        <w:spacing w:after="0" w:line="62" w:lineRule="exact"/>
        <w:rPr>
          <w:sz w:val="20"/>
          <w:szCs w:val="20"/>
          <w:color w:val="auto"/>
        </w:rPr>
      </w:pPr>
    </w:p>
    <w:p>
      <w:pPr>
        <w:ind w:right="40" w:firstLine="515"/>
        <w:spacing w:after="0" w:line="259" w:lineRule="auto"/>
        <w:rPr>
          <w:sz w:val="20"/>
          <w:szCs w:val="20"/>
          <w:color w:val="auto"/>
        </w:rPr>
      </w:pPr>
      <w:r>
        <w:rPr>
          <w:rFonts w:ascii="Arial" w:cs="Arial" w:eastAsia="Arial" w:hAnsi="Arial"/>
          <w:sz w:val="18"/>
          <w:szCs w:val="18"/>
          <w:color w:val="auto"/>
        </w:rPr>
        <w:t>The success of our business depends upon our ability to identify, develop and commercialize drug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w:t>
      </w:r>
    </w:p>
    <w:p>
      <w:pPr>
        <w:spacing w:after="0" w:line="79" w:lineRule="exact"/>
        <w:rPr>
          <w:sz w:val="20"/>
          <w:szCs w:val="20"/>
          <w:color w:val="auto"/>
        </w:rPr>
      </w:pPr>
    </w:p>
    <w:p>
      <w:pPr>
        <w:ind w:firstLine="515"/>
        <w:spacing w:after="0" w:line="217" w:lineRule="exact"/>
        <w:rPr>
          <w:sz w:val="20"/>
          <w:szCs w:val="20"/>
          <w:color w:val="auto"/>
        </w:rPr>
      </w:pPr>
      <w:r>
        <w:rPr>
          <w:rFonts w:ascii="Arial" w:cs="Arial" w:eastAsia="Arial" w:hAnsi="Arial"/>
          <w:sz w:val="17"/>
          <w:szCs w:val="17"/>
          <w:color w:val="auto"/>
        </w:rPr>
        <w:t>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In addition, we are pursuing other drug candidates for viral diseases. However, the advancement of these drug candidates may ultimately prove to be unsuccessful or less successful than another program in our pipeline that we might have chosen to pursue on a less aggressive basis. 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profiles through Phase 1 clinical trials of our drug candidates ALG</w:t>
      </w:r>
      <w:r>
        <w:rPr>
          <w:rFonts w:ascii="MS PGothic" w:cs="MS PGothic" w:eastAsia="MS PGothic" w:hAnsi="MS PGothic"/>
          <w:sz w:val="17"/>
          <w:szCs w:val="17"/>
          <w:color w:val="auto"/>
        </w:rPr>
        <w:t>‑</w:t>
      </w:r>
      <w:r>
        <w:rPr>
          <w:rFonts w:ascii="Arial" w:cs="Arial" w:eastAsia="Arial" w:hAnsi="Arial"/>
          <w:sz w:val="17"/>
          <w:szCs w:val="17"/>
          <w:color w:val="auto"/>
        </w:rPr>
        <w:t>055009, ALG-000184 and ALG</w:t>
      </w:r>
      <w:r>
        <w:rPr>
          <w:rFonts w:ascii="MS PGothic" w:cs="MS PGothic" w:eastAsia="MS PGothic" w:hAnsi="MS PGothic"/>
          <w:sz w:val="17"/>
          <w:szCs w:val="17"/>
          <w:color w:val="auto"/>
        </w:rPr>
        <w:t>‑</w:t>
      </w:r>
      <w:r>
        <w:rPr>
          <w:rFonts w:ascii="Arial" w:cs="Arial" w:eastAsia="Arial" w:hAnsi="Arial"/>
          <w:sz w:val="17"/>
          <w:szCs w:val="17"/>
          <w:color w:val="auto"/>
        </w:rPr>
        <w:t>125755. Our estimates regarding the potential market for 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 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for us to retain sole development and commercialization rights to such drug candidate. Alternatively, we may allocate internal resources to a drug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candidate in a therapeutic area in which it would have been more advantageous to enter into a partnering arrangement.</w:t>
      </w:r>
    </w:p>
    <w:p>
      <w:pPr>
        <w:spacing w:after="0" w:line="11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w:t>
      </w:r>
    </w:p>
    <w:p>
      <w:pPr>
        <w:spacing w:after="0" w:line="7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i w:val="1"/>
          <w:iCs w:val="1"/>
          <w:color w:val="auto"/>
        </w:rPr>
        <w:t>We may seek and fail to obtain fast track or breakthrough therapy designations from the FDA for our current or future drug candidates or priority review designation for any NDA we may submit to the FDA.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may disagree that we have met the requirements for such approval.</w:t>
      </w:r>
    </w:p>
    <w:p>
      <w:pPr>
        <w:spacing w:after="0" w:line="49"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84"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 does not assure ultimate approval by the FDA. In addition, even if a drug candidate we develop qualifies as a breakthrough therapy, the FDA may later decide that the drug no longer meets the conditions for qualification and rescind the designation.</w:t>
      </w:r>
    </w:p>
    <w:p>
      <w:pPr>
        <w:spacing w:after="0" w:line="73"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 priority review does not guarantee approval of the NDA and may not result in a shorter overall review timeline if the FDA has significant questions or additional requests as part of the NDA review.</w:t>
      </w:r>
    </w:p>
    <w:p>
      <w:pPr>
        <w:spacing w:after="0" w:line="68"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In addition, the FDA may grant accelerated approval to a product if the FDA determines that it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NASH.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 We cannot guarantee that the FDA will conclude that any of our drug candidates has met the criteria to receive accelerated approval, which would require us to conduct additional clinical testing prior to seeking FDA approval. Even if any of our drug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ind w:right="620"/>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drug candidates we develop, and we may be unsuccessful or may be unable to maintain the benefits associated with Orphan Drug Designation, including the potential for market exclusivity.</w:t>
      </w:r>
    </w:p>
    <w:p>
      <w:pPr>
        <w:spacing w:after="0" w:line="62" w:lineRule="exact"/>
        <w:rPr>
          <w:sz w:val="20"/>
          <w:szCs w:val="20"/>
          <w:color w:val="auto"/>
        </w:rPr>
      </w:pPr>
    </w:p>
    <w:p>
      <w:pPr>
        <w:ind w:right="180" w:firstLine="509"/>
        <w:spacing w:after="0" w:line="272" w:lineRule="auto"/>
        <w:rPr>
          <w:sz w:val="20"/>
          <w:szCs w:val="20"/>
          <w:color w:val="auto"/>
        </w:rPr>
      </w:pPr>
      <w:r>
        <w:rPr>
          <w:rFonts w:ascii="Arial" w:cs="Arial" w:eastAsia="Arial" w:hAnsi="Arial"/>
          <w:sz w:val="17"/>
          <w:szCs w:val="17"/>
          <w:color w:val="auto"/>
        </w:rPr>
        <w:t>As part of our business strategy, we may seek Orphan Drug Designation for any drug candidates we develop, and we may be unsuccessful in obtaining such designation. Regulatory authorities in some jurisdictions, including the United States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69"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Similarly, in the EU,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57" w:lineRule="exact"/>
        <w:rPr>
          <w:sz w:val="20"/>
          <w:szCs w:val="20"/>
          <w:color w:val="auto"/>
        </w:rPr>
      </w:pPr>
    </w:p>
    <w:p>
      <w:pPr>
        <w:ind w:right="140" w:firstLine="515"/>
        <w:spacing w:after="0" w:line="257" w:lineRule="auto"/>
        <w:rPr>
          <w:sz w:val="20"/>
          <w:szCs w:val="20"/>
          <w:color w:val="auto"/>
        </w:rPr>
      </w:pPr>
      <w:r>
        <w:rPr>
          <w:rFonts w:ascii="Arial" w:cs="Arial" w:eastAsia="Arial" w:hAnsi="Arial"/>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 The EU exclusivity period can be reduced to six years if a drug no longer meets the criteria for Orphan Drug Designation or if the drug is sufficiently profitable such that market exclusivity is no longer justified.</w:t>
      </w:r>
    </w:p>
    <w:p>
      <w:pPr>
        <w:spacing w:after="0" w:line="80" w:lineRule="exact"/>
        <w:rPr>
          <w:sz w:val="20"/>
          <w:szCs w:val="20"/>
          <w:color w:val="auto"/>
        </w:rPr>
      </w:pPr>
    </w:p>
    <w:p>
      <w:pPr>
        <w:ind w:right="20" w:firstLine="515"/>
        <w:spacing w:after="0" w:line="269" w:lineRule="auto"/>
        <w:rPr>
          <w:sz w:val="20"/>
          <w:szCs w:val="20"/>
          <w:color w:val="auto"/>
        </w:rPr>
      </w:pPr>
      <w:r>
        <w:rPr>
          <w:rFonts w:ascii="Arial" w:cs="Arial" w:eastAsia="Arial" w:hAnsi="Arial"/>
          <w:sz w:val="17"/>
          <w:szCs w:val="17"/>
          <w:color w:val="auto"/>
        </w:rPr>
        <w:t>Even if we obtain orphan drug exclusivity for a drug candidate, that exclusivity may not effectively protect the drug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candidate nor gives the drug candidate any advantage in the regulatory review or approval process. While we may seek Orphan Drug Designation for applicable indications for our current and any future drug candidates, we may never receive such designations. Even if we do receive such designations, there is no guarantee that we will enjoy the benefits of those designations.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required to make significant payments under our license agreements with Emory University and Luxna Biotech Co., Ltd.</w:t>
      </w:r>
    </w:p>
    <w:p>
      <w:pPr>
        <w:spacing w:after="0" w:line="129"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We entered into a License Agreement with Emory in June 2018 (the Emory License Agreement), and a License Agreement with Luxna in December 2018 and an amendment in April 2020 (as amended, the Luxna Agreement). Under the Emory License Agreement and Luxna Agreement, we are subject to significant obligations, including milestone payments, royalty payments, and certain other agreed-to costs. For more information regarding our license agreements, please see the section titled “Business—License agreements and collaborations” of this report. If these payments become due under the terms of either the Emory University License Agreement or Luxna Agreement, we may not have sufficient funds available to meet our obligations and our development efforts may be materially harmed. Furthermore, if we are forced to raise additional funds, we may be required to delay, limit,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ind w:right="400"/>
        <w:spacing w:after="0" w:line="277" w:lineRule="auto"/>
        <w:rPr>
          <w:sz w:val="20"/>
          <w:szCs w:val="20"/>
          <w:color w:val="auto"/>
        </w:rPr>
      </w:pPr>
      <w:r>
        <w:rPr>
          <w:rFonts w:ascii="Arial" w:cs="Arial" w:eastAsia="Arial" w:hAnsi="Arial"/>
          <w:sz w:val="18"/>
          <w:szCs w:val="18"/>
          <w:color w:val="auto"/>
        </w:rPr>
        <w:t>reduce or terminate our product development or future commercialization efforts, or grant rights to develop and market drug candidates that we would otherwise develop and market ourselves.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approved products.</w:t>
      </w:r>
    </w:p>
    <w:p>
      <w:pPr>
        <w:spacing w:after="0" w:line="62"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p>
    <w:p>
      <w:pPr>
        <w:spacing w:after="0" w:line="69"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demand for any approved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payments to trial participants or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effects to our results of operations and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any drug candidate;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Our inability to obtain sufficient product liability insurance at an acceptable cost or at all to protect against potential product liability claims could prevent or inhibit the commercialization of products we develop, alone or with collaboration partners.</w:t>
      </w:r>
    </w:p>
    <w:p>
      <w:pPr>
        <w:spacing w:after="0" w:line="6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Affordable Care Act (the ACA) was passed, which substantially changed the way healthcare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point-of-sale discounts off negotiated prices of applicable brand drugs to eligible beneficiaries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during their coverage gap period, as a condition for the manufacturer’s outpatient drugs being covered under Medicare Part D.</w:t>
      </w:r>
    </w:p>
    <w:p>
      <w:pPr>
        <w:spacing w:after="0" w:line="117"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6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On August 2, 2011, the Budget Control Act of 2011, among other things, included aggregate reductions of Medicare payments to providers. These reductions went into effect on April 1, 2013 and, due to subsequent legislative amendments to the statute, will remain in effect through 2032, with the exception of a temporary suspension from May 1, 2020 through March 31, 2022, unless additional Congressional action is taken. In addition, on January 2, 2013, the American Taxpayer Relief Act of 2012 was signed into law, which, among other things, further reduced Medicare payments to several types of providers. The American Rescue Plan Act of 2021 was also signed into law, which eliminates the statutory Medicaid drug rebate cap, currently set at 100% of a drug's average manufacturer price, beginning January 1, 2024.</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Moreover, payment methodologies may be subject to changes in healthcare legislation and regulatory initiatives.</w:t>
      </w:r>
    </w:p>
    <w:p>
      <w:pPr>
        <w:spacing w:after="0" w:line="117"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There has been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 Most recently, on August 16, 2022, the Inflation Reduction Act of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w:t>
      </w:r>
    </w:p>
    <w:p>
      <w:pPr>
        <w:spacing w:after="0" w:line="58"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additional pricing pressure or reduced demand for any drug candidate we develop or complementary or companion diagnostics.</w:t>
      </w:r>
    </w:p>
    <w:p>
      <w:pPr>
        <w:spacing w:after="0" w:line="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p>
    <w:p>
      <w:pPr>
        <w:spacing w:after="0" w:line="76"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We and our partners may be subject to federal, state and foreign data privacy and security laws and regulations. Failure by us or our third-party vendors, collaborators, contractors and consultants to comply with any of these laws and regulations could result in notification obligations or enforcement actions against us, which could result in, among other things, fines,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in the United States, the EU and elsewhere, are often uncertain, contradictory and in flux. As a result, implementation standards and enforcement practices are likely to remain uncertain for the foreseeable future. As our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3" w:name="page64"/>
    <w:bookmarkEnd w:id="63"/>
    <w:p>
      <w:pPr>
        <w:ind w:right="140"/>
        <w:spacing w:after="0" w:line="277" w:lineRule="auto"/>
        <w:rPr>
          <w:sz w:val="20"/>
          <w:szCs w:val="20"/>
          <w:color w:val="auto"/>
        </w:rPr>
      </w:pPr>
      <w:r>
        <w:rPr>
          <w:rFonts w:ascii="Arial" w:cs="Arial" w:eastAsia="Arial" w:hAnsi="Arial"/>
          <w:sz w:val="18"/>
          <w:szCs w:val="18"/>
          <w:color w:val="auto"/>
        </w:rPr>
        <w:t>operations and business grow, we may become subject to or affected by new or additional data protection laws and regulations and face increased scrutiny or attention from regulatory authorities.</w:t>
      </w:r>
    </w:p>
    <w:p>
      <w:pPr>
        <w:spacing w:after="0" w:line="62"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Depending on the facts and circumstances, we could be subject to criminal penalties if we knowingly obtain, use, or disclose individually identifiable health information provided to us by a HIPAA-covered entity in a manner that is not authorized or permitted by HIPAA.</w:t>
      </w:r>
    </w:p>
    <w:p>
      <w:pPr>
        <w:spacing w:after="0" w:line="69"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Further, we may also be subject to other state laws governing the privacy, processing and protection of personal information. For example, the California Consumer Privacy Act of 2018 (CCPA) went into effect on January 1, 2020. The CCPA, among other things, creates individual privacy rights for California consumers, such as the right to access and delete their personal information, opt-out of certain sales of personal information and receive detailed information about how their personal information is used. The CCPA provides for civil penalties for violations, as well as a private right of action for data breaches that is expected to increase the frequency of data breach litigation. The CCPA may increase our compliance costs and potential liability, and many similar laws have been proposed at the federal level and in other states. Further, the California Privacy Rights Act (CPRA), which significantly amends the CCPA, generally went into effect on January 1, 2023. The CPRA imposes additional data protection obligations on covered businesses, including additional consumer rights processes, limitations on data uses, new audit requirements for higher risk data, and opt outs for certain uses of sensitive data. It has also created a new California data protection agency authorized to issue substantive regulations and could result in increased privacy and information security enforcement, and additional compliance investment and potential business process changes may be required. Similar laws have passed in Virginia, Colorado, Connecticut and Utah,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68"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We currently operate in countries outside of the United States, including Belgium, Australia and China, where laws may in some cases be more stringent than the requirements in the United States. For example, in Europe, the General Data Protection Regulation (GDPR) went into effect in May 2018 and imposes strict requirements for the collection, storage, use, disclosure, transfer and other processing of the personal data of individuals within the European Economic Area (EEA). The GDPR applies extra-territorially under certain circumstances and imposes stringent requirements on controllers and processors of personal data, including, for example, requirements to obtain consent or other legal bases from individuals to process their personal data, provide robust disclosures to individuals, accommodate a set of individual data rights, provide data security breach notifications, limit retention of personal information and apply enhanced protections to health data and other special categories of personal data. The GDPR also applies to pseudonymized data, which is defined as “the processing of personal data in such a way that the data can no longer be attributed to a specific data subject without the use of additional information,” and imposes additional obligations when we contract with third-party processors in connection with the processing of any personal data. The GDPR provides that EU and EEA member states may make their own further laws and regulations limiting the processing of personal data, including genetic, biometric or health data, which could limit our ability to use and share personal data, could cause our costs to increase and could harm our financial condition. Failure to comply with the requirements of the GDPR could result in fines of up to €20 million or 4% of the total worldwide annual turnover of our preceding fiscal year, whichever is higher, and other administrative penalties.</w:t>
      </w:r>
    </w:p>
    <w:p>
      <w:pPr>
        <w:spacing w:after="0" w:line="66"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Further, from January 1, 2021, we have to comply with the GDPR and also the United Kingdom GDPR (UK GDPR), which, together, with the amended Data Protection Act 2018, retains the GDPR in UK national law, the latter regime having the ability to separately fine up to the greater of £17.5 million or 4% of global turnover.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4" w:name="page65"/>
    <w:bookmarkEnd w:id="64"/>
    <w:p>
      <w:pPr>
        <w:ind w:firstLine="509"/>
        <w:spacing w:after="0" w:line="287" w:lineRule="auto"/>
        <w:rPr>
          <w:sz w:val="20"/>
          <w:szCs w:val="20"/>
          <w:color w:val="auto"/>
        </w:rPr>
      </w:pPr>
      <w:r>
        <w:rPr>
          <w:rFonts w:ascii="Arial" w:cs="Arial" w:eastAsia="Arial" w:hAnsi="Arial"/>
          <w:sz w:val="16"/>
          <w:szCs w:val="16"/>
          <w:color w:val="auto"/>
        </w:rPr>
        <w:t>The GDPR further prohibits, without an appropriate legal basis, the transfer of personal data to countries outside of the EEA, such as the United States, which are not considered by the European Commission to provide an adequate level of data protection. Recent legal developments in Europe have created complexity and uncertainty regarding transfers of personal data from the EEA to the United States. For example,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16, 2020 have taken a restrictive approach to international data transfers.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60" w:lineRule="exact"/>
        <w:rPr>
          <w:sz w:val="20"/>
          <w:szCs w:val="20"/>
          <w:color w:val="auto"/>
        </w:rPr>
      </w:pPr>
    </w:p>
    <w:p>
      <w:pPr>
        <w:ind w:right="240" w:firstLine="509"/>
        <w:spacing w:after="0" w:line="275" w:lineRule="auto"/>
        <w:rPr>
          <w:sz w:val="20"/>
          <w:szCs w:val="20"/>
          <w:color w:val="auto"/>
        </w:rPr>
      </w:pPr>
      <w:r>
        <w:rPr>
          <w:rFonts w:ascii="Arial" w:cs="Arial" w:eastAsia="Arial" w:hAnsi="Arial"/>
          <w:sz w:val="17"/>
          <w:szCs w:val="17"/>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w:t>
      </w:r>
    </w:p>
    <w:p>
      <w:pPr>
        <w:spacing w:after="0" w:line="6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business and operations may suffer in the event that our information technology systems, or those used by our CROs or other contractors or consultants, fail or suffer security breaches.</w:t>
      </w:r>
    </w:p>
    <w:p>
      <w:pPr>
        <w:spacing w:after="0" w:line="62"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Despite the implementation of security measures, our information technology systems and those of our CROs and other contractors and consultants are vulnerable to damage from cyber-attacks, computer hacks, theft, viruses, malicious software, phishing, employee error, denial-of-service attacks, unauthorized access and other security breaches that could jeopardize the performance of our software and computer systems, and could expose us to financial and reputational harm.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64"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and certain of our service providers are from time to time subject to cyberattacks and security incidents. While we have not to our knowledge experienced any significant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Likewise, we rely on third parties for the manufacture of our drug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development and commercialization of our future drug candidates could be delayed. Further, our insurance coverage may not be sufficient to cover the financial, legal, business or reputational losses that may result from an interruption or breach of our systems.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5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We are currently collaborating with third parties to develop certain of our potential drug candidates. For example, we are collaborating with Merck with respect to the discovery, research and development of oligonucleotides against a NASH target. In the future, we may form or seek strategic alliances, joint ventures, or collaborations, or enter into additional licensing arrangements with third parties that we believe will complement or augment our development and commercialization efforts with respect to drug candidates we develop.</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Collaborations involving our current and future drug candidates may pose the following risks to us:</w:t>
      </w:r>
    </w:p>
    <w:p>
      <w:pPr>
        <w:spacing w:after="0" w:line="117"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abandon a drug candidate, repeat or conduct new clinical trials or require a new formulation of a drug candidate for clinical testing;</w:t>
      </w:r>
    </w:p>
    <w:p>
      <w:pPr>
        <w:spacing w:after="0" w:line="62"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(if any) or drug candidates;</w:t>
      </w:r>
    </w:p>
    <w:p>
      <w:pPr>
        <w:spacing w:after="0" w:line="62"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may otherwise not perform satisfactorily in carrying out these activities;</w:t>
      </w:r>
    </w:p>
    <w:p>
      <w:pPr>
        <w:spacing w:after="0" w:line="62" w:lineRule="exact"/>
        <w:rPr>
          <w:rFonts w:ascii="Arial" w:cs="Arial" w:eastAsia="Arial" w:hAnsi="Arial"/>
          <w:sz w:val="18"/>
          <w:szCs w:val="18"/>
          <w:color w:val="auto"/>
        </w:rPr>
      </w:pPr>
    </w:p>
    <w:p>
      <w:pPr>
        <w:ind w:left="1020" w:right="80" w:hanging="503"/>
        <w:spacing w:after="0" w:line="26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75"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products that result from our collaboration with them, and in such cases, we may not have the exclusive right to develop, license or commercialize such intellectual property;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disputes may arise with respect to ownership of any intellectual property developed pursuant to our collaborations;</w:t>
      </w:r>
    </w:p>
    <w:p>
      <w:pPr>
        <w:spacing w:after="0" w:line="117" w:lineRule="exact"/>
        <w:rPr>
          <w:rFonts w:ascii="Arial" w:cs="Arial" w:eastAsia="Arial" w:hAnsi="Arial"/>
          <w:sz w:val="18"/>
          <w:szCs w:val="18"/>
          <w:color w:val="auto"/>
        </w:rPr>
      </w:pPr>
    </w:p>
    <w:p>
      <w:pPr>
        <w:ind w:left="1020" w:right="100" w:hanging="503"/>
        <w:spacing w:after="0" w:line="342"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disputes may arise between a collaborator or strategic partner and us that cause the delay or termination of the research, development or commercialization of the drug candidate, or that result in costly litigation or arbitration that diverts management attention and resources; and</w:t>
      </w:r>
    </w:p>
    <w:p>
      <w:pPr>
        <w:spacing w:after="0" w:line="15" w:lineRule="exact"/>
        <w:rPr>
          <w:rFonts w:ascii="Arial" w:cs="Arial" w:eastAsia="Arial" w:hAnsi="Arial"/>
          <w:sz w:val="16"/>
          <w:szCs w:val="16"/>
          <w:color w:val="auto"/>
        </w:rPr>
      </w:pPr>
    </w:p>
    <w:p>
      <w:pPr>
        <w:ind w:left="1020" w:right="180" w:hanging="503"/>
        <w:spacing w:after="0" w:line="308"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a current or future collaborator of ours were to be involved in a business combination, the continued pursuit and emphasis on our product development or commercialization program under such collaboration could be delayed, diminished or terminated.</w:t>
      </w:r>
    </w:p>
    <w:p>
      <w:pPr>
        <w:spacing w:after="0" w:line="38"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the development and commercialization of our drug candidates, which would harm our business prospects,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6" w:name="page67"/>
    <w:bookmarkEnd w:id="66"/>
    <w:p>
      <w:pPr>
        <w:ind w:right="220"/>
        <w:spacing w:after="0" w:line="277"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62"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divert our management’s attention and disrupt our business.</w:t>
      </w:r>
    </w:p>
    <w:p>
      <w:pPr>
        <w:spacing w:after="0" w:line="80"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We face significant competition in seeking appropriate strategic partners and the negotiation process is time-consuming and complex. Whether we reach a definitive agreement for any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future drug candidates because they may be deemed to be at too early of a stage of development for collaborative efforts and third parties may not view them as having the requisite potential to demonstrate safety and efficacy.</w:t>
      </w:r>
    </w:p>
    <w:p>
      <w:pPr>
        <w:spacing w:after="0" w:line="64" w:lineRule="exact"/>
        <w:rPr>
          <w:sz w:val="20"/>
          <w:szCs w:val="20"/>
          <w:color w:val="auto"/>
        </w:rPr>
      </w:pPr>
    </w:p>
    <w:p>
      <w:pPr>
        <w:ind w:right="800" w:firstLine="509"/>
        <w:spacing w:after="0" w:line="277" w:lineRule="auto"/>
        <w:rPr>
          <w:sz w:val="20"/>
          <w:szCs w:val="20"/>
          <w:color w:val="auto"/>
        </w:rPr>
      </w:pPr>
      <w:r>
        <w:rPr>
          <w:rFonts w:ascii="Arial" w:cs="Arial" w:eastAsia="Arial" w:hAnsi="Arial"/>
          <w:sz w:val="18"/>
          <w:szCs w:val="18"/>
          <w:color w:val="auto"/>
        </w:rPr>
        <w:t>We may also be restricted under future collaboration agreements from entering into additional agreements on certain terms with potential collaborators.</w:t>
      </w:r>
    </w:p>
    <w:p>
      <w:pPr>
        <w:spacing w:after="0" w:line="62"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w:t>
      </w:r>
    </w:p>
    <w:p>
      <w:pPr>
        <w:spacing w:after="0" w:line="62"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spacing w:after="0" w:line="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62"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If conflicts arise between our academic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w:t>
      </w:r>
    </w:p>
    <w:p>
      <w:pPr>
        <w:spacing w:after="0" w:line="76"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w:t>
      </w:r>
    </w:p>
    <w:p>
      <w:pPr>
        <w:spacing w:after="0" w:line="8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ongoing and planned clinical trials and certain of our nonclinical studies for drug candidates we develop. If these third parties do not successfully carry out their contractual duties, comply with regulatory requirements or meet expected deadlines, we may not be able to obtain marketing</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approval for or commercialize the drug candidates we are developing and our business could be substantially harmed.</w:t>
      </w:r>
    </w:p>
    <w:p>
      <w:pPr>
        <w:spacing w:after="0" w:line="117" w:lineRule="exact"/>
        <w:rPr>
          <w:sz w:val="20"/>
          <w:szCs w:val="20"/>
          <w:color w:val="auto"/>
        </w:rPr>
      </w:pPr>
    </w:p>
    <w:p>
      <w:pPr>
        <w:ind w:right="80" w:firstLine="509"/>
        <w:spacing w:after="0" w:line="218" w:lineRule="exact"/>
        <w:rPr>
          <w:sz w:val="20"/>
          <w:szCs w:val="20"/>
          <w:color w:val="auto"/>
        </w:rPr>
      </w:pPr>
      <w:r>
        <w:rPr>
          <w:rFonts w:ascii="Arial" w:cs="Arial" w:eastAsia="Arial" w:hAnsi="Arial"/>
          <w:sz w:val="18"/>
          <w:szCs w:val="18"/>
          <w:color w:val="auto"/>
        </w:rPr>
        <w:t>We do not have the ability to independently conduct certain nonclinical studies and clinical trials. We rely on medical institutions, clinical investigators, contract laboratories, and other third parties, such as CROs, to conduct or otherwise support certain nonclinical studies and clinical trials for our drug candidates, including ALG</w:t>
      </w:r>
      <w:r>
        <w:rPr>
          <w:rFonts w:ascii="MS PGothic" w:cs="MS PGothic" w:eastAsia="MS PGothic" w:hAnsi="MS PGothic"/>
          <w:sz w:val="18"/>
          <w:szCs w:val="18"/>
          <w:color w:val="auto"/>
        </w:rPr>
        <w:t>‑</w:t>
      </w:r>
      <w:r>
        <w:rPr>
          <w:rFonts w:ascii="Arial" w:cs="Arial" w:eastAsia="Arial" w:hAnsi="Arial"/>
          <w:sz w:val="18"/>
          <w:szCs w:val="18"/>
          <w:color w:val="auto"/>
        </w:rPr>
        <w:t>055009, ALG</w:t>
      </w:r>
      <w:r>
        <w:rPr>
          <w:rFonts w:ascii="MS PGothic" w:cs="MS PGothic" w:eastAsia="MS PGothic" w:hAnsi="MS PGothic"/>
          <w:sz w:val="18"/>
          <w:szCs w:val="18"/>
          <w:color w:val="auto"/>
        </w:rPr>
        <w:t>‑</w:t>
      </w:r>
      <w:r>
        <w:rPr>
          <w:rFonts w:ascii="Arial" w:cs="Arial" w:eastAsia="Arial" w:hAnsi="Arial"/>
          <w:sz w:val="18"/>
          <w:szCs w:val="18"/>
          <w:color w:val="auto"/>
        </w:rPr>
        <w:t>000184 and ALG-125755, and we control only certain aspects of their activities. Nevertheless, we are responsible for ensuring that each of our nonclinical studies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nonclinical studies or clinical trials, we could be subject to untitled and warning letters or enforcement action that may include civil penalties up to and including criminal prosecution.</w:t>
      </w:r>
    </w:p>
    <w:p>
      <w:pPr>
        <w:spacing w:after="0" w:line="99"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trial sites. If we or our CROs fail to comply with applicable GLP or GCP, the data generated in our nonclinical studies or clinical trials may be deemed unreliable and the FDA or comparable foreign regulatory authorities may require us to perform additional nonclinical 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 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76"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84"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undergo changes in priorities;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become financially distressed;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ind w:right="340"/>
        <w:spacing w:after="0" w:line="277" w:lineRule="auto"/>
        <w:rPr>
          <w:sz w:val="20"/>
          <w:szCs w:val="20"/>
          <w:color w:val="auto"/>
        </w:rPr>
      </w:pPr>
      <w:r>
        <w:rPr>
          <w:rFonts w:ascii="Arial" w:cs="Arial" w:eastAsia="Arial" w:hAnsi="Arial"/>
          <w:sz w:val="18"/>
          <w:szCs w:val="18"/>
          <w:color w:val="auto"/>
        </w:rPr>
        <w:t>duration of, or increase the size of any nonclinical studies or clinical trials we conduct and this could significantly delay commercialization and require significantly greater expenditures.</w:t>
      </w:r>
    </w:p>
    <w:p>
      <w:pPr>
        <w:spacing w:after="0" w:line="62"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if the quality or accuracy of the nonclinical or clinical data they obtain are compromised due to the failure to adhere to our protocols, regulatory requirements or for other reasons, or if they are negatively impacted by the COVID-19 pandemic, any nonclinical studies or clinical trials such CROs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w:t>
      </w:r>
    </w:p>
    <w:p>
      <w:pPr>
        <w:spacing w:after="0" w:line="6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p>
    <w:p>
      <w:pPr>
        <w:spacing w:after="0" w:line="5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We do not own or operate manufacturing facilities for the production of nonclinical, clinical or commercial supplies of the drug candidates that we are developing or evaluating in our development programs. We have limited personnel with experience in drug manufacturing and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 A disruption or termination in the supply of nonclinical or clinical drug supplies due to our reliance on third parties and/or a disruption in the supply chain generally could delay, prevent or impair our development or commercialization efforts.</w:t>
      </w:r>
    </w:p>
    <w:p>
      <w:pPr>
        <w:spacing w:after="0" w:line="56"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drug candidates may shorten the expiry of our drug candidates and lead to clinical trial material supply shortages, and potentially clinical trial delays. If these third-party manufacturers are unable to successfully scale up the manufacture of our drug candidates in sufficient quality and quantity, the development, testing and clinical trials of that drug candidate may be delayed or infeasible, and regulatory approval or commercial launch of that drug candidate may be delayed or not obtained, which could significantly harm our business.</w:t>
      </w:r>
    </w:p>
    <w:p>
      <w:pPr>
        <w:spacing w:after="0" w:line="58" w:lineRule="exact"/>
        <w:rPr>
          <w:sz w:val="20"/>
          <w:szCs w:val="20"/>
          <w:color w:val="auto"/>
        </w:rPr>
      </w:pPr>
    </w:p>
    <w:p>
      <w:pPr>
        <w:ind w:right="440" w:firstLine="509"/>
        <w:spacing w:after="0" w:line="286" w:lineRule="auto"/>
        <w:rPr>
          <w:sz w:val="20"/>
          <w:szCs w:val="20"/>
          <w:color w:val="auto"/>
        </w:rPr>
      </w:pPr>
      <w:r>
        <w:rPr>
          <w:rFonts w:ascii="Arial" w:cs="Arial" w:eastAsia="Arial" w:hAnsi="Arial"/>
          <w:sz w:val="17"/>
          <w:szCs w:val="17"/>
          <w:color w:val="auto"/>
        </w:rPr>
        <w:t>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w:t>
      </w:r>
    </w:p>
    <w:p>
      <w:pPr>
        <w:spacing w:after="0" w:line="57" w:lineRule="exact"/>
        <w:rPr>
          <w:sz w:val="20"/>
          <w:szCs w:val="20"/>
          <w:color w:val="auto"/>
        </w:rPr>
      </w:pPr>
    </w:p>
    <w:p>
      <w:pPr>
        <w:jc w:val="both"/>
        <w:ind w:right="140" w:firstLine="509"/>
        <w:spacing w:after="0" w:line="259" w:lineRule="auto"/>
        <w:rPr>
          <w:sz w:val="20"/>
          <w:szCs w:val="20"/>
          <w:color w:val="auto"/>
        </w:rPr>
      </w:pPr>
      <w:r>
        <w:rPr>
          <w:rFonts w:ascii="Arial" w:cs="Arial" w:eastAsia="Arial" w:hAnsi="Arial"/>
          <w:sz w:val="18"/>
          <w:szCs w:val="18"/>
          <w:color w:val="auto"/>
        </w:rPr>
        <w:t>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w:t>
      </w:r>
    </w:p>
    <w:p>
      <w:pPr>
        <w:spacing w:after="0" w:line="79" w:lineRule="exact"/>
        <w:rPr>
          <w:sz w:val="20"/>
          <w:szCs w:val="20"/>
          <w:color w:val="auto"/>
        </w:rPr>
      </w:pPr>
    </w:p>
    <w:p>
      <w:pPr>
        <w:ind w:right="20" w:firstLine="509"/>
        <w:spacing w:after="0" w:line="342" w:lineRule="auto"/>
        <w:rPr>
          <w:sz w:val="20"/>
          <w:szCs w:val="20"/>
          <w:color w:val="auto"/>
        </w:rPr>
      </w:pPr>
      <w:r>
        <w:rPr>
          <w:rFonts w:ascii="Arial" w:cs="Arial" w:eastAsia="Arial" w:hAnsi="Arial"/>
          <w:sz w:val="16"/>
          <w:szCs w:val="16"/>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16"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w:t>
      </w:r>
    </w:p>
    <w:p>
      <w:pPr>
        <w:spacing w:after="0" w:line="79"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9" w:name="page70"/>
    <w:bookmarkEnd w:id="69"/>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ind w:right="280" w:firstLine="509"/>
        <w:spacing w:after="0" w:line="301" w:lineRule="auto"/>
        <w:rPr>
          <w:sz w:val="20"/>
          <w:szCs w:val="20"/>
          <w:color w:val="auto"/>
        </w:rPr>
      </w:pPr>
      <w:r>
        <w:rPr>
          <w:rFonts w:ascii="Arial" w:cs="Arial" w:eastAsia="Arial" w:hAnsi="Arial"/>
          <w:sz w:val="16"/>
          <w:szCs w:val="16"/>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w:t>
      </w:r>
    </w:p>
    <w:p>
      <w:pPr>
        <w:spacing w:after="0" w:line="49"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w:t>
      </w:r>
    </w:p>
    <w:p>
      <w:pPr>
        <w:spacing w:after="0" w:line="16"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If the third parties that we engage to supply any materials or manufacture product for our nonclinical studies and clinical trials should cease to continue to do so for any reason, we likely would experience delays in advancing these studies and trials while we 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w:t>
      </w:r>
    </w:p>
    <w:p>
      <w:pPr>
        <w:spacing w:after="0" w:line="80" w:lineRule="exact"/>
        <w:rPr>
          <w:sz w:val="20"/>
          <w:szCs w:val="20"/>
          <w:color w:val="auto"/>
        </w:rPr>
      </w:pPr>
    </w:p>
    <w:p>
      <w:pPr>
        <w:jc w:val="both"/>
        <w:ind w:right="360" w:firstLine="509"/>
        <w:spacing w:after="0" w:line="263" w:lineRule="auto"/>
        <w:rPr>
          <w:sz w:val="20"/>
          <w:szCs w:val="20"/>
          <w:color w:val="auto"/>
        </w:rPr>
      </w:pPr>
      <w:r>
        <w:rPr>
          <w:rFonts w:ascii="Arial" w:cs="Arial" w:eastAsia="Arial" w:hAnsi="Arial"/>
          <w:sz w:val="18"/>
          <w:szCs w:val="18"/>
          <w:color w:val="auto"/>
        </w:rPr>
        <w:t>Some of our third-party manufacturers which we use for the supply of materials for drug candidates or other materials necessary to manufacture product to conduct clinical trials are located in countries affected by COVID-19, and should they experience disruptions, such as temporary closures or suspension of services, we would likely experience delays in advancing our clinical development.</w:t>
      </w:r>
    </w:p>
    <w:p>
      <w:pPr>
        <w:spacing w:after="0" w:line="76"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w:t>
      </w:r>
    </w:p>
    <w:p>
      <w:pPr>
        <w:spacing w:after="0" w:line="76"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b w:val="1"/>
          <w:bCs w:val="1"/>
          <w:i w:val="1"/>
          <w:iCs w:val="1"/>
          <w:color w:val="auto"/>
        </w:rPr>
        <w:t>Our future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p>
    <w:p>
      <w:pPr>
        <w:spacing w:after="0" w:line="41"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Healthcare providers, physicians and third-party payors in the United States and elsewhere will play a primary role in the recommendation and prescription of any drug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(the FCA), which may constrain the business or financial arrangements and relationships through which we sell, market and distribute any products for which we obtain marketing approval. In addition, we may be subject to transparency laws by the U.S. federal and state governments and by governments in foreign jurisdictions in which we conduct our business. The applicable federal, state and foreign healthcare laws and regulations that may affect our ability to operate include:</w:t>
      </w:r>
    </w:p>
    <w:p>
      <w:pPr>
        <w:spacing w:after="0" w:line="69" w:lineRule="exact"/>
        <w:rPr>
          <w:sz w:val="20"/>
          <w:szCs w:val="20"/>
          <w:color w:val="auto"/>
        </w:rPr>
      </w:pPr>
    </w:p>
    <w:p>
      <w:pPr>
        <w:ind w:left="1020" w:right="100" w:hanging="503"/>
        <w:spacing w:after="0" w:line="254"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w:t>
      </w:r>
    </w:p>
    <w:p>
      <w:pPr>
        <w:spacing w:after="0" w:line="86"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FCA, which prohibit any person or entity from, among other things, knowingly presenting, or causing to be presented, a false, fictitious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ind w:left="1020" w:right="60"/>
        <w:spacing w:after="0" w:line="259" w:lineRule="auto"/>
        <w:rPr>
          <w:sz w:val="20"/>
          <w:szCs w:val="20"/>
          <w:color w:val="auto"/>
        </w:rPr>
      </w:pPr>
      <w:r>
        <w:rPr>
          <w:rFonts w:ascii="Arial" w:cs="Arial" w:eastAsia="Arial" w:hAnsi="Arial"/>
          <w:sz w:val="18"/>
          <w:szCs w:val="18"/>
          <w:color w:val="auto"/>
        </w:rPr>
        <w:t>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w:t>
      </w:r>
    </w:p>
    <w:p>
      <w:pPr>
        <w:spacing w:after="0" w:line="79" w:lineRule="exact"/>
        <w:rPr>
          <w:sz w:val="20"/>
          <w:szCs w:val="20"/>
          <w:color w:val="auto"/>
        </w:rPr>
      </w:pPr>
    </w:p>
    <w:p>
      <w:pPr>
        <w:ind w:left="1020" w:right="40" w:hanging="503"/>
        <w:spacing w:after="0" w:line="254"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86" w:lineRule="exact"/>
        <w:rPr>
          <w:rFonts w:ascii="Arial" w:cs="Arial" w:eastAsia="Arial" w:hAnsi="Arial"/>
          <w:sz w:val="18"/>
          <w:szCs w:val="18"/>
          <w:color w:val="auto"/>
        </w:rPr>
      </w:pPr>
    </w:p>
    <w:p>
      <w:pPr>
        <w:ind w:left="1020" w:right="140" w:hanging="503"/>
        <w:spacing w:after="0" w:line="293"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(including physician assistants, nurse practitioners, clinical nurse specialists, certified nurse anesthetists, anesthesiology assistants and certified nurse-midwives) and teaching hospitals, as well as ownership and investment interests held by physicians and their immediate family members;</w:t>
      </w:r>
    </w:p>
    <w:p>
      <w:pPr>
        <w:spacing w:after="0" w:line="56" w:lineRule="exact"/>
        <w:rPr>
          <w:rFonts w:ascii="Arial" w:cs="Arial" w:eastAsia="Arial" w:hAnsi="Arial"/>
          <w:sz w:val="16"/>
          <w:szCs w:val="16"/>
          <w:color w:val="auto"/>
        </w:rPr>
      </w:pPr>
    </w:p>
    <w:p>
      <w:pPr>
        <w:ind w:left="1020" w:right="22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1020" w:right="20" w:hanging="503"/>
        <w:spacing w:after="0" w:line="254"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7019925</wp:posOffset>
            </wp:positionH>
            <wp:positionV relativeFrom="paragraph">
              <wp:posOffset>-1538605</wp:posOffset>
            </wp:positionV>
            <wp:extent cx="285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6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p>
    <w:p>
      <w:pPr>
        <w:spacing w:after="0" w:line="69"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ind w:right="580"/>
        <w:spacing w:after="0" w:line="277" w:lineRule="auto"/>
        <w:rPr>
          <w:sz w:val="20"/>
          <w:szCs w:val="20"/>
          <w:color w:val="auto"/>
        </w:rPr>
      </w:pPr>
      <w:r>
        <w:rPr>
          <w:rFonts w:ascii="Arial" w:cs="Arial" w:eastAsia="Arial" w:hAnsi="Arial"/>
          <w:sz w:val="18"/>
          <w:szCs w:val="18"/>
          <w:color w:val="auto"/>
        </w:rPr>
        <w:t>approval and commercialization of any drug candidate we develop outside the United States will also likely subject us to foreign equivalents of the healthcare laws mentioned above, among other foreign laws.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57" w:lineRule="exact"/>
        <w:rPr>
          <w:sz w:val="20"/>
          <w:szCs w:val="20"/>
          <w:color w:val="auto"/>
        </w:rPr>
      </w:pPr>
    </w:p>
    <w:p>
      <w:pPr>
        <w:ind w:firstLine="509"/>
        <w:spacing w:after="0" w:line="219" w:lineRule="exact"/>
        <w:rPr>
          <w:sz w:val="20"/>
          <w:szCs w:val="20"/>
          <w:color w:val="auto"/>
        </w:rPr>
      </w:pPr>
      <w:r>
        <w:rPr>
          <w:rFonts w:ascii="Arial" w:cs="Arial" w:eastAsia="Arial" w:hAnsi="Arial"/>
          <w:sz w:val="16"/>
          <w:szCs w:val="16"/>
          <w:color w:val="auto"/>
        </w:rPr>
        <w:t>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 to ours, and our ability to successfully commercialize our drug candidates and other drug candidates that we may pursue may be impaired. While we own some issued or allowed patents with respect to our programs, including our CHB and NASH programs, we do not own or in-license any issued patents with claims that specifically recite our ALG</w:t>
      </w:r>
      <w:r>
        <w:rPr>
          <w:rFonts w:ascii="MS PGothic" w:cs="MS PGothic" w:eastAsia="MS PGothic" w:hAnsi="MS PGothic"/>
          <w:sz w:val="16"/>
          <w:szCs w:val="16"/>
          <w:color w:val="auto"/>
        </w:rPr>
        <w:t>‑</w:t>
      </w:r>
      <w:r>
        <w:rPr>
          <w:rFonts w:ascii="Arial" w:cs="Arial" w:eastAsia="Arial" w:hAnsi="Arial"/>
          <w:sz w:val="16"/>
          <w:szCs w:val="16"/>
          <w:color w:val="auto"/>
        </w:rPr>
        <w:t>125755 or ALG</w:t>
      </w:r>
      <w:r>
        <w:rPr>
          <w:rFonts w:ascii="MS PGothic" w:cs="MS PGothic" w:eastAsia="MS PGothic" w:hAnsi="MS PGothic"/>
          <w:sz w:val="16"/>
          <w:szCs w:val="16"/>
          <w:color w:val="auto"/>
        </w:rPr>
        <w:t>‑</w:t>
      </w:r>
      <w:r>
        <w:rPr>
          <w:rFonts w:ascii="Arial" w:cs="Arial" w:eastAsia="Arial" w:hAnsi="Arial"/>
          <w:sz w:val="16"/>
          <w:szCs w:val="16"/>
          <w:color w:val="auto"/>
        </w:rPr>
        <w:t>097558 drug candidates. We can provide no assurance that any of our other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If a patent or patent application is determined to have an earlier priority date, it may prevent our patent applications from issuing at all or issuing in a form that provides any competitive advantage for our drug candidates. Failure to obtain additional issued patents could have a material adverse effect on our ability to develop and commercialize our drug candidates. Even if our patent applications do issue as patents, third parties may be able to challenge the validity and enforceability of our patents on a variety of grounds, including that such third party’s patents and patent applications have an earlier priority date, and if such challenges are successful, we may be required to obtain one or more licenses from such third parties, or be prohibited from commercializing our drug candidates.</w:t>
      </w:r>
    </w:p>
    <w:p>
      <w:pPr>
        <w:spacing w:after="0" w:line="287"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We seek to protect our proprietary positions by, among other things, filing patent applications in the United States and abroad related to our current drug candidates and other drug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Moreover, under certain of our license or collaboration agreements, we may not have the right to control the preparation, filing, prosecution and maintenance of patent applications, or to maintain the rights to patents licensed to or from third parties.</w:t>
      </w:r>
    </w:p>
    <w:p>
      <w:pPr>
        <w:spacing w:after="0" w:line="87"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We currently are the assignee of a number of U.S. provisional patent applications. U.S. provisional patent applications are not eligible to become issued patents until, among other things, we file a non-provisional patent application within 12 months of filing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w:t>
      </w:r>
    </w:p>
    <w:p>
      <w:pPr>
        <w:spacing w:after="0" w:line="56"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claimed in our patents or pending patent applications, or that we were the first to file for patent protection of such inventions.</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w:t>
      </w:r>
    </w:p>
    <w:p>
      <w:pPr>
        <w:spacing w:after="0" w:line="77"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p>
    <w:p>
      <w:pPr>
        <w:spacing w:after="0" w:line="78"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licensed patents and owned or licensed patent applications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79"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In addition to patent and other intellectual property rights we own or co-own, we have licensed, and may in the future license, patent and other intellectual property rights to and from other parties. In particular, we have in-licensed significant intellectual property rights from Emory and Luxna. Licenses may not provide us with exclusive rights to use the applicable intellectual property and technology in all relevant fields of use and in all territories in which we may wish to develop or commercialize our drug candidates, products (if approved) and technology in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future. As a result, we may not be able to prevent competitors from developing and commercializing competitive products or technologies.</w:t>
      </w:r>
    </w:p>
    <w:p>
      <w:pPr>
        <w:spacing w:after="0" w:line="225"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Luxna Agreement, we obtained a license from Luxna under patents relevant to certain aspects of our HBV programs as well as to various potential therapies, which we are pursuing to address SARS-CoV-2. Although we have review and comment rights regarding prosecution of patents that we license under the Luxna Agreement, Luxna retains ultimate decision-making control with respect to the prosecution of these patents. Additionally, under the Emory License Agreement, we obtained a license from Emory University under patents relevant to certain aspects of our small molecule CHB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Centre for Drug Design and Discovery under the KU Leuven Agreement, we are obligated to consult with such parties with respect to prosecution of these patents.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18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If we fail to comply with our obligations, including the obligation to make various milestone payments and royalty payments, under any of the agreements under which we license intellectual property rights from third parties, such as the Emory License Agreement or Luxna Agreement, the licensor may have the right to terminate the license. Under some of our in-license agreements, as a sublicensee, we may be obligated to comply with applicable requirements, limitations or obligations of our sublicensors to other third parties. For example, the Luxna Agreement includes rights that Luxna in-licensed from Osaka University (Osaka), which are in turn sublicensed to us. Prior to granting such rights to Luxna, Osaka granted certain rights to third parties and therefore the rights we in-license from Luxna are subject to such third-party rights. Although we understand that these rights granted to such third parties are for uses outside the scope of our business, license agreements are complex, subject to multiple interpretations and disputes may arise regarding scope of such licensed rights. Further, under the Luxna Agreement and other in-licenses under which we sublicense certain rights, we rely on Luxna and our other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w:t>
      </w:r>
    </w:p>
    <w:p>
      <w:pPr>
        <w:spacing w:after="0" w:line="182"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 manufacturing them or to develop or license replacement technology, all of which may not be feasible on a technical or commercial basis.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4" w:name="page75"/>
    <w:bookmarkEnd w:id="74"/>
    <w:p>
      <w:pPr>
        <w:ind w:right="40" w:firstLine="509"/>
        <w:spacing w:after="0" w:line="270" w:lineRule="auto"/>
        <w:rPr>
          <w:sz w:val="20"/>
          <w:szCs w:val="20"/>
          <w:color w:val="auto"/>
        </w:rPr>
      </w:pPr>
      <w:r>
        <w:rPr>
          <w:rFonts w:ascii="Arial" w:cs="Arial" w:eastAsia="Arial" w:hAnsi="Arial"/>
          <w:sz w:val="17"/>
          <w:szCs w:val="17"/>
          <w:color w:val="auto"/>
        </w:rPr>
        <w:t>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181" w:lineRule="exact"/>
        <w:rPr>
          <w:sz w:val="20"/>
          <w:szCs w:val="20"/>
          <w:color w:val="auto"/>
        </w:rPr>
      </w:pPr>
    </w:p>
    <w:p>
      <w:pPr>
        <w:jc w:val="both"/>
        <w:ind w:right="380" w:firstLine="509"/>
        <w:spacing w:after="0" w:line="263"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p>
    <w:p>
      <w:pPr>
        <w:spacing w:after="0" w:line="76"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and the extent to which technology and processes of one party infringe intellectual property of the other party that are not subject to the licensing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rights to sublicense patent and other rights to third parties;</w:t>
      </w:r>
    </w:p>
    <w:p>
      <w:pPr>
        <w:spacing w:after="0" w:line="117"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diligence obligations with respect to the use of the licensed technology in relation to development and commercialization of our drug candidates, and what activities satisfy those diligence obligations;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rights to transfer or assign the license;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effects of termination.</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w:t>
      </w:r>
    </w:p>
    <w:p>
      <w:pPr>
        <w:spacing w:after="0" w:line="8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 collaborators or strategic partners have rights, may result in the withdrawal of partner support for our drug candidates. Any of these developments could harm our product development efforts.</w:t>
      </w:r>
    </w:p>
    <w:p>
      <w:pPr>
        <w:spacing w:after="0" w:line="79"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the section titled “Business—License agreements and collaborations” of this report.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at all, our business could be harmed.</w:t>
      </w:r>
    </w:p>
    <w:p>
      <w:pPr>
        <w:spacing w:after="0" w:line="117"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drug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In June 2022, the license to such patents became non-exclusive with respect to all fields except for the treatment and prevention of HBV. For more information regarding our license agreements, see the section titled “Business—License agreements and collaborations” of this report. Any of the foregoing could harm our competitive position, business, financial condition, results of operations and prospects.</w:t>
      </w:r>
    </w:p>
    <w:p>
      <w:pPr>
        <w:spacing w:after="0" w:line="5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drug candidates.</w:t>
      </w:r>
    </w:p>
    <w:p>
      <w:pPr>
        <w:spacing w:after="0" w:line="38" w:lineRule="exact"/>
        <w:rPr>
          <w:sz w:val="20"/>
          <w:szCs w:val="20"/>
          <w:color w:val="auto"/>
        </w:rPr>
      </w:pPr>
    </w:p>
    <w:p>
      <w:pPr>
        <w:ind w:right="60" w:firstLine="509"/>
        <w:spacing w:after="0" w:line="286" w:lineRule="auto"/>
        <w:rPr>
          <w:sz w:val="20"/>
          <w:szCs w:val="20"/>
          <w:color w:val="auto"/>
        </w:rPr>
      </w:pPr>
      <w:r>
        <w:rPr>
          <w:rFonts w:ascii="Arial" w:cs="Arial" w:eastAsia="Arial" w:hAnsi="Arial"/>
          <w:sz w:val="16"/>
          <w:szCs w:val="16"/>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 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w:t>
      </w:r>
    </w:p>
    <w:p>
      <w:pPr>
        <w:spacing w:after="0" w:line="63" w:lineRule="exact"/>
        <w:rPr>
          <w:sz w:val="20"/>
          <w:szCs w:val="20"/>
          <w:color w:val="auto"/>
        </w:rPr>
      </w:pPr>
    </w:p>
    <w:p>
      <w:pPr>
        <w:ind w:right="60" w:firstLine="509"/>
        <w:spacing w:after="0" w:line="218" w:lineRule="exact"/>
        <w:rPr>
          <w:sz w:val="20"/>
          <w:szCs w:val="20"/>
          <w:color w:val="auto"/>
        </w:rPr>
      </w:pPr>
      <w:r>
        <w:rPr>
          <w:rFonts w:ascii="Arial" w:cs="Arial" w:eastAsia="Arial" w:hAnsi="Arial"/>
          <w:sz w:val="18"/>
          <w:szCs w:val="18"/>
          <w:color w:val="auto"/>
        </w:rPr>
        <w:t>We are aware of certain third-party issued patents and pending patent applications, including those of our competitors, that, if issued with their current claim scope, may be construed to cover our drug candidates, including ALG</w:t>
      </w:r>
      <w:r>
        <w:rPr>
          <w:rFonts w:ascii="MS PGothic" w:cs="MS PGothic" w:eastAsia="MS PGothic" w:hAnsi="MS PGothic"/>
          <w:sz w:val="18"/>
          <w:szCs w:val="18"/>
          <w:color w:val="auto"/>
        </w:rPr>
        <w:t>‑</w:t>
      </w:r>
      <w:r>
        <w:rPr>
          <w:rFonts w:ascii="Arial" w:cs="Arial" w:eastAsia="Arial" w:hAnsi="Arial"/>
          <w:sz w:val="18"/>
          <w:szCs w:val="18"/>
          <w:color w:val="auto"/>
        </w:rPr>
        <w:t>055009 and ALG</w:t>
      </w:r>
      <w:r>
        <w:rPr>
          <w:rFonts w:ascii="MS PGothic" w:cs="MS PGothic" w:eastAsia="MS PGothic" w:hAnsi="MS PGothic"/>
          <w:sz w:val="18"/>
          <w:szCs w:val="18"/>
          <w:color w:val="auto"/>
        </w:rPr>
        <w:t>‑</w:t>
      </w:r>
      <w:r>
        <w:rPr>
          <w:rFonts w:ascii="Arial" w:cs="Arial" w:eastAsia="Arial" w:hAnsi="Arial"/>
          <w:sz w:val="18"/>
          <w:szCs w:val="18"/>
          <w:color w:val="auto"/>
        </w:rPr>
        <w:t>125755. In the event that any of these patents were asserted against us, we believe that we would have defenses against any such action, including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ind w:firstLine="509"/>
        <w:spacing w:after="0" w:line="273" w:lineRule="auto"/>
        <w:rPr>
          <w:sz w:val="20"/>
          <w:szCs w:val="20"/>
          <w:color w:val="auto"/>
        </w:rPr>
      </w:pPr>
      <w:r>
        <w:rPr>
          <w:rFonts w:ascii="Arial" w:cs="Arial" w:eastAsia="Arial" w:hAnsi="Arial"/>
          <w:sz w:val="17"/>
          <w:szCs w:val="17"/>
          <w:color w:val="auto"/>
        </w:rPr>
        <w:t>In addition, 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establish our competitive position on our drug candidates for an adequate amount of time.</w:t>
      </w:r>
    </w:p>
    <w:p>
      <w:pPr>
        <w:spacing w:after="0" w:line="11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w:t>
      </w:r>
    </w:p>
    <w:p>
      <w:pPr>
        <w:spacing w:after="0" w:line="87"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Depending upon the timing, duration and conditions of any FDA marketing approval of our drug candidates, one or more of our owned or licensed U.S. patents may be eligible for limited patent term extension under the Hatch-Waxman Act, and similar legislation in the EU and certain other countries. The Hatch-Waxman Act permits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w:t>
      </w:r>
    </w:p>
    <w:p>
      <w:pPr>
        <w:spacing w:after="0" w:line="78"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 application filed with the FDA to obtain permission to sell a generic version of such drug candidate. Any of the foregoing could harm our competitive position, business, financial condition, results of operations and prospects.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w:t>
      </w:r>
    </w:p>
    <w:p>
      <w:pPr>
        <w:spacing w:after="0" w:line="7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87"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56" w:lineRule="exact"/>
        <w:rPr>
          <w:sz w:val="20"/>
          <w:szCs w:val="20"/>
          <w:color w:val="auto"/>
        </w:rPr>
      </w:pPr>
    </w:p>
    <w:p>
      <w:pPr>
        <w:ind w:right="160" w:firstLine="509"/>
        <w:spacing w:after="0" w:line="271" w:lineRule="auto"/>
        <w:rPr>
          <w:sz w:val="20"/>
          <w:szCs w:val="20"/>
          <w:color w:val="auto"/>
        </w:rPr>
      </w:pPr>
      <w:r>
        <w:rPr>
          <w:rFonts w:ascii="Arial" w:cs="Arial" w:eastAsia="Arial" w:hAnsi="Arial"/>
          <w:sz w:val="17"/>
          <w:szCs w:val="17"/>
          <w:color w:val="auto"/>
        </w:rPr>
        <w:t>In 2012, the European Patent Package, or EU Patent Package, regulations were passed with the goal of providing a single pan-European Unitary Patent and a new European Unified Patent Court, or UPC, for litigation involving European patents. Implementation of the EU Patent Package will likely occur in the first half of 2023.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will have the right to opt our patents out of the UPC over the first seven years of the court’s existence, but doing so may preclude us from realizing the benefits of the new unified court.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drug candidates.</w:t>
      </w:r>
    </w:p>
    <w:p>
      <w:pPr>
        <w:spacing w:after="0" w:line="117"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w:t>
      </w:r>
    </w:p>
    <w:p>
      <w:pPr>
        <w:spacing w:after="0" w:line="87"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and our collaborators’ or licensors’ patent applications and the enforcement or defense of our or our collaborators’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8" w:name="page79"/>
    <w:bookmarkEnd w:id="78"/>
    <w:p>
      <w:pPr>
        <w:spacing w:after="0" w:line="286" w:lineRule="auto"/>
        <w:rPr>
          <w:sz w:val="20"/>
          <w:szCs w:val="20"/>
          <w:color w:val="auto"/>
        </w:rPr>
      </w:pPr>
      <w:r>
        <w:rPr>
          <w:rFonts w:ascii="Arial" w:cs="Arial" w:eastAsia="Arial" w:hAnsi="Arial"/>
          <w:sz w:val="16"/>
          <w:szCs w:val="16"/>
          <w:color w:val="auto"/>
        </w:rPr>
        <w:t xml:space="preserve">licensors’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The USPTO has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spacing w:after="0" w:line="63"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p>
    <w:p>
      <w:pPr>
        <w:spacing w:after="0" w:line="1"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 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60"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9" w:name="page80"/>
    <w:bookmarkEnd w:id="79"/>
    <w:p>
      <w:pPr>
        <w:ind w:right="320"/>
        <w:spacing w:after="0" w:line="277" w:lineRule="auto"/>
        <w:rPr>
          <w:sz w:val="20"/>
          <w:szCs w:val="20"/>
          <w:color w:val="auto"/>
        </w:rPr>
      </w:pPr>
      <w:r>
        <w:rPr>
          <w:rFonts w:ascii="Arial" w:cs="Arial" w:eastAsia="Arial" w:hAnsi="Arial"/>
          <w:sz w:val="18"/>
          <w:szCs w:val="18"/>
          <w:color w:val="auto"/>
        </w:rPr>
        <w:t>technology related to the patent rendered invalid or unenforceable. Such a loss of patent rights would materially harm our business, financial condition, results of operations and prospects.</w:t>
      </w:r>
    </w:p>
    <w:p>
      <w:pPr>
        <w:spacing w:after="0" w:line="6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79"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62"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62"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 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0" w:name="page81"/>
    <w:bookmarkEnd w:id="80"/>
    <w:p>
      <w:pPr>
        <w:ind w:firstLine="509"/>
        <w:spacing w:after="0" w:line="285" w:lineRule="auto"/>
        <w:rPr>
          <w:sz w:val="20"/>
          <w:szCs w:val="20"/>
          <w:color w:val="auto"/>
        </w:rPr>
      </w:pPr>
      <w:r>
        <w:rPr>
          <w:rFonts w:ascii="Arial" w:cs="Arial" w:eastAsia="Arial" w:hAnsi="Arial"/>
          <w:sz w:val="16"/>
          <w:szCs w:val="16"/>
          <w:color w:val="auto"/>
        </w:rPr>
        <w:t>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infringed, misappropriated or otherwise violated their intellectual property rights, or claiming ownership of what we regard as our own intellectual property.</w:t>
      </w:r>
    </w:p>
    <w:p>
      <w:pPr>
        <w:spacing w:after="0" w:line="6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w:t>
      </w:r>
    </w:p>
    <w:p>
      <w:pPr>
        <w:spacing w:after="0" w:line="84"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drug candidates and be a distraction to management. Any of the foregoing events would harm our business, financial condition, results of operations and prospects.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 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1" w:name="page82"/>
    <w:bookmarkEnd w:id="81"/>
    <w:p>
      <w:pPr>
        <w:ind w:right="60"/>
        <w:spacing w:after="0" w:line="277" w:lineRule="auto"/>
        <w:rPr>
          <w:sz w:val="20"/>
          <w:szCs w:val="20"/>
          <w:color w:val="auto"/>
        </w:rPr>
      </w:pPr>
      <w:r>
        <w:rPr>
          <w:rFonts w:ascii="Arial" w:cs="Arial" w:eastAsia="Arial" w:hAnsi="Arial"/>
          <w:sz w:val="18"/>
          <w:szCs w:val="18"/>
          <w:color w:val="auto"/>
        </w:rPr>
        <w:t>distraction to management and other employees. Any of the foregoing could have a material adverse effect on our business, financial condition, results of operations and prospects.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degree of future protection, if any,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1020" w:right="22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drug candidates we may develop or utilize similar technology but that are not covered by the claims of the patents that we license or may own in the future;</w:t>
      </w:r>
    </w:p>
    <w:p>
      <w:pPr>
        <w:spacing w:after="0" w:line="62"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may own in the future;</w:t>
      </w:r>
    </w:p>
    <w:p>
      <w:pPr>
        <w:spacing w:after="0" w:line="62"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is possible that our pending owned or licensed patent applications or those that we may own or license in the future will not lead to issued patents;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28" w:lineRule="exact"/>
        <w:rPr>
          <w:rFonts w:ascii="Arial" w:cs="Arial" w:eastAsia="Arial" w:hAnsi="Arial"/>
          <w:sz w:val="17"/>
          <w:szCs w:val="17"/>
          <w:color w:val="auto"/>
        </w:rPr>
      </w:pPr>
    </w:p>
    <w:p>
      <w:pPr>
        <w:ind w:left="1020" w:right="600" w:hanging="503"/>
        <w:spacing w:after="0" w:line="308" w:lineRule="auto"/>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intellectual property rights of others may harm our business; and</w:t>
      </w:r>
    </w:p>
    <w:p>
      <w:pPr>
        <w:spacing w:after="0" w:line="117"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directed to such intellectual property.</w:t>
      </w:r>
    </w:p>
    <w:p>
      <w:pPr>
        <w:spacing w:after="0" w:line="62" w:lineRule="exact"/>
        <w:rPr>
          <w:sz w:val="20"/>
          <w:szCs w:val="20"/>
          <w:color w:val="auto"/>
        </w:rPr>
      </w:pPr>
    </w:p>
    <w:p>
      <w:pPr>
        <w:ind w:right="1980" w:firstLine="509"/>
        <w:spacing w:after="0" w:line="397" w:lineRule="auto"/>
        <w:rPr>
          <w:sz w:val="20"/>
          <w:szCs w:val="20"/>
          <w:color w:val="auto"/>
        </w:rPr>
      </w:pPr>
      <w:r>
        <w:rPr>
          <w:rFonts w:ascii="Arial" w:cs="Arial" w:eastAsia="Arial" w:hAnsi="Arial"/>
          <w:sz w:val="17"/>
          <w:szCs w:val="17"/>
          <w:color w:val="auto"/>
        </w:rPr>
        <w:t xml:space="preserve">Should any of these events occur, they could harm our business, financial condition, results of operations and prospects. </w:t>
      </w:r>
      <w:r>
        <w:rPr>
          <w:rFonts w:ascii="Arial" w:cs="Arial" w:eastAsia="Arial" w:hAnsi="Arial"/>
          <w:sz w:val="17"/>
          <w:szCs w:val="17"/>
          <w:b w:val="1"/>
          <w:bCs w:val="1"/>
          <w:color w:val="auto"/>
        </w:rPr>
        <w:t>Risks related to employee matters, managing our growth and other risks related to our business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We are highly dependent on our management, scientific and medical personnel, including our Chief Executive Officer, Dr. Blatt, and our President, Dr. Beigelman. The loss of the services of any of them may adversely impact the achievement of our objectives. Any of our executive officers could leave our employment at any time, as all of our employees are “at-will” employees. We currently do not have “key person” insurance on any of our employees.</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82" w:name="page83"/>
    <w:bookmarkEnd w:id="82"/>
    <w:p>
      <w:pPr>
        <w:ind w:right="20" w:firstLine="509"/>
        <w:spacing w:after="0" w:line="254" w:lineRule="auto"/>
        <w:rPr>
          <w:sz w:val="20"/>
          <w:szCs w:val="20"/>
          <w:color w:val="auto"/>
        </w:rPr>
      </w:pPr>
      <w:r>
        <w:rPr>
          <w:rFonts w:ascii="Arial" w:cs="Arial" w:eastAsia="Arial" w:hAnsi="Arial"/>
          <w:sz w:val="18"/>
          <w:szCs w:val="18"/>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 of services of certain executives, significant employees, consultants or advisors, may impede the progress of our research, development and commercialization objectives and have a material adverse effect on our business, financial condition, results of operations and prospects.</w:t>
      </w:r>
    </w:p>
    <w:p>
      <w:pPr>
        <w:spacing w:after="0" w:line="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62"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drug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1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As of December 31, 2022, we had 83 full-time employees, including 66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79"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1020" w:hanging="503"/>
        <w:spacing w:after="0" w:line="308"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our current drug candidates and any other drug candidate we develop, while complying with our contractual obligations to contractors and other third parties;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expanding and enhancing our operational, financial and management controls, reporting systems and procedures.</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3" w:name="page84"/>
    <w:bookmarkEnd w:id="83"/>
    <w:p>
      <w:pPr>
        <w:ind w:right="40" w:firstLine="509"/>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substantially all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 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w:t>
      </w:r>
    </w:p>
    <w:p>
      <w:pPr>
        <w:spacing w:after="0" w:line="58"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If we are not able to effectively expand our organization by hiring new employees and expanding our groups 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w:t>
      </w:r>
    </w:p>
    <w:p>
      <w:pPr>
        <w:spacing w:after="0" w:line="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240" w:firstLine="509"/>
        <w:spacing w:after="0" w:line="293"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w:t>
      </w:r>
    </w:p>
    <w:p>
      <w:pPr>
        <w:spacing w:after="0" w:line="56"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and as such we would have to pay the full amount of any resultant liability out of pocket, which could significantly impair our financial condition.</w:t>
      </w:r>
    </w:p>
    <w:p>
      <w:pPr>
        <w:spacing w:after="0" w:line="8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corporate headquarters and other facilities are located in the San Francisco Bay Area, which in the past has experienced both severe earthquakes and wildfires. We are also conducting clinical trials in New Zealand, an area also known for earthquakes.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 prospects. Furthermore, integral parties in our supply chain are similarly vulnerable to natural disasters or other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4" w:name="page85"/>
    <w:bookmarkEnd w:id="84"/>
    <w:p>
      <w:pPr>
        <w:spacing w:after="0"/>
        <w:rPr>
          <w:sz w:val="20"/>
          <w:szCs w:val="20"/>
          <w:color w:val="auto"/>
        </w:rPr>
      </w:pPr>
      <w:r>
        <w:rPr>
          <w:rFonts w:ascii="Arial" w:cs="Arial" w:eastAsia="Arial" w:hAnsi="Arial"/>
          <w:sz w:val="16"/>
          <w:szCs w:val="16"/>
          <w:color w:val="auto"/>
        </w:rPr>
        <w:t>sudden, unforeseen and severe adverse events. If such an event were to affect our supply chain, it could have a material adverse effect on our business.</w:t>
      </w:r>
    </w:p>
    <w:p>
      <w:pPr>
        <w:spacing w:after="0" w:line="14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vendors, principal investigators, CROs, consultants and collaborators may engage in misconduct or other improper activities, including non-compliance with regulatory standards and requirements and insider trading.</w:t>
      </w:r>
    </w:p>
    <w:p>
      <w:pPr>
        <w:spacing w:after="0" w:line="38"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investors.</w:t>
      </w:r>
    </w:p>
    <w:p>
      <w:pPr>
        <w:spacing w:after="0" w:line="1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The ongoing COVID-19 pandemic, for example, has negatively affected the stock market and investor sentiment and has resulted in significant volatility. The market price for our common stock may be influenced by many factors, including:</w:t>
      </w:r>
    </w:p>
    <w:p>
      <w:pPr>
        <w:spacing w:after="0" w:line="79"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our and competitive products or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results of clinical trials and nonclinical studies or those of our competitors;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expenses related to our drug candidates or clinical development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drug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5" w:name="page86"/>
    <w:bookmarkEnd w:id="85"/>
    <w:p>
      <w:pPr>
        <w:ind w:left="1020" w:hanging="503"/>
        <w:spacing w:after="0"/>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general economic, political, and market conditions and overall fluctuations in the financial markets in the United States and abroad;</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COVID-19 pandemic;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w:t>
      </w:r>
    </w:p>
    <w:p>
      <w:pPr>
        <w:spacing w:after="0" w:line="225"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76"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further negative effect on the market price of our common stock.</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Prior to our initial public offering in October 2020, there was no public market for shares of our common stock and an active trading market for our shares may not be sustained. In the absence of an active trading market for our common stock, investors may not be able to sell their common stock at a price or at the time that they would like to sell.</w:t>
      </w:r>
    </w:p>
    <w:p>
      <w:pPr>
        <w:spacing w:after="0" w:line="76"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An inactive market may also impair our ability to raise capital by selling shares and may impair our ability to acquire other drug candidates, businesses, or technologies using our shares as consideration.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Therefore, investors are not likely to receive any dividends on common stock owned by them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w:t>
      </w:r>
    </w:p>
    <w:p>
      <w:pPr>
        <w:spacing w:after="0" w:line="8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38"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For as long as we continue to be an emerging growth company, we may take advantage of exemptions from various reporting requirements that are applicable to other public companies that are not emerging growth companies, including the auditor attestation requirements of Section 404 of the Sarbanes-Oxley Act, certain disclosure obligations regarding executive compensation and the requirements of holding nonbinding advisory votes on executive compensation and stockholder approval of any golden parachute payments not previously approved. We could be an emerging growth company for up to five years following the year of our IPO, although circumstances could cause us to lose that status earlier. We will remain an emerging growth company until the earlier of (1) the last day of the fiscal year (a) following the fifth anniversary of the completion of our IPO, (b) in which we have total annual gross revenue of at least $1.235 billion or (c) in which we are deemed to be a large accelerated filer, which requires the market value of our common stock that is held by non-affiliates to exceed $700.0 million as of the prior June 30th, and (2) the date on which we have issued more than $1.0 billion in non-convertible debt during the prior three-year period.</w:t>
      </w:r>
    </w:p>
    <w:p>
      <w:pPr>
        <w:spacing w:after="0" w:line="86" w:lineRule="exact"/>
        <w:rPr>
          <w:sz w:val="20"/>
          <w:szCs w:val="20"/>
          <w:color w:val="auto"/>
        </w:rPr>
      </w:pPr>
    </w:p>
    <w:p>
      <w:pPr>
        <w:jc w:val="both"/>
        <w:ind w:right="240" w:firstLine="509"/>
        <w:spacing w:after="0" w:line="263"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6" w:name="page87"/>
    <w:bookmarkEnd w:id="86"/>
    <w:p>
      <w:pPr>
        <w:spacing w:after="0" w:line="263" w:lineRule="auto"/>
        <w:rPr>
          <w:sz w:val="20"/>
          <w:szCs w:val="20"/>
          <w:color w:val="auto"/>
        </w:rPr>
      </w:pPr>
      <w:r>
        <w:rPr>
          <w:rFonts w:ascii="Arial" w:cs="Arial" w:eastAsia="Arial" w:hAnsi="Arial"/>
          <w:sz w:val="18"/>
          <w:szCs w:val="18"/>
          <w:color w:val="auto"/>
        </w:rPr>
        <w:t>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76"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Even after we no longer qualify as an emerging growth company, we may continue to qualify as a smaller reporting company, which would allow us to rely on certain reduced disclosure requirements, such as an exemption from providing selected financial data and executive compensation information. We are also exempt from the requirement to obtain an external audit on the effectiveness of internal control over financial reporting provided in Section 404(b) of the Sarbanes-Oxley Act. These exemptions and reduced disclosures due to our status as a smaller reporting company mean that our auditors do not review our internal controls over financial reporting and may make it harder for investors to analyze our results of operations and financial prospects.</w:t>
      </w:r>
    </w:p>
    <w:p>
      <w:pPr>
        <w:spacing w:after="0" w:line="53"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as an emerging growth company and a smaller reporting company. If some investors find our common stock less attractive as a result, there may be a less active trading market for our common stock and our stock price may be more volatile.</w:t>
      </w:r>
    </w:p>
    <w:p>
      <w:pPr>
        <w:spacing w:after="0" w:line="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their affiliates have significant influence over our company, which will limit an investor’s ability to influence corporate matters and could delay or prevent a change in corporate control.</w:t>
      </w:r>
    </w:p>
    <w:p>
      <w:pPr>
        <w:spacing w:after="0" w:line="62"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As of December 31, 2022, our executive officers, directors and their affiliates beneficially own, in the aggregate, approximately 46.1% of our outstanding common stock (assuming all shares of non-voting common stock are converted into voting common stock in accordance with the terms of our amended and restated certificate of incorporation).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53"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may limit the ability to influence corporate matters and may limit the visibility with respect to certain transactions.</w:t>
      </w:r>
    </w:p>
    <w:p>
      <w:pPr>
        <w:spacing w:after="0" w:line="62"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the exercise by holders of our non-voting common stock of their option to make this conversion will have the effect of increasing the relative voting power of such holders, and correspondingly decreasing the voting power of the holders of our common stock, which may limit an investor’s ability to influence corporate matters. As of December 31, 2022, we had 3,092,338 shares of non-voting common stock outstanding. Additionally, stockholders who hold, in the aggregate, more than 10% of our common stock and non-voting common stock, but 10% or less of our common stock, and are not otherwise a company insider, may not be required to report changes in their ownership due to transactions in our non-voting common stock pursuant to Section 16(a) of the Exchange Act of 1934, as amended</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(the Exchange Act), and may not be subject to the short-swing profit provisions of Section 16(b) of the Exchange 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market price of our common stock could decline.</w:t>
      </w:r>
    </w:p>
    <w:p>
      <w:pPr>
        <w:spacing w:after="0" w:line="6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As of December 31, 2022 approximately 10.8 million shares of common stock that are either subject to outstanding options or reserved for future issuance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79"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In addition, the holders of approximately 42.9 million of our total common stock and non-voting common stock are entitled to rights with respect to the registration of their shares under the Securities Act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(NOL) carryforwards and other pre-change tax attributes to offset its post-change income may be limited. We performed a Code Section 382 analysis in 2021 and determined there was an ownership change that resulted in Section 382 limitations. The ownership change limited our ability to utilize NOLs against future taxable income but will not result in the expiration of any NOLs. We may have experienced additional ownership changes in the past and may in the future experience ownership changes as a result of changes in our stock ownership (some of which are not in our control). In addition, under current tax law, federal NOL carryforwards generated in periods after December 31, 2017, may be carried forward indefinitely but, in taxable years beginning after December 31, 2020, may only be used to offset 80% of our taxable income. For these reasons, our ability to utilize our NOL carryforwards and other tax attributes to reduce future tax liabilities may be limited.</w:t>
      </w:r>
    </w:p>
    <w:p>
      <w:pPr>
        <w:spacing w:after="0" w:line="8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If no or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79"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Pursuant to Section 404 of Sarbanes-Oxley, our management is required to report upon the effectiveness of our internal control over financial reporting for our fiscal year ended December 31, 2022.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 all of which will entail additional expense.</w:t>
      </w:r>
    </w:p>
    <w:p>
      <w:pPr>
        <w:spacing w:after="0" w:line="56"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8" w:name="page89"/>
    <w:bookmarkEnd w:id="88"/>
    <w:p>
      <w:pPr>
        <w:spacing w:after="0" w:line="275" w:lineRule="auto"/>
        <w:rPr>
          <w:sz w:val="20"/>
          <w:szCs w:val="20"/>
          <w:color w:val="auto"/>
        </w:rPr>
      </w:pPr>
      <w:r>
        <w:rPr>
          <w:rFonts w:ascii="Arial" w:cs="Arial" w:eastAsia="Arial" w:hAnsi="Arial"/>
          <w:sz w:val="17"/>
          <w:szCs w:val="17"/>
          <w:color w:val="auto"/>
        </w:rPr>
        <w:t>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6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62" w:lineRule="exact"/>
        <w:rPr>
          <w:sz w:val="20"/>
          <w:szCs w:val="20"/>
          <w:color w:val="auto"/>
        </w:rPr>
      </w:pPr>
    </w:p>
    <w:p>
      <w:pPr>
        <w:ind w:right="240" w:firstLine="509"/>
        <w:spacing w:after="0" w:line="308"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p>
    <w:p>
      <w:pPr>
        <w:spacing w:after="0" w:line="38" w:lineRule="exact"/>
        <w:rPr>
          <w:sz w:val="20"/>
          <w:szCs w:val="20"/>
          <w:color w:val="auto"/>
        </w:rPr>
      </w:pPr>
    </w:p>
    <w:p>
      <w:pPr>
        <w:ind w:left="1020" w:right="26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1020" w:right="500" w:hanging="503"/>
        <w:spacing w:after="0" w:line="342" w:lineRule="auto"/>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5" w:lineRule="exact"/>
        <w:rPr>
          <w:rFonts w:ascii="Arial" w:cs="Arial" w:eastAsia="Arial" w:hAnsi="Arial"/>
          <w:sz w:val="16"/>
          <w:szCs w:val="16"/>
          <w:color w:val="auto"/>
        </w:rPr>
      </w:pPr>
    </w:p>
    <w:p>
      <w:pPr>
        <w:jc w:val="both"/>
        <w:ind w:left="1020" w:right="100" w:hanging="503"/>
        <w:spacing w:after="0" w:line="263"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17" w:lineRule="exact"/>
        <w:rPr>
          <w:rFonts w:ascii="Arial" w:cs="Arial" w:eastAsia="Arial" w:hAnsi="Arial"/>
          <w:sz w:val="18"/>
          <w:szCs w:val="18"/>
          <w:color w:val="auto"/>
        </w:rPr>
      </w:pPr>
    </w:p>
    <w:p>
      <w:pPr>
        <w:ind w:left="1020" w:right="140" w:hanging="503"/>
        <w:spacing w:after="0" w:line="263"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75"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1020" w:right="120" w:hanging="503"/>
        <w:spacing w:after="0" w:line="263"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our chief executive officer or, in the absence of a chief executive officer, president or by the board of directors, which may delay the ability of our stockholders to force consideration of a proposal or to take action, including the removal of directors; and</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76"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9" w:name="page90"/>
    <w:bookmarkEnd w:id="89"/>
    <w:p>
      <w:pPr>
        <w:ind w:right="480" w:firstLine="509"/>
        <w:spacing w:after="0" w:line="277"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62" w:lineRule="exact"/>
        <w:rPr>
          <w:sz w:val="20"/>
          <w:szCs w:val="20"/>
          <w:color w:val="auto"/>
        </w:rPr>
      </w:pPr>
    </w:p>
    <w:p>
      <w:pPr>
        <w:ind w:left="1020" w:right="100" w:hanging="503"/>
        <w:spacing w:after="0" w:line="279"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3" w:lineRule="exact"/>
        <w:rPr>
          <w:rFonts w:ascii="Arial" w:cs="Arial" w:eastAsia="Arial" w:hAnsi="Arial"/>
          <w:sz w:val="17"/>
          <w:szCs w:val="17"/>
          <w:color w:val="auto"/>
        </w:rPr>
      </w:pPr>
    </w:p>
    <w:p>
      <w:pPr>
        <w:ind w:left="1020" w:hanging="503"/>
        <w:spacing w:after="0"/>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40" w:lineRule="exact"/>
        <w:rPr>
          <w:rFonts w:ascii="Arial" w:cs="Arial" w:eastAsia="Arial" w:hAnsi="Arial"/>
          <w:sz w:val="16"/>
          <w:szCs w:val="16"/>
          <w:color w:val="auto"/>
        </w:rPr>
      </w:pPr>
    </w:p>
    <w:p>
      <w:pPr>
        <w:jc w:val="both"/>
        <w:ind w:left="1020" w:right="180" w:hanging="503"/>
        <w:spacing w:after="0" w:line="342" w:lineRule="auto"/>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 w:lineRule="exact"/>
        <w:rPr>
          <w:rFonts w:ascii="Arial" w:cs="Arial" w:eastAsia="Arial" w:hAnsi="Arial"/>
          <w:sz w:val="16"/>
          <w:szCs w:val="16"/>
          <w:color w:val="auto"/>
        </w:rPr>
      </w:pPr>
    </w:p>
    <w:p>
      <w:pPr>
        <w:ind w:left="1020" w:right="340" w:hanging="503"/>
        <w:spacing w:after="0" w:line="308"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will not be obligated pursuant to our amended and restated bylaws to indemnify a person with respect to proceedings initiated by that person against us or our other indemnitees, except with respect to proceedings authorized by our board of directors;</w:t>
      </w:r>
    </w:p>
    <w:p>
      <w:pPr>
        <w:spacing w:after="0" w:line="38" w:lineRule="exact"/>
        <w:rPr>
          <w:rFonts w:ascii="Arial" w:cs="Arial" w:eastAsia="Arial" w:hAnsi="Arial"/>
          <w:sz w:val="17"/>
          <w:szCs w:val="17"/>
          <w:color w:val="auto"/>
        </w:rPr>
      </w:pPr>
    </w:p>
    <w:p>
      <w:pPr>
        <w:ind w:left="1020" w:right="540" w:hanging="503"/>
        <w:spacing w:after="0" w:line="342" w:lineRule="auto"/>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rights conferred in our amended and restated bylaws are not exclusive, and we are authorized to enter and have entered into indemnification agreements with our directors, officers, employees and agents and to obtain insurance to indemnify such persons; and</w:t>
      </w:r>
    </w:p>
    <w:p>
      <w:pPr>
        <w:spacing w:after="0" w:line="15" w:lineRule="exact"/>
        <w:rPr>
          <w:rFonts w:ascii="Arial" w:cs="Arial" w:eastAsia="Arial" w:hAnsi="Arial"/>
          <w:sz w:val="16"/>
          <w:szCs w:val="16"/>
          <w:color w:val="auto"/>
        </w:rPr>
      </w:pPr>
    </w:p>
    <w:p>
      <w:pPr>
        <w:ind w:left="1020" w:right="140" w:hanging="503"/>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6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 Delaware; or any action asserting a claim against us that is governed by the internal affairs doctrine.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 to our technologies.</w:t>
      </w:r>
    </w:p>
    <w:p>
      <w:pPr>
        <w:spacing w:after="0" w:line="14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To date, we have primarily financed our operations through the sale of common stock, preferred stock and convertible notes. We will be required to seek additional funding in the future and may to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Attempting to secure additional financing may also divert our management’s attention from our day-to-day activities, which may adversely affect our ability to develop our drug candidates.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stock price and results of operations.</w:t>
      </w:r>
    </w:p>
    <w:p>
      <w:pPr>
        <w:spacing w:after="0" w:line="129"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2008 global financial crisis caused extreme volatility and disruptions in the capital and credit markets. In addition, Russia began a full-scale invasion of Ukraine in February 2022 which is the largest conventional military attack in Europe since World II and has triggered unprecedented sanctions against Russia. While the situation remains highly fluid and the outlook of such war in Ukraine is subject to extraordinary uncertainty, the ongoing war and associated sanctions will likely have a severe impact on the global economy. A severe or prolonged economic downturn, such as the 2008 global financial crisis, and one that could be caused by the war in Ukraine, could result in a variety of risks to our business, including, weakened demand for any drug candidates we may develop and our ability to raise additional capital when needed on acceptable terms, if at all. A weak or declining economy or disruptions in the supply chain generally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any general economic downturn.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policies are expensive and protect us only from some business risks, which leaves us exposed to significant uninsured liabilities.</w:t>
      </w:r>
    </w:p>
    <w:p>
      <w:pPr>
        <w:spacing w:after="0" w:line="140"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w:t>
      </w:r>
    </w:p>
    <w:p>
      <w:pPr>
        <w:spacing w:after="0" w:line="53"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The continuing impact of “Brexit” may have a negative effect on our business.</w:t>
      </w:r>
    </w:p>
    <w:p>
      <w:pPr>
        <w:spacing w:after="0" w:line="117" w:lineRule="exact"/>
        <w:rPr>
          <w:sz w:val="20"/>
          <w:szCs w:val="20"/>
          <w:color w:val="auto"/>
        </w:rPr>
      </w:pPr>
    </w:p>
    <w:p>
      <w:pPr>
        <w:ind w:right="60" w:firstLine="630"/>
        <w:spacing w:after="0" w:line="255" w:lineRule="auto"/>
        <w:rPr>
          <w:sz w:val="20"/>
          <w:szCs w:val="20"/>
          <w:color w:val="auto"/>
        </w:rPr>
      </w:pPr>
      <w:r>
        <w:rPr>
          <w:rFonts w:ascii="Arial" w:cs="Arial" w:eastAsia="Arial" w:hAnsi="Arial"/>
          <w:sz w:val="18"/>
          <w:szCs w:val="18"/>
          <w:color w:val="auto"/>
        </w:rPr>
        <w:t>Following a national referendum and subsequent legislation, the United Kingdom formally withdrew from the European Union, commonly referred to as “Brexit,” and ratified a trade and cooperation agreement governing its future relationship with the European Union. Among other things, the agreement, which became effective in 2021, addresses trade, economic arrangements, law enforcement, judicial cooperation and governance. Because the agreement merely sets forth a framework in many respects that requires complex additional bilateral negotiations between the United Kingdom and the European Union, significant uncertainty remains about how the precise terms of the relationship between the parties will differ from the terms before withdrawal.</w:t>
      </w:r>
    </w:p>
    <w:p>
      <w:pPr>
        <w:spacing w:after="0" w:line="84" w:lineRule="exact"/>
        <w:rPr>
          <w:sz w:val="20"/>
          <w:szCs w:val="20"/>
          <w:color w:val="auto"/>
        </w:rPr>
      </w:pPr>
    </w:p>
    <w:p>
      <w:pPr>
        <w:ind w:firstLine="630"/>
        <w:spacing w:after="0" w:line="277" w:lineRule="auto"/>
        <w:rPr>
          <w:sz w:val="20"/>
          <w:szCs w:val="20"/>
          <w:color w:val="auto"/>
        </w:rPr>
      </w:pPr>
      <w:r>
        <w:rPr>
          <w:rFonts w:ascii="Arial" w:cs="Arial" w:eastAsia="Arial" w:hAnsi="Arial"/>
          <w:sz w:val="18"/>
          <w:szCs w:val="18"/>
          <w:color w:val="auto"/>
        </w:rPr>
        <w:t>We cannot yet predict the full implications of Brexit, including whether it will increase our operational costs or otherwise have a negative effect on our business, financial condition or results of operations, which could reduce the price of our common stock.</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violations of which can have serious negative consequences for our business.</w:t>
      </w:r>
    </w:p>
    <w:p>
      <w:pPr>
        <w:spacing w:after="0" w:line="62"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U.S. and foreign anti-corruption, anti-money laundering, export control, sanctions, and other trade laws and regulations (collectively, Trade Laws), prohibit, among other matters,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w:t>
      </w:r>
    </w:p>
    <w:p>
      <w:pPr>
        <w:spacing w:after="0" w:line="7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Periodic maintenance fees, renewal fees, annuity fees, and various other fees are required to be paid to the USPTO and foreign patent agencies in several stages over the lifetime of a patent. In certain circumstances, we rely on our collaborators or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fail to maintain the patents and patent applications covering our drug candidates, our competitors might be able to enter the market with similar or identical products or technology, which would harm our business, financial condition, results of operations and prospects.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2" w:name="page93"/>
    <w:bookmarkEnd w:id="92"/>
    <w:p>
      <w:pPr>
        <w:ind w:right="220"/>
        <w:spacing w:after="0" w:line="257" w:lineRule="auto"/>
        <w:rPr>
          <w:sz w:val="20"/>
          <w:szCs w:val="20"/>
          <w:color w:val="auto"/>
        </w:rPr>
      </w:pPr>
      <w:r>
        <w:rPr>
          <w:rFonts w:ascii="Arial" w:cs="Arial" w:eastAsia="Arial" w:hAnsi="Arial"/>
          <w:sz w:val="18"/>
          <w:szCs w:val="18"/>
          <w:color w:val="auto"/>
        </w:rPr>
        <w:t>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drug candidates that we consider proprietary. Monitoring unauthorized uses and disclosures is difficult, and we do not know whether the steps we have taken to protect our proprietary information will be effective.</w:t>
      </w:r>
    </w:p>
    <w:p>
      <w:pPr>
        <w:spacing w:after="0" w:line="58"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7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We may in the future engage in strategic transactions; such transactions could affect our liquidity, dilute our existing stockholders, increase our expenses and present significant challenges in focus and energy to our management or prove not to be successful.</w:t>
      </w:r>
    </w:p>
    <w:p>
      <w:pPr>
        <w:spacing w:after="0" w:line="38"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From time to time, we may consider strategic transactions, such as acquisitions of companies, asset purchases and out-licensing or in-licensing of intellectual property, products or technologies.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3" w:name="page94"/>
    <w:bookmarkEnd w:id="93"/>
    <w:p>
      <w:pPr>
        <w:ind w:firstLine="509"/>
        <w:spacing w:after="0" w:line="291" w:lineRule="auto"/>
        <w:rPr>
          <w:sz w:val="20"/>
          <w:szCs w:val="20"/>
          <w:color w:val="auto"/>
        </w:rPr>
      </w:pPr>
      <w:r>
        <w:rPr>
          <w:rFonts w:ascii="Arial" w:cs="Arial" w:eastAsia="Arial" w:hAnsi="Arial"/>
          <w:sz w:val="16"/>
          <w:szCs w:val="16"/>
          <w:color w:val="auto"/>
        </w:rPr>
        <w:t>Such potential transactions that we may consider in the future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Public health pandemics or epidemics, political instability, terrorist attacks, other acts of violence or war, or other unexpected events could materially and adversely impact us.</w:t>
      </w:r>
    </w:p>
    <w:p>
      <w:pPr>
        <w:spacing w:after="0" w:line="6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States and worldwide financial markets and economy. They also could result in or prolong an economic recession in the United States. Any of these occurrences could materially and adversely affect us.</w:t>
      </w:r>
    </w:p>
    <w:p>
      <w:pPr>
        <w:spacing w:after="0" w:line="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Current or future litigation or administrative proceedings could have a material adverse effect on our business, our financial condition and our results of operations.</w:t>
      </w:r>
    </w:p>
    <w:p>
      <w:pPr>
        <w:spacing w:after="0" w:line="62"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have a material adverse effect on our business, our financial condition, and our results of operations. In addition, settlement of claims could adversely affect our financial condition and our results of operations.</w:t>
      </w:r>
    </w:p>
    <w:p>
      <w:pPr>
        <w:spacing w:after="0" w:line="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incur significantly increased costs as a result of operating as a public company, and our management is required to devote substantial time to new compliance initiatives and corporate governance practices.</w:t>
      </w:r>
    </w:p>
    <w:p>
      <w:pPr>
        <w:spacing w:after="0" w:line="62"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As a public company, we incur significant legal, accounting and other expenses that we did not previously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the IPO. We intend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60"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4" w:name="page95"/>
    <w:bookmarkEnd w:id="94"/>
    <w:p>
      <w:pPr>
        <w:ind w:right="160"/>
        <w:spacing w:after="0" w:line="277" w:lineRule="auto"/>
        <w:rPr>
          <w:sz w:val="20"/>
          <w:szCs w:val="20"/>
          <w:color w:val="auto"/>
        </w:rPr>
      </w:pPr>
      <w:r>
        <w:rPr>
          <w:rFonts w:ascii="Arial" w:cs="Arial" w:eastAsia="Arial" w:hAnsi="Arial"/>
          <w:sz w:val="18"/>
          <w:szCs w:val="18"/>
          <w:color w:val="auto"/>
        </w:rPr>
        <w:t>requirements could also make it more difficult for us to attract and retain qualified persons to serve on our board of directors, our board committees or as executive officers.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fluctuations in our tax obligations and effective tax rate, which could materially and adversely affect our results of operations.</w:t>
      </w:r>
    </w:p>
    <w:p>
      <w:pPr>
        <w:spacing w:after="0" w:line="14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outcome of current and future tax audits, examinations, or administrative appeals, changes in the mix and level of earnings in a given taxing jurisdiction or changes in our ownership or capital structures.</w:t>
      </w:r>
    </w:p>
    <w:p>
      <w:pPr>
        <w:spacing w:after="0" w:line="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62"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8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6"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Our corporate headquarters are located in South San Francisco, California, where we lease and occupy space in two separate buildings. The total amount of space leased across both buildings equals approximately 51,000 square feet of office and laboratory space. The current term of each of our two South San Francisco leases expires in March 2027 and July 2027, with options to extend the terms through March 2035 and July 2032, respectively.</w:t>
      </w:r>
    </w:p>
    <w:p>
      <w:pPr>
        <w:spacing w:after="0" w:line="149"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We also have an office in Leuven, Belgium, where we lease and occupy approximately 8,100 square feet of office and laboratory space. The current term of our Leuven, Belgium lease expires in August 2023, with an option to extend the term through August 2028.</w:t>
      </w:r>
    </w:p>
    <w:p>
      <w:pPr>
        <w:spacing w:after="0" w:line="170"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We lease all of our facilities and do not own any real property. 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From time to time, we may become involved in litigation or other legal proceedings. While the outcome of any such proceedings cannot be predicted with certainty, we are not currently involved in any legal proceedings that we believe are, individually or in the aggregate, material to our business, results of operations or financial condition, except as described below. However, regardless of the outcome, litigation can have an adverse impact on our business, financial condition, results of operations and prospects because of associated costs and diversion of management time.</w:t>
      </w:r>
    </w:p>
    <w:p>
      <w:pPr>
        <w:spacing w:after="0" w:line="63"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On March 26, 2022, the Company received notice of a complaint (the Complaint) filed by Janssen Biopharma, LLC (Janssen), which generally concerned an alleged breach by certain of our employees of their obligations to Janssen as prior employees of Janssen by purporting to assign to Aligos various inventions allegedly owned by Janssen. The Complaint was filed on March 9, 2022 in the Superior Court of the State of California, County of San Mateo, against the Company, Lawrence M. Blatt, Chairman, Chief Executive Officer and Director of the Company, and Leonid Beigelman, President and Director of the Company. The Complaint alleges breach of contract by Lawrence M. Blatt and Leonid Beigelman and tortious interference with contract by the Company and seeks declaratory judgment of ownership of certain intellectual property by the Company, among other claims. The Complaint states that Janssen is seeking injunctive relief, assignment of certain intellectual property from us to Janssen and monetary damages. The Company believes the allegations in the Complaint are without merit and intends to continue to defend itself vigorously.</w:t>
      </w:r>
    </w:p>
    <w:p>
      <w:pPr>
        <w:spacing w:after="0" w:line="70"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On August 22, 2022, the Company filed its response to the Complaint and on August 4, 2022, filed counterclaims against Janssen alleging Janssen has engaged in unfair competition and promissory fraud.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96" w:name="page97"/>
    <w:bookmarkEnd w:id="96"/>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82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“ALGS” since October 20, 2020. Prior to that date, there was no public trading market for our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As of March 6, 2023, there were 42 holders of record of our common stock, which consist of 40 holders of record of our voting common stock and two holders of record of our non-voting common stock. The actual number of stockholders is greater than this number of record holders, and includes stockholders who are beneficial owners, but whose shares are held in street name by brokers and other nominees.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We have never declared or paid any cash dividend on our common stock. We do not expect to declare or pay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 no later than 120 days after December 31, 2022.</w:t>
      </w:r>
    </w:p>
    <w:p>
      <w:pPr>
        <w:spacing w:after="0" w:line="58" w:lineRule="exact"/>
        <w:rPr>
          <w:sz w:val="20"/>
          <w:szCs w:val="20"/>
          <w:color w:val="auto"/>
        </w:rPr>
      </w:pPr>
    </w:p>
    <w:p>
      <w:pPr>
        <w:jc w:val="center"/>
        <w:ind w:right="8140"/>
        <w:spacing w:after="0"/>
        <w:rPr>
          <w:sz w:val="20"/>
          <w:szCs w:val="20"/>
          <w:color w:val="auto"/>
        </w:rPr>
      </w:pPr>
      <w:r>
        <w:rPr>
          <w:rFonts w:ascii="Arial" w:cs="Arial" w:eastAsia="Arial" w:hAnsi="Arial"/>
          <w:sz w:val="15"/>
          <w:szCs w:val="15"/>
          <w:b w:val="1"/>
          <w:bCs w:val="1"/>
          <w:color w:val="auto"/>
        </w:rPr>
        <w:t>Recent Sales of Unregistered Securities</w:t>
      </w:r>
    </w:p>
    <w:p>
      <w:pPr>
        <w:spacing w:after="0" w:line="156" w:lineRule="exact"/>
        <w:rPr>
          <w:sz w:val="20"/>
          <w:szCs w:val="20"/>
          <w:color w:val="auto"/>
        </w:rPr>
      </w:pPr>
    </w:p>
    <w:p>
      <w:pPr>
        <w:jc w:val="center"/>
        <w:ind w:right="968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jc w:val="center"/>
        <w:ind w:right="9880"/>
        <w:spacing w:after="0"/>
        <w:rPr>
          <w:sz w:val="20"/>
          <w:szCs w:val="20"/>
          <w:color w:val="auto"/>
        </w:rPr>
      </w:pPr>
      <w:r>
        <w:rPr>
          <w:rFonts w:ascii="Arial" w:cs="Arial" w:eastAsia="Arial" w:hAnsi="Arial"/>
          <w:sz w:val="15"/>
          <w:szCs w:val="15"/>
          <w:b w:val="1"/>
          <w:bCs w:val="1"/>
          <w:color w:val="auto"/>
        </w:rPr>
        <w:t>Use of Proceeds.</w:t>
      </w:r>
    </w:p>
    <w:p>
      <w:pPr>
        <w:spacing w:after="0" w:line="156" w:lineRule="exact"/>
        <w:rPr>
          <w:sz w:val="20"/>
          <w:szCs w:val="20"/>
          <w:color w:val="auto"/>
        </w:rPr>
      </w:pPr>
    </w:p>
    <w:p>
      <w:pPr>
        <w:jc w:val="center"/>
        <w:ind w:right="998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jc w:val="center"/>
        <w:ind w:right="5720"/>
        <w:spacing w:after="0"/>
        <w:rPr>
          <w:sz w:val="20"/>
          <w:szCs w:val="20"/>
          <w:color w:val="auto"/>
        </w:rPr>
      </w:pPr>
      <w:r>
        <w:rPr>
          <w:rFonts w:ascii="Arial" w:cs="Arial" w:eastAsia="Arial" w:hAnsi="Arial"/>
          <w:sz w:val="16"/>
          <w:szCs w:val="16"/>
          <w:b w:val="1"/>
          <w:bCs w:val="1"/>
          <w:color w:val="auto"/>
        </w:rPr>
        <w:t>Purchases of Equity Securities by the Issuer and Affiliated Purchasers.</w:t>
      </w:r>
    </w:p>
    <w:p>
      <w:pPr>
        <w:spacing w:after="0" w:line="144" w:lineRule="exact"/>
        <w:rPr>
          <w:sz w:val="20"/>
          <w:szCs w:val="20"/>
          <w:color w:val="auto"/>
        </w:rPr>
      </w:pPr>
    </w:p>
    <w:p>
      <w:pPr>
        <w:jc w:val="center"/>
        <w:ind w:right="968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jc w:val="center"/>
        <w:ind w:right="9680"/>
        <w:spacing w:after="0"/>
        <w:rPr>
          <w:sz w:val="20"/>
          <w:szCs w:val="20"/>
          <w:color w:val="auto"/>
        </w:rPr>
      </w:pPr>
      <w:r>
        <w:rPr>
          <w:rFonts w:ascii="Arial" w:cs="Arial" w:eastAsia="Arial" w:hAnsi="Arial"/>
          <w:sz w:val="16"/>
          <w:szCs w:val="16"/>
          <w:b w:val="1"/>
          <w:bCs w:val="1"/>
          <w:color w:val="auto"/>
        </w:rPr>
        <w:t>Item 6. [Reserved].</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00" w:firstLine="509"/>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on Form 10-K. In addition to historical financial information, this discussion contains forward-looking statements based upon current expectations that involve risks and uncertainties. Our actual results could differ materially from those anticipated in these forward-looking statements as a result of various factors, including those set forth under “Special Note Regarding Forward-Looking Statements” and “Risk Factors” and elsewhere in this Annual Report on Form 10-K. Our fiscal year ends on December 31 each year.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We are a clinical-stage biopharmaceutical company focused on developing novel therapeutics to address unmet medical needs in liver diseases and viral infections, including in the areas of non-alcoholic steatohepatitis (NASH), coronavirus (e.g., SARS-CoV-2 and related infections) and chronic hepatitis B (CHB). We utilize our proprietary small molecule and oligonucleotide platforms to develop pharmacologically optimized drug candidates for use in combination regimens designed to achieve improved treatment outcomes.</w:t>
      </w:r>
    </w:p>
    <w:p>
      <w:pPr>
        <w:spacing w:after="0" w:line="79"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In February 2023, we announced a strategic reprioritization of our portfolio. Going forward, we will emphasize our clinical NASH and COVID-19 programs, and continue to support our collaboration agreements, including the agreement with Merck &amp; Co. to develop an oligonucleotide candidate to address NASH. With respect to CHB, we plan to complete our ongoing 48-week cohorts and single ascending dose cohorts for our capsid assembly modulator and small interfering RNA programs, respectively.</w:t>
      </w:r>
    </w:p>
    <w:p>
      <w:pPr>
        <w:spacing w:after="0" w:line="79" w:lineRule="exact"/>
        <w:rPr>
          <w:sz w:val="20"/>
          <w:szCs w:val="20"/>
          <w:color w:val="auto"/>
        </w:rPr>
      </w:pPr>
    </w:p>
    <w:p>
      <w:pPr>
        <w:ind w:right="20" w:firstLine="509"/>
        <w:spacing w:after="0" w:line="217" w:lineRule="exact"/>
        <w:rPr>
          <w:sz w:val="20"/>
          <w:szCs w:val="20"/>
          <w:color w:val="auto"/>
        </w:rPr>
      </w:pPr>
      <w:r>
        <w:rPr>
          <w:rFonts w:ascii="Arial" w:cs="Arial" w:eastAsia="Arial" w:hAnsi="Arial"/>
          <w:sz w:val="16"/>
          <w:szCs w:val="16"/>
          <w:color w:val="auto"/>
        </w:rPr>
        <w:t>Our primary area of focus is NASH, a complex, chronic liver disease where combination regimens may prove beneficial. Our most advanced drug candidate for NASH is ALG</w:t>
      </w:r>
      <w:r>
        <w:rPr>
          <w:rFonts w:ascii="MS PGothic" w:cs="MS PGothic" w:eastAsia="MS PGothic" w:hAnsi="MS PGothic"/>
          <w:sz w:val="16"/>
          <w:szCs w:val="16"/>
          <w:color w:val="auto"/>
        </w:rPr>
        <w:t>‑</w:t>
      </w:r>
      <w:r>
        <w:rPr>
          <w:rFonts w:ascii="Arial" w:cs="Arial" w:eastAsia="Arial" w:hAnsi="Arial"/>
          <w:sz w:val="16"/>
          <w:szCs w:val="16"/>
          <w:color w:val="auto"/>
        </w:rPr>
        <w:t>055009, a small molecule thyroid hormone receptor (THR</w:t>
      </w:r>
      <w:r>
        <w:rPr>
          <w:rFonts w:ascii="MS PGothic" w:cs="MS PGothic" w:eastAsia="MS PGothic" w:hAnsi="MS PGothic"/>
          <w:sz w:val="16"/>
          <w:szCs w:val="16"/>
          <w:color w:val="auto"/>
        </w:rPr>
        <w:t>‑</w:t>
      </w:r>
      <w:r>
        <w:rPr>
          <w:rFonts w:ascii="Arial" w:cs="Arial" w:eastAsia="Arial" w:hAnsi="Arial"/>
          <w:sz w:val="16"/>
          <w:szCs w:val="16"/>
          <w:color w:val="auto"/>
        </w:rPr>
        <w:t>ß) agonist. This drug candidate is being evaluated in a Phase 1 study in healthy volunteers (HVs) (oral single ascending doses (SAD)) and subjects with hyperlipidemia (14 oral daily doses). Preliminary data after single doses up to 4 mg and multiple doses up to 1 mg have previously been reported at the European Association for the Study of the Liver conference (EASL 2022) and the 2022 American Association for the Study of Liver Diseases meeting (AASLD 2022), respectively. At these conferences, data were presented that showed ALG</w:t>
      </w:r>
      <w:r>
        <w:rPr>
          <w:rFonts w:ascii="MS PGothic" w:cs="MS PGothic" w:eastAsia="MS PGothic" w:hAnsi="MS PGothic"/>
          <w:sz w:val="16"/>
          <w:szCs w:val="16"/>
          <w:color w:val="auto"/>
        </w:rPr>
        <w:t>‑</w:t>
      </w:r>
      <w:r>
        <w:rPr>
          <w:rFonts w:ascii="Arial" w:cs="Arial" w:eastAsia="Arial" w:hAnsi="Arial"/>
          <w:sz w:val="16"/>
          <w:szCs w:val="16"/>
          <w:color w:val="auto"/>
        </w:rPr>
        <w:t>055009 was well tolerated, had dose proportional pharmacokinetics (PK) and low variability, and demonstrated expected thyromimetic effects (i.e., generally dose proportional increases in sex hormone binding globulin and decreases in various atherogenic lipids and thyroid hormones). We are currently taking the necessary steps to advance ALG</w:t>
      </w:r>
      <w:r>
        <w:rPr>
          <w:rFonts w:ascii="MS PGothic" w:cs="MS PGothic" w:eastAsia="MS PGothic" w:hAnsi="MS PGothic"/>
          <w:sz w:val="16"/>
          <w:szCs w:val="16"/>
          <w:color w:val="auto"/>
        </w:rPr>
        <w:t>‑</w:t>
      </w:r>
      <w:r>
        <w:rPr>
          <w:rFonts w:ascii="Arial" w:cs="Arial" w:eastAsia="Arial" w:hAnsi="Arial"/>
          <w:sz w:val="16"/>
          <w:szCs w:val="16"/>
          <w:color w:val="auto"/>
        </w:rPr>
        <w:t>055009 into a Phase 2 proof of concept study. These steps include: 1) conducting a relative bioavailability cohort in the Phase 1 study; 2) completing 13-week Good Laboratory Practice (GLP) toxicology studies; and 3) manufacturing Phase 2 drug supply. We anticipate submitting the Phase 2 protocol to the FDA in the fourth quarter of 2023. We believe ALG</w:t>
      </w:r>
      <w:r>
        <w:rPr>
          <w:rFonts w:ascii="MS PGothic" w:cs="MS PGothic" w:eastAsia="MS PGothic" w:hAnsi="MS PGothic"/>
          <w:sz w:val="16"/>
          <w:szCs w:val="16"/>
          <w:color w:val="auto"/>
        </w:rPr>
        <w:t>‑</w:t>
      </w:r>
      <w:r>
        <w:rPr>
          <w:rFonts w:ascii="Arial" w:cs="Arial" w:eastAsia="Arial" w:hAnsi="Arial"/>
          <w:sz w:val="16"/>
          <w:szCs w:val="16"/>
          <w:color w:val="auto"/>
        </w:rPr>
        <w:t>055009 has the potential to become a best</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class THR</w:t>
      </w:r>
      <w:r>
        <w:rPr>
          <w:rFonts w:ascii="MS PGothic" w:cs="MS PGothic" w:eastAsia="MS PGothic" w:hAnsi="MS PGothic"/>
          <w:sz w:val="16"/>
          <w:szCs w:val="16"/>
          <w:color w:val="auto"/>
        </w:rPr>
        <w:t>‑</w:t>
      </w:r>
      <w:r>
        <w:rPr>
          <w:rFonts w:ascii="Arial" w:cs="Arial" w:eastAsia="Arial" w:hAnsi="Arial"/>
          <w:sz w:val="16"/>
          <w:szCs w:val="16"/>
          <w:color w:val="auto"/>
        </w:rPr>
        <w:t>ß agonist and could play an integral role in future NASH combination regimens based on its favorable pharmacokinetic profile, which could result in uniform exposures and lead to consistent efficacy and safety in a NASH population.</w:t>
      </w:r>
    </w:p>
    <w:p>
      <w:pPr>
        <w:spacing w:after="0" w:line="97" w:lineRule="exact"/>
        <w:rPr>
          <w:sz w:val="20"/>
          <w:szCs w:val="20"/>
          <w:color w:val="auto"/>
        </w:rPr>
      </w:pPr>
    </w:p>
    <w:p>
      <w:pPr>
        <w:ind w:right="440" w:firstLine="509"/>
        <w:spacing w:after="0" w:line="223" w:lineRule="exact"/>
        <w:rPr>
          <w:sz w:val="20"/>
          <w:szCs w:val="20"/>
          <w:color w:val="auto"/>
        </w:rPr>
      </w:pPr>
      <w:r>
        <w:rPr>
          <w:rFonts w:ascii="Arial" w:cs="Arial" w:eastAsia="Arial" w:hAnsi="Arial"/>
          <w:sz w:val="18"/>
          <w:szCs w:val="18"/>
          <w:color w:val="auto"/>
        </w:rPr>
        <w:t>In addition to our small molecule THR</w:t>
      </w:r>
      <w:r>
        <w:rPr>
          <w:rFonts w:ascii="MS PGothic" w:cs="MS PGothic" w:eastAsia="MS PGothic" w:hAnsi="MS PGothic"/>
          <w:sz w:val="18"/>
          <w:szCs w:val="18"/>
          <w:color w:val="auto"/>
        </w:rPr>
        <w:t>‑</w:t>
      </w:r>
      <w:r>
        <w:rPr>
          <w:rFonts w:ascii="Arial" w:cs="Arial" w:eastAsia="Arial" w:hAnsi="Arial"/>
          <w:sz w:val="18"/>
          <w:szCs w:val="18"/>
          <w:color w:val="auto"/>
        </w:rPr>
        <w:t>ß program, we are also progressing oligonucleotide projects for NASH, including in collaboration with Merck. The programs are currently progressing through preclinical activities.</w:t>
      </w:r>
    </w:p>
    <w:p>
      <w:pPr>
        <w:spacing w:after="0" w:line="95" w:lineRule="exact"/>
        <w:rPr>
          <w:sz w:val="20"/>
          <w:szCs w:val="20"/>
          <w:color w:val="auto"/>
        </w:rPr>
      </w:pPr>
    </w:p>
    <w:p>
      <w:pPr>
        <w:ind w:firstLine="509"/>
        <w:spacing w:after="0" w:line="217" w:lineRule="exact"/>
        <w:rPr>
          <w:sz w:val="20"/>
          <w:szCs w:val="20"/>
          <w:color w:val="auto"/>
        </w:rPr>
      </w:pPr>
      <w:r>
        <w:rPr>
          <w:rFonts w:ascii="Arial" w:cs="Arial" w:eastAsia="Arial" w:hAnsi="Arial"/>
          <w:sz w:val="17"/>
          <w:szCs w:val="17"/>
          <w:color w:val="auto"/>
        </w:rPr>
        <w:t>Our second area of focus is to develop drug candidates with pan-coronavirus activity, including against Severe Acute Respiratory Syndrome coronavirus 2 (SARS-CoV-2), the virus responsible for COVID-19. In this area of focus, we are using a small molecule approach, where we are exploring coronavirus 3CL protease inhibitors (PIs) in collaboration with Katholieke Universiteit Leuven (KU Leuven), the Center for Innovation and Stimulation of Drug Discovery (CISTIM) and the Centre for Drug Design and Discovery (CD3). In addition, the preclinical activities of our COVID-19 program are funded through a grant from the National Institutes of Health (NIH) and the National Institute of Allergy and Infectious Disease (NIAID)'s Antiviral Drug Discovery (AViDD) Centers for Pathogens of Pandemic Concern program through the Metropolitan AntiViral Drug Accelerator (MAVDA) consortium. Our lead candidate, ALG</w:t>
      </w:r>
      <w:r>
        <w:rPr>
          <w:rFonts w:ascii="MS PGothic" w:cs="MS PGothic" w:eastAsia="MS PGothic" w:hAnsi="MS PGothic"/>
          <w:sz w:val="17"/>
          <w:szCs w:val="17"/>
          <w:color w:val="auto"/>
        </w:rPr>
        <w:t>‑</w:t>
      </w:r>
      <w:r>
        <w:rPr>
          <w:rFonts w:ascii="Arial" w:cs="Arial" w:eastAsia="Arial" w:hAnsi="Arial"/>
          <w:sz w:val="17"/>
          <w:szCs w:val="17"/>
          <w:color w:val="auto"/>
        </w:rPr>
        <w:t>097558, is at least 6-fold more potent than nirmatrelvir and PBI-0451 in cell-based assays against a panel of SARS-CoV-2 variants (including Omicron), demonstrates broad pan-coronavirus activity, and based on preclinical studies, is not projected to require ritonavir boosting. Evaluation of ALG</w:t>
      </w:r>
      <w:r>
        <w:rPr>
          <w:rFonts w:ascii="MS PGothic" w:cs="MS PGothic" w:eastAsia="MS PGothic" w:hAnsi="MS PGothic"/>
          <w:sz w:val="17"/>
          <w:szCs w:val="17"/>
          <w:color w:val="auto"/>
        </w:rPr>
        <w:t>‑</w:t>
      </w:r>
      <w:r>
        <w:rPr>
          <w:rFonts w:ascii="Arial" w:cs="Arial" w:eastAsia="Arial" w:hAnsi="Arial"/>
          <w:sz w:val="17"/>
          <w:szCs w:val="17"/>
          <w:color w:val="auto"/>
        </w:rPr>
        <w:t>097558 in the hamster SARS-CoV-2 infection model has shown that, when dosed prior to infection or up to 24 hours post-infection, the compound caused a significant reduction in the levels of infectious virus in the lungs. ALG</w:t>
      </w:r>
      <w:r>
        <w:rPr>
          <w:rFonts w:ascii="MS PGothic" w:cs="MS PGothic" w:eastAsia="MS PGothic" w:hAnsi="MS PGothic"/>
          <w:sz w:val="17"/>
          <w:szCs w:val="17"/>
          <w:color w:val="auto"/>
        </w:rPr>
        <w:t>‑</w:t>
      </w:r>
      <w:r>
        <w:rPr>
          <w:rFonts w:ascii="Arial" w:cs="Arial" w:eastAsia="Arial" w:hAnsi="Arial"/>
          <w:sz w:val="17"/>
          <w:szCs w:val="17"/>
          <w:color w:val="auto"/>
        </w:rPr>
        <w:t>097558 also appeared to better maintain its antiviral activity against certain resistant mutants compared to other 3CL PIs in development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8" w:name="page99"/>
    <w:bookmarkEnd w:id="98"/>
    <w:p>
      <w:pPr>
        <w:ind w:right="200"/>
        <w:spacing w:after="0" w:line="223" w:lineRule="exact"/>
        <w:rPr>
          <w:sz w:val="20"/>
          <w:szCs w:val="20"/>
          <w:color w:val="auto"/>
        </w:rPr>
      </w:pPr>
      <w:r>
        <w:rPr>
          <w:rFonts w:ascii="Arial" w:cs="Arial" w:eastAsia="Arial" w:hAnsi="Arial"/>
          <w:sz w:val="18"/>
          <w:szCs w:val="18"/>
          <w:color w:val="auto"/>
        </w:rPr>
        <w:t>based on publicly available data. We are currently completing first-in-human enabling nonclinical studies for ALG</w:t>
      </w:r>
      <w:r>
        <w:rPr>
          <w:rFonts w:ascii="MS PGothic" w:cs="MS PGothic" w:eastAsia="MS PGothic" w:hAnsi="MS PGothic"/>
          <w:sz w:val="18"/>
          <w:szCs w:val="18"/>
          <w:color w:val="auto"/>
        </w:rPr>
        <w:t>‑</w:t>
      </w:r>
      <w:r>
        <w:rPr>
          <w:rFonts w:ascii="Arial" w:cs="Arial" w:eastAsia="Arial" w:hAnsi="Arial"/>
          <w:sz w:val="18"/>
          <w:szCs w:val="18"/>
          <w:color w:val="auto"/>
        </w:rPr>
        <w:t>097558 and anticipate a Phase 1 CTA filing and initiation of dosing in HVs in the second quarter of 2023.</w:t>
      </w:r>
    </w:p>
    <w:p>
      <w:pPr>
        <w:spacing w:after="0" w:line="95"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Our third area of focus seeks to enhance the rate of functional cure for CHB, which often results in life-threatening conditions such as cirrhosis, and the most common form of liver cancer, hepatocellular carcinoma (HCC). The most widely used treatment for CHB, nucleos(t)ide analogs (NAs), suppress viral replication, but only achieve low rates of functional cure and often require long-term administration. To address this, we have developed a portfolio of differentiated drug candidates for CHB, including a small molecule Capsid Assembly Modulator that results in the production of empty viral capsids (CAM-E), and a small interfering ribonucleic acid (siRNA), which is designed to suppress production of hepatitis B virus (HBV) surface antigen (HBsAg). Each of these drugs is designed against clinically validated targets in the HBV life cycle and is currently being evaluated in clinical trials.</w:t>
      </w:r>
    </w:p>
    <w:p>
      <w:pPr>
        <w:spacing w:after="0" w:line="56" w:lineRule="exact"/>
        <w:rPr>
          <w:sz w:val="20"/>
          <w:szCs w:val="20"/>
          <w:color w:val="auto"/>
        </w:rPr>
      </w:pPr>
    </w:p>
    <w:p>
      <w:pPr>
        <w:ind w:firstLine="509"/>
        <w:spacing w:after="0" w:line="220" w:lineRule="exact"/>
        <w:rPr>
          <w:sz w:val="20"/>
          <w:szCs w:val="20"/>
          <w:color w:val="auto"/>
        </w:rPr>
      </w:pPr>
      <w:r>
        <w:rPr>
          <w:rFonts w:ascii="Arial" w:cs="Arial" w:eastAsia="Arial" w:hAnsi="Arial"/>
          <w:sz w:val="16"/>
          <w:szCs w:val="16"/>
          <w:color w:val="auto"/>
        </w:rPr>
        <w:t>The initial Phase 1a study in HVs for our CAM-E, ALG</w:t>
      </w:r>
      <w:r>
        <w:rPr>
          <w:rFonts w:ascii="MS PGothic" w:cs="MS PGothic" w:eastAsia="MS PGothic" w:hAnsi="MS PGothic"/>
          <w:sz w:val="16"/>
          <w:szCs w:val="16"/>
          <w:color w:val="auto"/>
        </w:rPr>
        <w:t>‑</w:t>
      </w:r>
      <w:r>
        <w:rPr>
          <w:rFonts w:ascii="Arial" w:cs="Arial" w:eastAsia="Arial" w:hAnsi="Arial"/>
          <w:sz w:val="16"/>
          <w:szCs w:val="16"/>
          <w:color w:val="auto"/>
        </w:rPr>
        <w:t>000184, has been completed as has a Phase 1b dose ranging study evaluating the safety, pharmacokinetics and antiviral activity of 10-300 mg doses of ALG</w:t>
      </w:r>
      <w:r>
        <w:rPr>
          <w:rFonts w:ascii="MS PGothic" w:cs="MS PGothic" w:eastAsia="MS PGothic" w:hAnsi="MS PGothic"/>
          <w:sz w:val="16"/>
          <w:szCs w:val="16"/>
          <w:color w:val="auto"/>
        </w:rPr>
        <w:t>‑</w:t>
      </w:r>
      <w:r>
        <w:rPr>
          <w:rFonts w:ascii="Arial" w:cs="Arial" w:eastAsia="Arial" w:hAnsi="Arial"/>
          <w:sz w:val="16"/>
          <w:szCs w:val="16"/>
          <w:color w:val="auto"/>
        </w:rPr>
        <w:t>000184 for 28 days among untreated HBV E-antigen (HBeAg) positive/negative CHB subjects. ALG</w:t>
      </w:r>
      <w:r>
        <w:rPr>
          <w:rFonts w:ascii="MS PGothic" w:cs="MS PGothic" w:eastAsia="MS PGothic" w:hAnsi="MS PGothic"/>
          <w:sz w:val="16"/>
          <w:szCs w:val="16"/>
          <w:color w:val="auto"/>
        </w:rPr>
        <w:t>‑</w:t>
      </w:r>
      <w:r>
        <w:rPr>
          <w:rFonts w:ascii="Arial" w:cs="Arial" w:eastAsia="Arial" w:hAnsi="Arial"/>
          <w:sz w:val="16"/>
          <w:szCs w:val="16"/>
          <w:color w:val="auto"/>
        </w:rPr>
        <w:t>000184 was found in these portions of the study to be well tolerated with a favorable PK profile and demonstrated potentially best-in-class HBV DNA and RNA reductions as well as HBsAg reductions in a subset of HBeAg positive subjects receiving 300 mg ALG</w:t>
      </w:r>
      <w:r>
        <w:rPr>
          <w:rFonts w:ascii="MS PGothic" w:cs="MS PGothic" w:eastAsia="MS PGothic" w:hAnsi="MS PGothic"/>
          <w:sz w:val="16"/>
          <w:szCs w:val="16"/>
          <w:color w:val="auto"/>
        </w:rPr>
        <w:t>‑</w:t>
      </w:r>
      <w:r>
        <w:rPr>
          <w:rFonts w:ascii="Arial" w:cs="Arial" w:eastAsia="Arial" w:hAnsi="Arial"/>
          <w:sz w:val="16"/>
          <w:szCs w:val="16"/>
          <w:color w:val="auto"/>
        </w:rPr>
        <w:t>000184 (Hou et. al, AASLD 2022). Based on the favorable profile after dosing ≤300 mg ALG</w:t>
      </w:r>
      <w:r>
        <w:rPr>
          <w:rFonts w:ascii="MS PGothic" w:cs="MS PGothic" w:eastAsia="MS PGothic" w:hAnsi="MS PGothic"/>
          <w:sz w:val="16"/>
          <w:szCs w:val="16"/>
          <w:color w:val="auto"/>
        </w:rPr>
        <w:t>‑</w:t>
      </w:r>
      <w:r>
        <w:rPr>
          <w:rFonts w:ascii="Arial" w:cs="Arial" w:eastAsia="Arial" w:hAnsi="Arial"/>
          <w:sz w:val="16"/>
          <w:szCs w:val="16"/>
          <w:color w:val="auto"/>
        </w:rPr>
        <w:t>000184 x 28 days, additional Phase 1b cohorts are currently being evaluated for the risk-benefit profile of 100-300 mg doses of ALG</w:t>
      </w:r>
      <w:r>
        <w:rPr>
          <w:rFonts w:ascii="MS PGothic" w:cs="MS PGothic" w:eastAsia="MS PGothic" w:hAnsi="MS PGothic"/>
          <w:sz w:val="16"/>
          <w:szCs w:val="16"/>
          <w:color w:val="auto"/>
        </w:rPr>
        <w:t>‑</w:t>
      </w:r>
      <w:r>
        <w:rPr>
          <w:rFonts w:ascii="Arial" w:cs="Arial" w:eastAsia="Arial" w:hAnsi="Arial"/>
          <w:sz w:val="16"/>
          <w:szCs w:val="16"/>
          <w:color w:val="auto"/>
        </w:rPr>
        <w:t>000184 with or without background entecavir (ETV) therapy for ≤48 weeks in HBeAg positive or negative CHB patients. Preliminary data presented for these cohorts (Hou et. al, APASL 2023) indicate that ALG</w:t>
      </w:r>
      <w:r>
        <w:rPr>
          <w:rFonts w:ascii="MS PGothic" w:cs="MS PGothic" w:eastAsia="MS PGothic" w:hAnsi="MS PGothic"/>
          <w:sz w:val="16"/>
          <w:szCs w:val="16"/>
          <w:color w:val="auto"/>
        </w:rPr>
        <w:t>‑</w:t>
      </w:r>
      <w:r>
        <w:rPr>
          <w:rFonts w:ascii="Arial" w:cs="Arial" w:eastAsia="Arial" w:hAnsi="Arial"/>
          <w:sz w:val="16"/>
          <w:szCs w:val="16"/>
          <w:color w:val="auto"/>
        </w:rPr>
        <w:t>000184 dosed for up to 12 weeks is well tolerated with a favorable PK profile and potentially best-in-class antiviral activity. Specifically, antiviral activity data through Week 10 were summarized in cohorts of HBeAg positive subjects with normal baseline ALT (100 mg (Part 4 Cohort 1) and HBeAg positive subjects with normal/elevated baseline ALT (300 mg (Part 4 Cohort 2)). In Part 4 Cohorts 1 and 2, respectively, we observed greater mean DNA (4.9, 5.2 log</w:t>
      </w:r>
      <w:r>
        <w:rPr>
          <w:rFonts w:ascii="Arial" w:cs="Arial" w:eastAsia="Arial" w:hAnsi="Arial"/>
          <w:sz w:val="21"/>
          <w:szCs w:val="21"/>
          <w:color w:val="auto"/>
          <w:vertAlign w:val="subscript"/>
        </w:rPr>
        <w:t>10</w:t>
      </w:r>
      <w:r>
        <w:rPr>
          <w:rFonts w:ascii="Arial" w:cs="Arial" w:eastAsia="Arial" w:hAnsi="Arial"/>
          <w:sz w:val="16"/>
          <w:szCs w:val="16"/>
          <w:color w:val="auto"/>
        </w:rPr>
        <w:t xml:space="preserve"> IU/mL) and RNA (2.7, 3.3 log</w:t>
      </w:r>
      <w:r>
        <w:rPr>
          <w:rFonts w:ascii="Arial" w:cs="Arial" w:eastAsia="Arial" w:hAnsi="Arial"/>
          <w:sz w:val="21"/>
          <w:szCs w:val="21"/>
          <w:color w:val="auto"/>
          <w:vertAlign w:val="subscript"/>
        </w:rPr>
        <w:t>10</w:t>
      </w:r>
      <w:r>
        <w:rPr>
          <w:rFonts w:ascii="Arial" w:cs="Arial" w:eastAsia="Arial" w:hAnsi="Arial"/>
          <w:sz w:val="16"/>
          <w:szCs w:val="16"/>
          <w:color w:val="auto"/>
        </w:rPr>
        <w:t xml:space="preserve"> copies/mL) reductions vs. ETV alone (3.7 log</w:t>
      </w:r>
      <w:r>
        <w:rPr>
          <w:rFonts w:ascii="Arial" w:cs="Arial" w:eastAsia="Arial" w:hAnsi="Arial"/>
          <w:sz w:val="21"/>
          <w:szCs w:val="21"/>
          <w:color w:val="auto"/>
          <w:vertAlign w:val="subscript"/>
        </w:rPr>
        <w:t>10</w:t>
      </w:r>
      <w:r>
        <w:rPr>
          <w:rFonts w:ascii="Arial" w:cs="Arial" w:eastAsia="Arial" w:hAnsi="Arial"/>
          <w:sz w:val="16"/>
          <w:szCs w:val="16"/>
          <w:color w:val="auto"/>
        </w:rPr>
        <w:t xml:space="preserve"> IU/mL reduction, 0.1 log</w:t>
      </w:r>
      <w:r>
        <w:rPr>
          <w:rFonts w:ascii="Arial" w:cs="Arial" w:eastAsia="Arial" w:hAnsi="Arial"/>
          <w:sz w:val="21"/>
          <w:szCs w:val="21"/>
          <w:color w:val="auto"/>
          <w:vertAlign w:val="subscript"/>
        </w:rPr>
        <w:t>10</w:t>
      </w:r>
      <w:r>
        <w:rPr>
          <w:rFonts w:ascii="Arial" w:cs="Arial" w:eastAsia="Arial" w:hAnsi="Arial"/>
          <w:sz w:val="16"/>
          <w:szCs w:val="16"/>
          <w:color w:val="auto"/>
        </w:rPr>
        <w:t xml:space="preserve"> copies/mL increase, respectively). Similarly, among subjects with available data at Week 10, HBsAg levels declined in cohorts 1 and 2 to a maximum of 0.3 log</w:t>
      </w:r>
      <w:r>
        <w:rPr>
          <w:rFonts w:ascii="Arial" w:cs="Arial" w:eastAsia="Arial" w:hAnsi="Arial"/>
          <w:sz w:val="21"/>
          <w:szCs w:val="21"/>
          <w:color w:val="auto"/>
          <w:vertAlign w:val="subscript"/>
        </w:rPr>
        <w:t>10</w:t>
      </w:r>
      <w:r>
        <w:rPr>
          <w:rFonts w:ascii="Arial" w:cs="Arial" w:eastAsia="Arial" w:hAnsi="Arial"/>
          <w:sz w:val="16"/>
          <w:szCs w:val="16"/>
          <w:color w:val="auto"/>
        </w:rPr>
        <w:t xml:space="preserve"> IU/mL and 0.7 log</w:t>
      </w:r>
      <w:r>
        <w:rPr>
          <w:rFonts w:ascii="Arial" w:cs="Arial" w:eastAsia="Arial" w:hAnsi="Arial"/>
          <w:sz w:val="21"/>
          <w:szCs w:val="21"/>
          <w:color w:val="auto"/>
          <w:vertAlign w:val="subscript"/>
        </w:rPr>
        <w:t>10</w:t>
      </w:r>
      <w:r>
        <w:rPr>
          <w:rFonts w:ascii="Arial" w:cs="Arial" w:eastAsia="Arial" w:hAnsi="Arial"/>
          <w:sz w:val="16"/>
          <w:szCs w:val="16"/>
          <w:color w:val="auto"/>
        </w:rPr>
        <w:t xml:space="preserve"> IU/mL compared to no meaningful change in subjects dosed with ETV alone. Dosing in these and at least one additional cohort will continue throughout 2023 and interim safety, PK, and antiviral activity data will be presented at scientific conferences throughout the year.</w:t>
      </w:r>
    </w:p>
    <w:p>
      <w:pPr>
        <w:spacing w:after="0" w:line="104" w:lineRule="exact"/>
        <w:rPr>
          <w:sz w:val="20"/>
          <w:szCs w:val="20"/>
          <w:color w:val="auto"/>
        </w:rPr>
      </w:pPr>
    </w:p>
    <w:p>
      <w:pPr>
        <w:ind w:right="40" w:firstLine="509"/>
        <w:spacing w:after="0" w:line="219" w:lineRule="exact"/>
        <w:rPr>
          <w:sz w:val="20"/>
          <w:szCs w:val="20"/>
          <w:color w:val="auto"/>
        </w:rPr>
      </w:pPr>
      <w:r>
        <w:rPr>
          <w:rFonts w:ascii="Arial" w:cs="Arial" w:eastAsia="Arial" w:hAnsi="Arial"/>
          <w:sz w:val="18"/>
          <w:szCs w:val="18"/>
          <w:color w:val="auto"/>
        </w:rPr>
        <w:t>With respect to our siRNA drug candidate, ALG</w:t>
      </w:r>
      <w:r>
        <w:rPr>
          <w:rFonts w:ascii="MS PGothic" w:cs="MS PGothic" w:eastAsia="MS PGothic" w:hAnsi="MS PGothic"/>
          <w:sz w:val="18"/>
          <w:szCs w:val="18"/>
          <w:color w:val="auto"/>
        </w:rPr>
        <w:t>‑</w:t>
      </w:r>
      <w:r>
        <w:rPr>
          <w:rFonts w:ascii="Arial" w:cs="Arial" w:eastAsia="Arial" w:hAnsi="Arial"/>
          <w:sz w:val="18"/>
          <w:szCs w:val="18"/>
          <w:color w:val="auto"/>
        </w:rPr>
        <w:t>125755, a Phase 1 study is ongoing in New Zealand and in several countries in Eastern Europe. Part 1 of this study evaluated single doses in doses ranging from 20 mg to 200 mg in HVs and found that these doses were well tolerated with a favorable PK profile (Gane et al., APASL 2023). Part 2 of the study, which is an SAD in virologically suppressed HBeAg negative CHB subjects, is ongoing. To date, a 50 mg dose of ALG</w:t>
      </w:r>
      <w:r>
        <w:rPr>
          <w:rFonts w:ascii="MS PGothic" w:cs="MS PGothic" w:eastAsia="MS PGothic" w:hAnsi="MS PGothic"/>
          <w:sz w:val="18"/>
          <w:szCs w:val="18"/>
          <w:color w:val="auto"/>
        </w:rPr>
        <w:t>‑</w:t>
      </w:r>
      <w:r>
        <w:rPr>
          <w:rFonts w:ascii="Arial" w:cs="Arial" w:eastAsia="Arial" w:hAnsi="Arial"/>
          <w:sz w:val="18"/>
          <w:szCs w:val="18"/>
          <w:color w:val="auto"/>
        </w:rPr>
        <w:t>125755 has been evaluated in Part 2 and found to be well tolerated with an acceptable PK profile. We plan to share preliminary data from this study at scientific conferences throughout 2023.</w:t>
      </w:r>
    </w:p>
    <w:p>
      <w:pPr>
        <w:spacing w:after="0" w:line="97"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We are also exploring ways to boost immune responses via small molecule inhibitors of the programmed death 1 (ligand) PD-1/PD-L1 interaction. We have rationally designed these T cell activating drugs to localize in the liver and thereby potentially mitigate systemic toxicity in an effort to develop better tolerated PD-1/PD-L1 inhibitors for CHB patients. Lead molecules developed to date show similar in vivo efficacy to approved PD-1/PD-L1 antibodies and greater target occupancy at a lower dose in a liver metastatic tumor model compared to a subcutaneous tumor model. We believe that combination regimens utilizing our broad portfolio of CHB drug candidates, with or without other mechanisms of action, may lead to higher rates of functional cure.</w:t>
      </w:r>
    </w:p>
    <w:p>
      <w:pPr>
        <w:spacing w:after="0" w:line="84"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In July 2021, we completed a follow-on offering and issued 4,400,000 shares of our common stock at a price to the public of $19.00 per share for net proceeds of $77.7 million, after deducting underwriting discounts and commissions and offering expenses payable by us.</w:t>
      </w:r>
    </w:p>
    <w:p>
      <w:pPr>
        <w:spacing w:after="0" w:line="62"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We have incurred net losses and negative cash flows from operations in each year since our formation in February 2018. Our net losses were $96.0 million and $128.3 million for the years ended December 31, 2022 and 2021, respectively. We have had no revenue from product sales. As of December 31, 2022, we had an accumulated deficit of $399.1 million.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Our net operating losses may fluctuate from quarter to quarter and year to year depending primarily on the timing of our clinical trials and nonclinical studies and our other research and development expenses. We have no internal manufacturing capabilities or sales force and outsource a substantial portion of our clinical trial work to third parties.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operating expenses since inception have consisted solely of research and development costs and general and administrative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rely substantially on third parties to conduct our discovery activities, nonclinical studies, clinical trials and manufacturing. We primarily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w:t>
      </w:r>
    </w:p>
    <w:p>
      <w:pPr>
        <w:spacing w:after="0" w:line="80" w:lineRule="exact"/>
        <w:rPr>
          <w:sz w:val="20"/>
          <w:szCs w:val="20"/>
          <w:color w:val="auto"/>
        </w:rPr>
      </w:pPr>
    </w:p>
    <w:p>
      <w:pPr>
        <w:ind w:left="1020" w:right="440" w:hanging="503"/>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salaries, benefits and other employee-related costs, including stock-based compensation expense, for personnel engaged in research and development functions;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costs of outside consultants, including their fees, and related travel expenses;</w:t>
      </w:r>
    </w:p>
    <w:p>
      <w:pPr>
        <w:spacing w:after="0" w:line="117" w:lineRule="exact"/>
        <w:rPr>
          <w:rFonts w:ascii="Arial" w:cs="Arial" w:eastAsia="Arial" w:hAnsi="Arial"/>
          <w:sz w:val="18"/>
          <w:szCs w:val="18"/>
          <w:color w:val="auto"/>
        </w:rPr>
      </w:pPr>
    </w:p>
    <w:p>
      <w:pPr>
        <w:ind w:left="1020" w:right="640" w:hanging="503"/>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costs associated with in-process research and development, including license fees and milestones paid to third-party collaborators for technologies with no alternative use;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costs related to production of clinical materials, including fees paid to contract manufacturers;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expenses incurred under agreements with collaborators that perform nonclinical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facility costs, depreciation, and other expenses, which include direct and allocated expenses for rent and maintenance of facilities, insurance, and other supplies.</w:t>
      </w:r>
    </w:p>
    <w:p>
      <w:pPr>
        <w:spacing w:after="0" w:line="62"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We expense research and development costs as the services are performed or the goods are received. Non-refundable payments for goods or services that will be used for future research and development activities are deferred and capitalized. Such amounts are recognized as an expense as the goods are delivered or the related services are performed until it is no longer expected that the goods will be delivered, or the services will be rendered.</w:t>
      </w:r>
    </w:p>
    <w:p>
      <w:pPr>
        <w:spacing w:after="0" w:line="41"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Our research and development costs may increase in future periods as we continue to invest in research and development activities and advance our nonclinical and clinical programs through clinical development. The process of conducting nonclinical studies and, eventually, clinical trials necessary to obtain regulatory approval is costly and time consuming, and the successful 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w:t>
      </w:r>
    </w:p>
    <w:p>
      <w:pPr>
        <w:spacing w:after="0" w:line="80"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We track direct external research and development expenses on a program-specific basis (chronic hepatitis B, coronaviruses, steatohepatitis and early-stage programs). The following table summarizes these research and development costs,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Pr>
          <w:p>
            <w:pPr>
              <w:spacing w:after="0"/>
              <w:rPr>
                <w:sz w:val="16"/>
                <w:szCs w:val="16"/>
                <w:color w:val="auto"/>
              </w:rPr>
            </w:pPr>
          </w:p>
        </w:tc>
      </w:tr>
      <w:tr>
        <w:trPr>
          <w:trHeight w:val="223"/>
        </w:trPr>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r>
      <w:tr>
        <w:trPr>
          <w:trHeight w:val="236"/>
        </w:trPr>
        <w:tc>
          <w:tcPr>
            <w:tcW w:w="8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research and development expenses by development program:</w:t>
            </w: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8800" w:type="dxa"/>
            <w:vAlign w:val="bottom"/>
          </w:tcPr>
          <w:p>
            <w:pPr>
              <w:ind w:left="1060"/>
              <w:spacing w:after="0"/>
              <w:rPr>
                <w:sz w:val="20"/>
                <w:szCs w:val="20"/>
                <w:color w:val="auto"/>
              </w:rPr>
            </w:pPr>
            <w:r>
              <w:rPr>
                <w:rFonts w:ascii="Arial" w:cs="Arial" w:eastAsia="Arial" w:hAnsi="Arial"/>
                <w:sz w:val="18"/>
                <w:szCs w:val="18"/>
                <w:color w:val="auto"/>
              </w:rPr>
              <w:t>Non-alcoholic Steatohepatitis program</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3,489</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3,937</w:t>
            </w:r>
          </w:p>
        </w:tc>
        <w:tc>
          <w:tcPr>
            <w:tcW w:w="100" w:type="dxa"/>
            <w:vAlign w:val="bottom"/>
          </w:tcPr>
          <w:p>
            <w:pPr>
              <w:spacing w:after="0"/>
              <w:rPr>
                <w:sz w:val="20"/>
                <w:szCs w:val="20"/>
                <w:color w:val="auto"/>
              </w:rPr>
            </w:pPr>
          </w:p>
        </w:tc>
      </w:tr>
      <w:tr>
        <w:trPr>
          <w:trHeight w:val="249"/>
        </w:trPr>
        <w:tc>
          <w:tcPr>
            <w:tcW w:w="8800" w:type="dxa"/>
            <w:vAlign w:val="bottom"/>
            <w:shd w:val="clear" w:color="auto" w:fill="CFF0FC"/>
          </w:tcPr>
          <w:p>
            <w:pPr>
              <w:ind w:left="1060"/>
              <w:spacing w:after="0"/>
              <w:rPr>
                <w:sz w:val="20"/>
                <w:szCs w:val="20"/>
                <w:color w:val="auto"/>
              </w:rPr>
            </w:pPr>
            <w:r>
              <w:rPr>
                <w:rFonts w:ascii="Arial" w:cs="Arial" w:eastAsia="Arial" w:hAnsi="Arial"/>
                <w:sz w:val="18"/>
                <w:szCs w:val="18"/>
                <w:color w:val="auto"/>
              </w:rPr>
              <w:t>Coronaviruses program</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5,651</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w:t>
            </w:r>
          </w:p>
        </w:tc>
        <w:tc>
          <w:tcPr>
            <w:tcW w:w="100" w:type="dxa"/>
            <w:vAlign w:val="bottom"/>
            <w:shd w:val="clear" w:color="auto" w:fill="CFF0FC"/>
          </w:tcPr>
          <w:p>
            <w:pPr>
              <w:spacing w:after="0"/>
              <w:rPr>
                <w:sz w:val="21"/>
                <w:szCs w:val="21"/>
                <w:color w:val="auto"/>
              </w:rPr>
            </w:pPr>
          </w:p>
        </w:tc>
      </w:tr>
      <w:tr>
        <w:trPr>
          <w:trHeight w:val="237"/>
        </w:trPr>
        <w:tc>
          <w:tcPr>
            <w:tcW w:w="8800" w:type="dxa"/>
            <w:vAlign w:val="bottom"/>
          </w:tcPr>
          <w:p>
            <w:pPr>
              <w:ind w:left="1060"/>
              <w:spacing w:after="0"/>
              <w:rPr>
                <w:sz w:val="20"/>
                <w:szCs w:val="20"/>
                <w:color w:val="auto"/>
              </w:rPr>
            </w:pPr>
            <w:r>
              <w:rPr>
                <w:rFonts w:ascii="Arial" w:cs="Arial" w:eastAsia="Arial" w:hAnsi="Arial"/>
                <w:sz w:val="18"/>
                <w:szCs w:val="18"/>
                <w:color w:val="auto"/>
              </w:rPr>
              <w:t>Chronic Hepatitis B program</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45,763</w:t>
            </w:r>
          </w:p>
        </w:tc>
        <w:tc>
          <w:tcPr>
            <w:tcW w:w="100" w:type="dxa"/>
            <w:vAlign w:val="bottom"/>
          </w:tcPr>
          <w:p>
            <w:pPr>
              <w:spacing w:after="0"/>
              <w:rPr>
                <w:sz w:val="20"/>
                <w:szCs w:val="20"/>
                <w:color w:val="auto"/>
              </w:rPr>
            </w:pPr>
          </w:p>
        </w:tc>
      </w:tr>
      <w:tr>
        <w:trPr>
          <w:trHeight w:val="249"/>
        </w:trPr>
        <w:tc>
          <w:tcPr>
            <w:tcW w:w="8800" w:type="dxa"/>
            <w:vAlign w:val="bottom"/>
            <w:shd w:val="clear" w:color="auto" w:fill="CFF0FC"/>
          </w:tcPr>
          <w:p>
            <w:pPr>
              <w:ind w:left="1060"/>
              <w:spacing w:after="0"/>
              <w:rPr>
                <w:sz w:val="20"/>
                <w:szCs w:val="20"/>
                <w:color w:val="auto"/>
              </w:rPr>
            </w:pPr>
            <w:r>
              <w:rPr>
                <w:rFonts w:ascii="Arial" w:cs="Arial" w:eastAsia="Arial" w:hAnsi="Arial"/>
                <w:sz w:val="18"/>
                <w:szCs w:val="18"/>
                <w:color w:val="auto"/>
              </w:rPr>
              <w:t>Other early-stage programs</w:t>
            </w: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11,324</w:t>
            </w:r>
          </w:p>
        </w:tc>
        <w:tc>
          <w:tcPr>
            <w:tcW w:w="1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10,911</w:t>
            </w:r>
          </w:p>
        </w:tc>
        <w:tc>
          <w:tcPr>
            <w:tcW w:w="100" w:type="dxa"/>
            <w:vAlign w:val="bottom"/>
            <w:shd w:val="clear" w:color="auto" w:fill="CFF0FC"/>
          </w:tcPr>
          <w:p>
            <w:pPr>
              <w:spacing w:after="0"/>
              <w:rPr>
                <w:sz w:val="21"/>
                <w:szCs w:val="21"/>
                <w:color w:val="auto"/>
              </w:rPr>
            </w:pPr>
          </w:p>
        </w:tc>
      </w:tr>
      <w:tr>
        <w:trPr>
          <w:trHeight w:val="236"/>
        </w:trPr>
        <w:tc>
          <w:tcPr>
            <w:tcW w:w="8800" w:type="dxa"/>
            <w:vAlign w:val="bottom"/>
          </w:tcPr>
          <w:p>
            <w:pPr>
              <w:ind w:left="500"/>
              <w:spacing w:after="0"/>
              <w:rPr>
                <w:sz w:val="20"/>
                <w:szCs w:val="20"/>
                <w:color w:val="auto"/>
              </w:rPr>
            </w:pPr>
            <w:r>
              <w:rPr>
                <w:rFonts w:ascii="Arial" w:cs="Arial" w:eastAsia="Arial" w:hAnsi="Arial"/>
                <w:sz w:val="18"/>
                <w:szCs w:val="18"/>
                <w:color w:val="auto"/>
              </w:rPr>
              <w:t>Total direct research and development expenses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41,145</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62,729</w:t>
            </w:r>
          </w:p>
        </w:tc>
        <w:tc>
          <w:tcPr>
            <w:tcW w:w="100" w:type="dxa"/>
            <w:vAlign w:val="bottom"/>
          </w:tcPr>
          <w:p>
            <w:pPr>
              <w:spacing w:after="0"/>
              <w:rPr>
                <w:sz w:val="20"/>
                <w:szCs w:val="20"/>
                <w:color w:val="auto"/>
              </w:rPr>
            </w:pPr>
          </w:p>
        </w:tc>
      </w:tr>
      <w:tr>
        <w:trPr>
          <w:trHeight w:val="237"/>
        </w:trPr>
        <w:tc>
          <w:tcPr>
            <w:tcW w:w="8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indirect research and development expenses</w:t>
            </w:r>
          </w:p>
        </w:tc>
        <w:tc>
          <w:tcPr>
            <w:tcW w:w="2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43,931</w:t>
            </w:r>
          </w:p>
        </w:tc>
        <w:tc>
          <w:tcPr>
            <w:tcW w:w="10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41,425</w:t>
            </w:r>
          </w:p>
        </w:tc>
        <w:tc>
          <w:tcPr>
            <w:tcW w:w="100" w:type="dxa"/>
            <w:vAlign w:val="bottom"/>
            <w:shd w:val="clear" w:color="auto" w:fill="CFF0FC"/>
          </w:tcPr>
          <w:p>
            <w:pPr>
              <w:spacing w:after="0"/>
              <w:rPr>
                <w:sz w:val="20"/>
                <w:szCs w:val="20"/>
                <w:color w:val="auto"/>
              </w:rPr>
            </w:pPr>
          </w:p>
        </w:tc>
      </w:tr>
      <w:tr>
        <w:trPr>
          <w:trHeight w:val="237"/>
        </w:trPr>
        <w:tc>
          <w:tcPr>
            <w:tcW w:w="8800" w:type="dxa"/>
            <w:vAlign w:val="bottom"/>
          </w:tcPr>
          <w:p>
            <w:pPr>
              <w:ind w:left="5740"/>
              <w:spacing w:after="0"/>
              <w:rPr>
                <w:sz w:val="20"/>
                <w:szCs w:val="20"/>
                <w:color w:val="auto"/>
              </w:rPr>
            </w:pPr>
            <w:r>
              <w:rPr>
                <w:rFonts w:ascii="Arial" w:cs="Arial" w:eastAsia="Arial" w:hAnsi="Arial"/>
                <w:sz w:val="18"/>
                <w:szCs w:val="18"/>
                <w:color w:val="auto"/>
                <w:w w:val="91"/>
              </w:rPr>
              <w:t>Total research and development expense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85,077</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104,153</w:t>
            </w:r>
          </w:p>
        </w:tc>
        <w:tc>
          <w:tcPr>
            <w:tcW w:w="100" w:type="dxa"/>
            <w:vAlign w:val="bottom"/>
          </w:tcPr>
          <w:p>
            <w:pPr>
              <w:spacing w:after="0"/>
              <w:rPr>
                <w:sz w:val="20"/>
                <w:szCs w:val="20"/>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6370320</wp:posOffset>
            </wp:positionH>
            <wp:positionV relativeFrom="paragraph">
              <wp:posOffset>-526415</wp:posOffset>
            </wp:positionV>
            <wp:extent cx="779780" cy="1968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9780" cy="19685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0" w:name="page101"/>
    <w:bookmarkEnd w:id="100"/>
    <w:p>
      <w:pPr>
        <w:ind w:right="40" w:firstLine="509"/>
        <w:spacing w:after="0" w:line="257"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not otherwise classified as research and development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income, net</w:t>
      </w:r>
    </w:p>
    <w:p>
      <w:pPr>
        <w:spacing w:after="0" w:line="117"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Interest and other (expense) income, net comprises interest (expense) income, net and other income (expense), net. Interest income (expense), net primarily consists of interest earned on our cash, cash equivalents, and investments. Other (expense) income, net consists primarily of foreign currency exchange gains and losses.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Since our inception in 2018, we have not recorded any U.S. federal or state income tax benefits for the net losses we have incurred in any year or for our earned research and development tax credits, due to our uncertainty of realizing a benefit from those items. As of December 31, 2022, we had federal net operating loss (NOL) carryforwards of $272.4 million available to reduce taxable income and these NOLs can be carried forward indefinitely. We have state NOL carryforwards of $352.7 million as of December 31, 2022, available to reduce future state taxable income, which expire at various dates beginning in 2038. As of December 31, 2022, the Company had $3.2 million of Australia NOL carryforwards, which carryforward indefinitely. As of December 31, 2022, we also had federal and state research and development tax credit carryforwards of $7.9 million and $3.9 million, respectively. The federal research and development tax credit carryforwards begin to expire in 2038, while the state research and development tax credit carryforwards can be carried forward indefinitely. Under Sections 382 and 383 of the Code, and corresponding provisions of state law, if a corporation undergoes an “ownership change” (generally defined as a greater than 50 percentage point change (by value) in its equity ownership over a rolling three-year period), the corporation’s ability to use its pre-change NOL carryforwards and other pre-change tax attributes to offset its post-change income may be limited. We performed a Code Section 382 analysis in 2021 and determined there was an ownership change that resulted in Section 382 limitations. The ownership change limited our ability to utilize NOLs against future taxable income but will not result in the expiration of any NOLs. We may in the future experience ownership changes as a result of changes in our stock ownership (some of which are not in our control). In addition, under current tax law, federal NOL carryforwards generated in periods after December 31, 2017, may be carried forward indefinitely but, in taxable years beginning after December 31, 2020, may only be used to offset 80% of our taxable income. For these reasons, our ability to utilize our NOL carryforwards and other tax attributes to reduce future tax liabilities may be limited.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2022 and 2021</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operating expenses for the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156210</wp:posOffset>
            </wp:positionV>
            <wp:extent cx="3621405" cy="260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21405" cy="26098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 w:type="dxa"/>
            <w:vAlign w:val="bottom"/>
          </w:tcPr>
          <w:p>
            <w:pPr>
              <w:spacing w:after="0"/>
              <w:rPr>
                <w:sz w:val="16"/>
                <w:szCs w:val="16"/>
                <w:color w:val="auto"/>
              </w:rPr>
            </w:pPr>
          </w:p>
        </w:tc>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Consolidated Statements of Operations Data:</w:t>
            </w: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69"/>
        </w:trPr>
        <w:tc>
          <w:tcPr>
            <w:tcW w:w="460" w:type="dxa"/>
            <w:vAlign w:val="bottom"/>
          </w:tcPr>
          <w:p>
            <w:pPr>
              <w:spacing w:after="0"/>
              <w:rPr>
                <w:sz w:val="14"/>
                <w:szCs w:val="14"/>
                <w:color w:val="auto"/>
              </w:rPr>
            </w:pPr>
          </w:p>
        </w:tc>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24"/>
        </w:trPr>
        <w:tc>
          <w:tcPr>
            <w:tcW w:w="46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Revenue from collaborations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13,907</w:t>
            </w:r>
          </w:p>
        </w:tc>
        <w:tc>
          <w:tcPr>
            <w:tcW w:w="24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4,359</w:t>
            </w:r>
          </w:p>
        </w:tc>
        <w:tc>
          <w:tcPr>
            <w:tcW w:w="22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9,548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w:t>
            </w:r>
          </w:p>
        </w:tc>
      </w:tr>
      <w:tr>
        <w:trPr>
          <w:trHeight w:val="242"/>
        </w:trPr>
        <w:tc>
          <w:tcPr>
            <w:tcW w:w="46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43"/>
        </w:trPr>
        <w:tc>
          <w:tcPr>
            <w:tcW w:w="46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85,077</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104,153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(19,076 )</w:t>
            </w:r>
          </w:p>
        </w:tc>
        <w:tc>
          <w:tcPr>
            <w:tcW w:w="380" w:type="dxa"/>
            <w:vAlign w:val="bottom"/>
          </w:tcPr>
          <w:p>
            <w:pPr>
              <w:spacing w:after="0"/>
              <w:rPr>
                <w:sz w:val="21"/>
                <w:szCs w:val="21"/>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(18 )%</w:t>
            </w:r>
          </w:p>
        </w:tc>
      </w:tr>
      <w:tr>
        <w:trPr>
          <w:trHeight w:val="243"/>
        </w:trPr>
        <w:tc>
          <w:tcPr>
            <w:tcW w:w="46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26,410</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28,527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(2,117 )</w:t>
            </w:r>
          </w:p>
        </w:tc>
        <w:tc>
          <w:tcPr>
            <w:tcW w:w="380" w:type="dxa"/>
            <w:vAlign w:val="bottom"/>
          </w:tcPr>
          <w:p>
            <w:pPr>
              <w:spacing w:after="0"/>
              <w:rPr>
                <w:sz w:val="21"/>
                <w:szCs w:val="21"/>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(7 )%</w:t>
            </w:r>
          </w:p>
        </w:tc>
      </w:tr>
      <w:tr>
        <w:trPr>
          <w:trHeight w:val="243"/>
        </w:trPr>
        <w:tc>
          <w:tcPr>
            <w:tcW w:w="46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111,487</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132,680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(21,193 )</w:t>
            </w:r>
          </w:p>
        </w:tc>
        <w:tc>
          <w:tcPr>
            <w:tcW w:w="380" w:type="dxa"/>
            <w:vAlign w:val="bottom"/>
          </w:tcPr>
          <w:p>
            <w:pPr>
              <w:spacing w:after="0"/>
              <w:rPr>
                <w:sz w:val="21"/>
                <w:szCs w:val="21"/>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(16 )%</w:t>
            </w:r>
          </w:p>
        </w:tc>
      </w:tr>
      <w:tr>
        <w:trPr>
          <w:trHeight w:val="250"/>
        </w:trPr>
        <w:tc>
          <w:tcPr>
            <w:tcW w:w="46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(97,580 )</w:t>
            </w:r>
          </w:p>
        </w:tc>
        <w:tc>
          <w:tcPr>
            <w:tcW w:w="3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(128,321 )</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30,741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(24 )%</w:t>
            </w:r>
          </w:p>
        </w:tc>
      </w:tr>
      <w:tr>
        <w:trPr>
          <w:trHeight w:val="250"/>
        </w:trPr>
        <w:tc>
          <w:tcPr>
            <w:tcW w:w="460" w:type="dxa"/>
            <w:vAlign w:val="bottom"/>
          </w:tcPr>
          <w:p>
            <w:pPr>
              <w:spacing w:after="0"/>
              <w:rPr>
                <w:sz w:val="21"/>
                <w:szCs w:val="21"/>
                <w:color w:val="auto"/>
              </w:rPr>
            </w:pPr>
          </w:p>
        </w:tc>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and other income, net</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40" w:type="dxa"/>
            <w:vAlign w:val="bottom"/>
          </w:tcPr>
          <w:p>
            <w:pPr>
              <w:spacing w:after="0"/>
              <w:rPr>
                <w:sz w:val="21"/>
                <w:szCs w:val="21"/>
                <w:color w:val="auto"/>
              </w:rPr>
            </w:pPr>
          </w:p>
        </w:tc>
      </w:tr>
      <w:tr>
        <w:trPr>
          <w:trHeight w:val="230"/>
        </w:trPr>
        <w:tc>
          <w:tcPr>
            <w:tcW w:w="46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1,279</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527 %</w:t>
            </w:r>
          </w:p>
        </w:tc>
      </w:tr>
      <w:tr>
        <w:trPr>
          <w:trHeight w:val="242"/>
        </w:trPr>
        <w:tc>
          <w:tcPr>
            <w:tcW w:w="46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Other income (loss), net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(110 )</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(208 )%</w:t>
            </w:r>
          </w:p>
        </w:tc>
      </w:tr>
      <w:tr>
        <w:trPr>
          <w:trHeight w:val="243"/>
        </w:trPr>
        <w:tc>
          <w:tcPr>
            <w:tcW w:w="46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Total interest and other income, net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1,640</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1,508</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1,142 %</w:t>
            </w:r>
          </w:p>
        </w:tc>
      </w:tr>
      <w:tr>
        <w:trPr>
          <w:trHeight w:val="243"/>
        </w:trPr>
        <w:tc>
          <w:tcPr>
            <w:tcW w:w="46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0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(95,940 )</w:t>
            </w:r>
          </w:p>
        </w:tc>
        <w:tc>
          <w:tcPr>
            <w:tcW w:w="3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(128,189 )</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32,249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(25 )%</w:t>
            </w:r>
          </w:p>
        </w:tc>
      </w:tr>
      <w:tr>
        <w:trPr>
          <w:trHeight w:val="243"/>
        </w:trPr>
        <w:tc>
          <w:tcPr>
            <w:tcW w:w="46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(106 )</w:t>
            </w:r>
          </w:p>
        </w:tc>
        <w:tc>
          <w:tcPr>
            <w:tcW w:w="3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(143 )</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(26 )%</w:t>
            </w:r>
          </w:p>
        </w:tc>
      </w:tr>
      <w:tr>
        <w:trPr>
          <w:trHeight w:val="243"/>
        </w:trPr>
        <w:tc>
          <w:tcPr>
            <w:tcW w:w="460" w:type="dxa"/>
            <w:vAlign w:val="bottom"/>
          </w:tcPr>
          <w:p>
            <w:pPr>
              <w:spacing w:after="0"/>
              <w:rPr>
                <w:sz w:val="21"/>
                <w:szCs w:val="21"/>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(96,046 )</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(128,332 )</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32,286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(25 )%</w:t>
            </w:r>
          </w:p>
        </w:tc>
      </w:tr>
      <w:tr>
        <w:trPr>
          <w:trHeight w:val="661"/>
        </w:trPr>
        <w:tc>
          <w:tcPr>
            <w:tcW w:w="4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651"/>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-2502535</wp:posOffset>
            </wp:positionV>
            <wp:extent cx="6557645"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57645" cy="15430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-2193925</wp:posOffset>
            </wp:positionV>
            <wp:extent cx="6557645"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57645" cy="15430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-1885315</wp:posOffset>
            </wp:positionV>
            <wp:extent cx="6557645"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57645" cy="15430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-1268095</wp:posOffset>
            </wp:positionV>
            <wp:extent cx="6557645"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57645" cy="15430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-959485</wp:posOffset>
            </wp:positionV>
            <wp:extent cx="6557645"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57645" cy="15430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-650875</wp:posOffset>
            </wp:positionV>
            <wp:extent cx="6557645"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57645"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Research and development expenses were $85.1 million for the year ended December 31, 2022, compared to $104.2 million for the year ended December 31, 2021, a decrease of $19.1 million. This is due to a decrease of $21.6 million of third-party expenses due to our reduced costs related to our discontinuation of our STOPS and ASO programs, and the manufacturing of drug supply in advance of our clinical trial activity for our CAM-E and siRNA programs, a decrease of $0.7 million in depreciation, and a decrease of $0.4 million in recruiting expenses. This was partially offset by an increase of $2.1 million in additional employee-related costs, of which $0.3 million related to stock-based compensation, an increase of $0.4 million in travel &amp; entertainment expenses, and an increase of $1.1 million in facility expenses.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General and administrative expenses were $26.4 million for the year ended December 31, 2022, compared to $28.5 million for the year ended December 31, 2021, a decrease of $2.1 million. This is due to a decrease of $2.1 million of third-party expenses primarily due to lower legal and patent attorney costs, a decrease of $0.5 million in consulting and recruiting costs, and a decrease of $0.7 million in facility expenses. The decrease was partially offset by an increase of $1.2 million of additional employee-related costs, of which $0.7 million related to stock-based compensation.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11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Interest income, net increased to $1.5 million for the year ended December 31, 2022 from $0.2 million for the year ended December 31, 2021, an increase of approximately $1.3 million, primarily due to the change in our portfolio of cash equivalents, short-term and long-term investments as well as a general increase in market interest rates during the year ended December 31,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(loss), net</w:t>
      </w:r>
    </w:p>
    <w:p>
      <w:pPr>
        <w:spacing w:after="0" w:line="117" w:lineRule="exact"/>
        <w:rPr>
          <w:sz w:val="20"/>
          <w:szCs w:val="20"/>
          <w:color w:val="auto"/>
        </w:rPr>
      </w:pPr>
    </w:p>
    <w:p>
      <w:pPr>
        <w:ind w:right="60" w:firstLine="509"/>
        <w:spacing w:after="0" w:line="308" w:lineRule="auto"/>
        <w:rPr>
          <w:sz w:val="20"/>
          <w:szCs w:val="20"/>
          <w:color w:val="auto"/>
        </w:rPr>
      </w:pPr>
      <w:r>
        <w:rPr>
          <w:rFonts w:ascii="Arial" w:cs="Arial" w:eastAsia="Arial" w:hAnsi="Arial"/>
          <w:sz w:val="17"/>
          <w:szCs w:val="17"/>
          <w:color w:val="auto"/>
        </w:rPr>
        <w:t>Other income (loss), net was an income of $0.1 million for the year ended December 31, 2022 compared to a loss of $0.1 million for the year ended December 31, 2021, a difference of $0.2 million. The difference was due primarily to foreign currency exchange losses versus the U.S. dollar.</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We have incurred net losses since inception. We have not generated any revenue from product sales or any other sources and have incurred significant operating losses. We have not yet commercialized any products and we do not expect to generate revenue from sales of any drug candidates for at least several years, if ever.</w:t>
      </w:r>
    </w:p>
    <w:p>
      <w:pPr>
        <w:spacing w:after="0" w:line="76" w:lineRule="exact"/>
        <w:rPr>
          <w:sz w:val="20"/>
          <w:szCs w:val="20"/>
          <w:color w:val="auto"/>
        </w:rPr>
      </w:pPr>
    </w:p>
    <w:p>
      <w:pPr>
        <w:jc w:val="both"/>
        <w:ind w:right="140" w:firstLine="509"/>
        <w:spacing w:after="0" w:line="259" w:lineRule="auto"/>
        <w:rPr>
          <w:sz w:val="20"/>
          <w:szCs w:val="20"/>
          <w:color w:val="auto"/>
        </w:rPr>
      </w:pPr>
      <w:r>
        <w:rPr>
          <w:rFonts w:ascii="Arial" w:cs="Arial" w:eastAsia="Arial" w:hAnsi="Arial"/>
          <w:sz w:val="18"/>
          <w:szCs w:val="18"/>
          <w:color w:val="auto"/>
        </w:rPr>
        <w:t>Our operations have been financed primarily by net proceeds from the sale and issuance of our convertible preferred stock, net proceeds from our IPO, and the issuance of convertible debt. In July 2021, we completed a follow-on offering and issued 4,400,000 shares of our common stock at a price to the public of $19.00 per share for net proceeds of $77.7 million, after deducting underwriting discounts and commissions and estimated offering expenses payable by us.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we had cash, cash equivalents and investments of $125.8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17"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Our primary use of cash is to fund operating expenses, which consist primarily of research and development costs related to our drug candidates and our discovery programs, and to a lesser extent, general and administrative expenditures. We expect our expenses to increase substantially in connection with our ongoing clinical development activities related to our NASH drug candidate ALG-055009, which we have initiated clinical trials, as well as our research and development of our other drug candidates within our coronavirus and CHB programs.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02" w:name="page103"/>
    <w:bookmarkEnd w:id="102"/>
    <w:p>
      <w:pPr>
        <w:ind w:firstLine="509"/>
        <w:spacing w:after="0" w:line="277" w:lineRule="auto"/>
        <w:rPr>
          <w:sz w:val="20"/>
          <w:szCs w:val="20"/>
          <w:color w:val="auto"/>
        </w:rPr>
      </w:pPr>
      <w:r>
        <w:rPr>
          <w:rFonts w:ascii="Arial" w:cs="Arial" w:eastAsia="Arial" w:hAnsi="Arial"/>
          <w:sz w:val="18"/>
          <w:szCs w:val="18"/>
          <w:color w:val="auto"/>
        </w:rPr>
        <w:t>In addition, we continue to incur additional costs associated with operating as a public company following our IPO in October 2020. We expect that our expenses will increase substantially to the extent we:</w:t>
      </w:r>
    </w:p>
    <w:p>
      <w:pPr>
        <w:spacing w:after="0" w:line="62"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conduct our current and future clinical trials, and additional nonclinical studies;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initiate and continue research and nonclinical and clinical development of other drug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seek to identify additional drug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pursue marketing approvals for any of our drug candidates that successfully complete clinical trials, if any;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the manufacture of larger quantities of our drug candidates for clinical development and potentially commercialization;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acquire or in-license other drug candidates and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hire and retain additional clinical, quality control and scientific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achieve milestones triggering payments by us under our current and potential future licensing and/or collaboration agreements;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build out or expand existing facilities to support our ongoing development activity; and</w:t>
      </w:r>
    </w:p>
    <w:p>
      <w:pPr>
        <w:spacing w:after="0" w:line="117" w:lineRule="exact"/>
        <w:rPr>
          <w:rFonts w:ascii="Arial" w:cs="Arial" w:eastAsia="Arial" w:hAnsi="Arial"/>
          <w:sz w:val="18"/>
          <w:szCs w:val="18"/>
          <w:color w:val="auto"/>
        </w:rPr>
      </w:pPr>
    </w:p>
    <w:p>
      <w:pPr>
        <w:ind w:left="1020" w:right="200" w:hanging="503"/>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any future commercialization efforts and any additional requirement of being a public company.</w:t>
      </w:r>
    </w:p>
    <w:p>
      <w:pPr>
        <w:spacing w:after="0" w:line="6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believe that our existing cash, cash equivalents and investments will enable us to fund our planned operating expenses and capital expenditure requirements through at least the twelve months from the date of issuing our financial statements. We have based this estimate on assumptions that may prove to be wrong, and we could exhaust our available capital resources sooner than we expect. Furthermore, we may elect to raise additional capital on an opportunistic basis to fund operations.</w:t>
      </w:r>
    </w:p>
    <w:p>
      <w:pPr>
        <w:spacing w:after="0" w:line="79"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w:t>
      </w:r>
    </w:p>
    <w:p>
      <w:pPr>
        <w:spacing w:after="0" w:line="79" w:lineRule="exact"/>
        <w:rPr>
          <w:sz w:val="20"/>
          <w:szCs w:val="20"/>
          <w:color w:val="auto"/>
        </w:rPr>
      </w:pPr>
    </w:p>
    <w:p>
      <w:pPr>
        <w:ind w:left="1020" w:hanging="503"/>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drug candidates and programs, and of conducting nonclinical studies and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for drug candidates we develop if clinical trials are successful;</w:t>
      </w:r>
    </w:p>
    <w:p>
      <w:pPr>
        <w:spacing w:after="0" w:line="128" w:lineRule="exact"/>
        <w:rPr>
          <w:rFonts w:ascii="Arial" w:cs="Arial" w:eastAsia="Arial" w:hAnsi="Arial"/>
          <w:sz w:val="17"/>
          <w:szCs w:val="17"/>
          <w:color w:val="auto"/>
        </w:rPr>
      </w:pPr>
    </w:p>
    <w:p>
      <w:pPr>
        <w:jc w:val="both"/>
        <w:ind w:left="1020" w:right="320" w:hanging="503"/>
        <w:spacing w:after="0" w:line="263"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75" w:lineRule="exact"/>
        <w:rPr>
          <w:rFonts w:ascii="Arial" w:cs="Arial" w:eastAsia="Arial" w:hAnsi="Arial"/>
          <w:sz w:val="18"/>
          <w:szCs w:val="18"/>
          <w:color w:val="auto"/>
        </w:rPr>
      </w:pPr>
    </w:p>
    <w:p>
      <w:pPr>
        <w:ind w:left="1020" w:right="1200" w:hanging="503"/>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of manufacturing our current and future drug candidates for clinical trials in preparation for marketing approval and commercialization;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timing, receipt and amount of sales of, or profit share or royalties on, our future products, if any;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103" w:name="page104"/>
    <w:bookmarkEnd w:id="103"/>
    <w:p>
      <w:pPr>
        <w:ind w:left="1020" w:hanging="503"/>
        <w:spacing w:after="0"/>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emergence of competing therapies for hepatological indications and viral diseases and other adverse market developments; and</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acquisitions or in-licensing of other programs or technologies.</w:t>
      </w:r>
    </w:p>
    <w:p>
      <w:pPr>
        <w:spacing w:after="0" w:line="117"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product revenues, if any, will be derived from sales of drugs that we do not expect to be commercially available for many years, if ever. Accordingly, we will need to obtain substantial additional funds to achieve our business objectives.</w:t>
      </w:r>
    </w:p>
    <w:p>
      <w:pPr>
        <w:spacing w:after="0" w:line="53"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Adequate additional funds may not be available to us on acceptable terms, or at all. We do not currently have any committed external source of funds. To the extent that we raise additional capital through the sale of equity or convertible debt securities, ownership interest may be diluted, and the terms of these securities may include liquidation or other preferences and anti-dilution protections that could adversely affect the rights of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constrain our ability to conduct our business, and may require the issuance of warrants, which could potentially dilute ownership interest.</w:t>
      </w:r>
    </w:p>
    <w:p>
      <w:pPr>
        <w:spacing w:after="0" w:line="70"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to our technology, future revenue streams, research programs, or drug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00" w:lineRule="exact"/>
        <w:rPr>
          <w:sz w:val="20"/>
          <w:szCs w:val="20"/>
          <w:color w:val="auto"/>
        </w:rPr>
      </w:pP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3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(79,389</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(115,662</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9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20"/>
                <w:szCs w:val="20"/>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(26,293 )</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3,022</w:t>
            </w:r>
          </w:p>
        </w:tc>
        <w:tc>
          <w:tcPr>
            <w:tcW w:w="80" w:type="dxa"/>
            <w:vAlign w:val="bottom"/>
          </w:tcPr>
          <w:p>
            <w:pPr>
              <w:spacing w:after="0"/>
              <w:rPr>
                <w:sz w:val="20"/>
                <w:szCs w:val="20"/>
                <w:color w:val="auto"/>
              </w:rPr>
            </w:pPr>
          </w:p>
        </w:tc>
      </w:tr>
      <w:tr>
        <w:trPr>
          <w:trHeight w:val="243"/>
        </w:trPr>
        <w:tc>
          <w:tcPr>
            <w:tcW w:w="5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78,677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92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 xml:space="preserve">(105,518 </w:t>
            </w:r>
            <w:r>
              <w:rPr>
                <w:rFonts w:ascii="Arial" w:cs="Arial" w:eastAsia="Arial" w:hAnsi="Arial"/>
                <w:sz w:val="18"/>
                <w:szCs w:val="18"/>
                <w:color w:val="auto"/>
                <w:highlight w:val="white"/>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xml:space="preserve">(33,963 </w:t>
            </w:r>
            <w:r>
              <w:rPr>
                <w:rFonts w:ascii="Arial" w:cs="Arial" w:eastAsia="Arial" w:hAnsi="Arial"/>
                <w:sz w:val="18"/>
                <w:szCs w:val="18"/>
                <w:color w:val="auto"/>
                <w:highlight w:val="white"/>
              </w:rPr>
              <w:t>)</w:t>
            </w:r>
          </w:p>
        </w:tc>
      </w:tr>
      <w:tr>
        <w:trPr>
          <w:trHeight w:val="20"/>
        </w:trPr>
        <w:tc>
          <w:tcPr>
            <w:tcW w:w="59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During Fiscal 2022, operating activities used $79.4 million of cash, primarily resulting from our net loss of $96.0 million and cash used as a result of changes in our operating assets and liabilities of $1.6 million, partially offset by non-cash charges of $18.2 million. Net cash used as a result of changes in our operating assets and liabilities of $1.6 million consisted of a decrease in accrued liabilities of $9.1 million, an increase of $0.3 million in right of use assets, a decrease of $1.8 million in operating lease liabilities, and a decrease of $0.1 million in other liabilities, partially offset by a decrease in other current assets of $5.6 million, an increase of $1.6 million in accounts payable, and an increase of $2.5 million in deferred revenue from collaborations.</w:t>
      </w:r>
    </w:p>
    <w:p>
      <w:pPr>
        <w:spacing w:after="0" w:line="53"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 xml:space="preserve">The decrease in other assets resulted from reduced costs due to the discontinuation of our STOPS and ASO programs including deposits for manufacturing slot reservation fees. The increase in deferred revenue from collaborations was a result of our collaboration agreements (refer to Note 10 </w:t>
      </w:r>
      <w:r>
        <w:rPr>
          <w:rFonts w:ascii="Arial" w:cs="Arial" w:eastAsia="Arial" w:hAnsi="Arial"/>
          <w:sz w:val="17"/>
          <w:szCs w:val="17"/>
          <w:i w:val="1"/>
          <w:iCs w:val="1"/>
          <w:color w:val="auto"/>
        </w:rPr>
        <w:t xml:space="preserve">License and collaboration agreements, </w:t>
      </w:r>
      <w:r>
        <w:rPr>
          <w:rFonts w:ascii="Arial" w:cs="Arial" w:eastAsia="Arial" w:hAnsi="Arial"/>
          <w:sz w:val="17"/>
          <w:szCs w:val="17"/>
          <w:color w:val="auto"/>
        </w:rPr>
        <w:t>for details), partially offset by the recognition of revenue from collaborations due to progress towards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completion of the projects. Operating lease liabilities decreased due to contractual lease payments, and the decrease in accrued liabilities was due primarily due to a slowdown in manufacturing activities for various drug compounds that are expected to be consumed in future clinical trials.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4" w:name="page105"/>
    <w:bookmarkEnd w:id="104"/>
    <w:p>
      <w:pPr>
        <w:ind w:firstLine="509"/>
        <w:spacing w:after="0" w:line="275" w:lineRule="auto"/>
        <w:rPr>
          <w:sz w:val="20"/>
          <w:szCs w:val="20"/>
          <w:color w:val="auto"/>
        </w:rPr>
      </w:pPr>
      <w:r>
        <w:rPr>
          <w:rFonts w:ascii="Arial" w:cs="Arial" w:eastAsia="Arial" w:hAnsi="Arial"/>
          <w:sz w:val="17"/>
          <w:szCs w:val="17"/>
          <w:color w:val="auto"/>
        </w:rPr>
        <w:t>During Fiscal 2021, operating activities used $115.7 million of cash, primarily resulting from our net loss of $128.3 million and cash used as a result of changes in our operating assets and liabilities of $4.7 million, partially offset by non-cash charges of $17.3 million. Net cash used as a result of changes in our operating assets and liabilities of $4.7 million consisted of an increase of an increase in other assets of $8.1 million, a decrease of $4.4 million in deferred revenue from collaborations, a decrease of $1.4 million in operating lease liabilities, a decrease of $0.3 million in accounts payable and a decrease of $0.2 million in other liabilities, partially offset by an increase in accrued liabilities of $9.7 million.</w:t>
      </w:r>
    </w:p>
    <w:p>
      <w:pPr>
        <w:spacing w:after="0" w:line="68" w:lineRule="exact"/>
        <w:rPr>
          <w:sz w:val="20"/>
          <w:szCs w:val="20"/>
          <w:color w:val="auto"/>
        </w:rPr>
      </w:pPr>
    </w:p>
    <w:p>
      <w:pPr>
        <w:ind w:right="380" w:firstLine="509"/>
        <w:spacing w:after="0" w:line="279" w:lineRule="auto"/>
        <w:rPr>
          <w:sz w:val="20"/>
          <w:szCs w:val="20"/>
          <w:color w:val="auto"/>
        </w:rPr>
      </w:pPr>
      <w:r>
        <w:rPr>
          <w:rFonts w:ascii="Arial" w:cs="Arial" w:eastAsia="Arial" w:hAnsi="Arial"/>
          <w:sz w:val="17"/>
          <w:szCs w:val="17"/>
          <w:color w:val="auto"/>
        </w:rPr>
        <w:t>The increase in other assets resulted from advances for clinical trial costs and deposits for manufacturing slot reservation fees. The decrease in deferred revenue from collaborations was a result of recognition of revenue from collaborations due to progress towards the completion of the project. Operating lease liabilities decreased due to contractual lease payments, and the increase in accrued liabilities was due primarily due to a ramp in manufacturing activities for various drug compounds that are expected to be consumed in future clinical trials.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During Fiscal 2022, investing activities used $26.3 million of cash, consisting primarily of $104.3 million of investment purchases, and $0.9 million of purchases of property and equipment, partially offset by $78.9 million of investment maturities.</w:t>
      </w:r>
    </w:p>
    <w:p>
      <w:pPr>
        <w:spacing w:after="0" w:line="6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During Fiscal 2021, investing activities provided $3.0 million of cash, consisting primarily of $23.0 million of investment maturities, offset by $19.1 million of investment purchases and $0.9 million of purchases of property and equipment.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During Fiscal 2022, net cash provided by financing activities was $0.2 million, consisting primarily of $0.2 million from the issuance of common stock from the exercise of employee stock options and the issuance of shares through our employee stock purchase plan, partially offset by payments of our finance leases.</w:t>
      </w:r>
    </w:p>
    <w:p>
      <w:pPr>
        <w:spacing w:after="0" w:line="7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During Fiscal 2021, net cash provided by financing activities was $78.7 million, consisting primarily of $78.6 million in proceeds from our follow-on offering, net of issuance costs, and $1.0 million from the issuance of common stock from the exercise of employee stock options and the issuance of shares through our employee stock purchase plan. The cash provided was partially offset by costs related to our follow-on offering of $0.9 million and payments for our capital leases of $0.1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20" w:firstLine="509"/>
        <w:spacing w:after="0" w:line="272" w:lineRule="auto"/>
        <w:rPr>
          <w:sz w:val="20"/>
          <w:szCs w:val="20"/>
          <w:color w:val="auto"/>
        </w:rPr>
      </w:pPr>
      <w:r>
        <w:rPr>
          <w:rFonts w:ascii="Arial" w:cs="Arial" w:eastAsia="Arial" w:hAnsi="Arial"/>
          <w:sz w:val="17"/>
          <w:szCs w:val="17"/>
          <w:color w:val="auto"/>
        </w:rPr>
        <w:t>Our principal commitments consist of obligations under our operating leases for office space in South San Francisco, California, and Belgium, and finance lease commitments representing obligations related to vehicle leases for employees and a lease for lab equipment. All of our finance leases are for assets in Belgium. We do not have any material purchase commitments for contracts with fixed or minimum service requirements. We also enter into contracts in the normal course of business with various vendors that generally provide for contract termination following a certain notice period. The Company enters into contracts in the normal course of business that includes arrangements with clinical research organizations, vendors for preclinical research and vendors for manufacturing. These agreements generally allow for cancellation with notice. As of December 31, 2022, the Company had no material non-cancellable purchase commitments.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5" w:name="page106"/>
    <w:bookmarkEnd w:id="105"/>
    <w:p>
      <w:pPr>
        <w:ind w:right="200"/>
        <w:spacing w:after="0" w:line="277" w:lineRule="auto"/>
        <w:rPr>
          <w:sz w:val="20"/>
          <w:szCs w:val="20"/>
          <w:color w:val="auto"/>
        </w:rPr>
      </w:pPr>
      <w:r>
        <w:rPr>
          <w:rFonts w:ascii="Arial" w:cs="Arial" w:eastAsia="Arial" w:hAnsi="Arial"/>
          <w:sz w:val="18"/>
          <w:szCs w:val="18"/>
          <w:color w:val="auto"/>
        </w:rPr>
        <w:t>incurred costs to defend lawsuits or settle claims related to these indemnification agreements. As a result, we believe the fair value of these agreements is minimal.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160" w:firstLine="509"/>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56" w:lineRule="exact"/>
        <w:rPr>
          <w:sz w:val="20"/>
          <w:szCs w:val="20"/>
          <w:color w:val="auto"/>
        </w:rPr>
      </w:pPr>
    </w:p>
    <w:p>
      <w:pPr>
        <w:ind w:right="140" w:firstLine="509"/>
        <w:spacing w:after="0" w:line="311" w:lineRule="auto"/>
        <w:rPr>
          <w:sz w:val="20"/>
          <w:szCs w:val="20"/>
          <w:color w:val="auto"/>
        </w:rPr>
      </w:pPr>
      <w:r>
        <w:rPr>
          <w:rFonts w:ascii="Arial" w:cs="Arial" w:eastAsia="Arial" w:hAnsi="Arial"/>
          <w:sz w:val="16"/>
          <w:szCs w:val="16"/>
          <w:color w:val="auto"/>
        </w:rPr>
        <w:t>While our significant accounting policies are described in the notes to our consolidated financial statements included elsewhere in this Annual Report on Form 10-K, we believe that the following critical accounting policies are most important to understanding and evaluating our reported financial results and future performance, as these policies relate to the more significant areas involving management’s judgments and estimates.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We record accrued expenses for estimated costs of our research and development activities conducted by third-party service providers, which include the conduct of clinical trials and nonclinical studies. We record the estimated costs of research and development activities based upon the estimated amount of services provided but not yet invoiced and include these costs in accrued liabilities in the consolidated balance sheets and within research and development expense in the consolidated statements of operations and comprehensive loss. These expenses are a significant component of our research and development costs. We record accrued expenses for these costs based on factors such as estimates of the work completed and in accordance with agreements established with these third-party service providers. Any payments made in advance of services provided are recorded as prepaid expenses and other assets, which are expensed as the contracted services are performed.</w:t>
      </w:r>
    </w:p>
    <w:p>
      <w:pPr>
        <w:spacing w:after="0" w:line="69"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could vary from actuals and result in us reporting amounts that are too high or too low in any particular period. Our accrued expenses are dependent, in part, upon the receipt of timely and accurate reporting from clinical research organizations and other third-party service providers. For the periods presented, we have experienced no material differences between our accrued expenses and actual expenses.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We expense research and development costs as incurred. Acquired intangible assets are expensed as research and development if, at the time of payment, the technology is under development; is not approved by the U.S. Food and Drug Administration or other regulatory agencies for marketing; has not reached technical feasibility; or otherwise has no foreseeable alternative future use.</w:t>
      </w:r>
    </w:p>
    <w:p>
      <w:pPr>
        <w:spacing w:after="0" w:line="7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Research and development expenses consist of costs incurred in performing research and development activities, including salaries, stock-based compensation and benefits, facilities costs, depreciation, and third-party license fees. Non-refundable prepayments for goods or services that will be used or rendered for future research and development activities are expensed as incurred. In-process research and development (IPR&amp;D) expense represents the costs to acquire technologies to be used in research and development that have not reached technological feasibility or have no alternative future uses and thus are expensed as incurred. IPR&amp;D expense also includes upfront license fees and milestones paid to collaborators for technologies with no alternative use.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We measure stock options and other stock-based awards granted to employees, directors and other service providers based on their fair value on the date of grant and recognize compensation expense of those awards over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6" w:name="page107"/>
    <w:bookmarkEnd w:id="106"/>
    <w:p>
      <w:pPr>
        <w:ind w:right="100"/>
        <w:spacing w:after="0" w:line="257" w:lineRule="auto"/>
        <w:rPr>
          <w:sz w:val="20"/>
          <w:szCs w:val="20"/>
          <w:color w:val="auto"/>
        </w:rPr>
      </w:pPr>
      <w:r>
        <w:rPr>
          <w:rFonts w:ascii="Arial" w:cs="Arial" w:eastAsia="Arial" w:hAnsi="Arial"/>
          <w:sz w:val="18"/>
          <w:szCs w:val="18"/>
          <w:color w:val="auto"/>
        </w:rPr>
        <w:t>the requisite service period, which is generally the vesting period of the respective award. We recognize the impact of forfeitures on stock-based compensation expense as forfeitures occur. We apply the straight-line method of expense recognition to all awards with only service-based vesting conditions. During the year ended December 31, 2022 and 2021, we did not grant any stock-based awards with performance-based vesting conditions. We recognize compensation expense related to such awards when it is determined that satisfying the performance conditions is probable using the accelerated attribution method over the requisite service period.</w:t>
      </w:r>
    </w:p>
    <w:p>
      <w:pPr>
        <w:spacing w:after="0" w:line="188"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We estimate the fair value of each stock option grant on the date of grant using the Black-Scholes option-pricing model, which requires the use of highly subjective assumptions including:</w:t>
      </w:r>
    </w:p>
    <w:p>
      <w:pPr>
        <w:spacing w:after="0" w:line="62" w:lineRule="exact"/>
        <w:rPr>
          <w:sz w:val="20"/>
          <w:szCs w:val="20"/>
          <w:color w:val="auto"/>
        </w:rPr>
      </w:pPr>
    </w:p>
    <w:p>
      <w:pPr>
        <w:ind w:left="1020" w:right="160" w:hanging="503"/>
        <w:spacing w:after="0" w:line="259"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Expected term - We have opted to use the “simplified method” for estimating the expected term of plain-vanilla options, whereby the expected term equals the arithmetic average of the vesting term and the original contractual term of the option (generally 10 years). We estimated the expected term of performance-based vesting options based on the expected life of the options to remain outstanding, which is estimated to be materially consistent with time-vesting options.</w:t>
      </w:r>
    </w:p>
    <w:p>
      <w:pPr>
        <w:spacing w:after="0" w:line="78"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Risk-free interest rate - The risk-free rate assumption is based on the U.S. Treasury instruments with maturities similar to the expected term of our stock options.</w:t>
      </w:r>
    </w:p>
    <w:p>
      <w:pPr>
        <w:spacing w:after="0" w:line="62"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Expected dividend - We have not issued any dividends and do not anticipate to issue dividends on our common stock. As a result, we have estimated the dividend yield to be zero.</w:t>
      </w:r>
    </w:p>
    <w:p>
      <w:pPr>
        <w:spacing w:after="0" w:line="62" w:lineRule="exact"/>
        <w:rPr>
          <w:rFonts w:ascii="Arial" w:cs="Arial" w:eastAsia="Arial" w:hAnsi="Arial"/>
          <w:sz w:val="18"/>
          <w:szCs w:val="18"/>
          <w:color w:val="auto"/>
        </w:rPr>
      </w:pPr>
    </w:p>
    <w:p>
      <w:pPr>
        <w:ind w:left="1020" w:hanging="503"/>
        <w:spacing w:after="0" w:line="259"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Expected volatility - Due to our limited operating history and a lack of company-specific historical and implied volatility data, we have based our estimate of expected volatility on the historical volatility of a group of similar companies that are publicly traded. The historical volatility data was computed using the daily closing prices for the selected companies’ shares during the equivalent period of the calculated expected term of the stock-based awards.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In April 2012, the Jumpstart Our Business Startups Act of 2012 (the JOBS Act), was enacted. Section 107 of the JOBS Act provides that an “emerging growth company” (an EGC) can take advantage of the extended transition period provided in Section 7(a)(2)(B) of the Securities Act for complying with new or revised accounting standards. Thus, an EGC can delay the adoption of certain accounting standards until those standards would otherwise apply to private companies. We have elected to use the extended transition period for any new or revised accounting standards during the period in which we remain an EGC; however, we may adopt certain new or revised accounting standards early.</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will remain an EGC until the earliest to occur of: (1) the last day of the fiscal year in which we have more than $1.235 billion in annual revenue;</w:t>
      </w:r>
    </w:p>
    <w:p>
      <w:pPr>
        <w:spacing w:after="0" w:line="46" w:lineRule="exact"/>
        <w:rPr>
          <w:sz w:val="20"/>
          <w:szCs w:val="20"/>
          <w:color w:val="auto"/>
        </w:rPr>
      </w:pPr>
    </w:p>
    <w:p>
      <w:pPr>
        <w:ind w:right="180" w:firstLine="8"/>
        <w:spacing w:after="0" w:line="255"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82"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In addition, we intend to rely on the other exemptions and reduced reporting requirements provided to EGCs by the JOBS Act. Subject to certain conditions set forth in the JOBS Act, as an EGC, we are not required to, among other things, (i) provide an auditor’s attestation report on our system of internal controls over financial reporting pursuant to Section 404(b) of the Sarbanes-Oxley Act of 2002,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or (iv) disclose certain executive compensation-related items such as the correlation between executive compensation and performance and comparisons of the Chief Executive Officer’s compensation to median employee compensation.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Our cash, cash equivalents and investments of $125.8 million as of December 31, 2022, consist of bank deposits, money market funds, certificates of deposit and US Treasury available-for-sale securities. We are exposed to market risk related to changes in interest rates applicable to our investment portfolio of cash equivalents and short-term and long-term investments. Our primary exposure to market risk is interest income sensitivity, which is affected by changes in the general level of U.S. interest rates. Should U.S. interest rates decline, interest income would be reduced in future periods for short- and long-term investments which mature and the proceeds of which are reinvested in similar instruments at lower interest rates. Additionally, the fair value of our short-term and long-term investments is subject to change as a result of potential changes in market interest rates, including changes resulting from the impact of the COVID-19 pandemic. As of December 31, 2022, we estimate that a hypothetical 100 basis point adverse movement would not result in a material impact on our financial position or results of operations or cash flows.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have employees and operations, including contracts with third-party vendors, in Europe through our subsidiary Aligos Belgium BVBA. We have similar, but more limited, operations in Australia and China. Though the functional currency in these locations is the U.S. dollar, we remeasure transactions initially recorded in local currencies in these locations, the Euro, Australian dollar and Chinese Yuan, respectively, to the U.S. dollars periodically. As such, we are exposed to foreign currency exchange risk as the underlying contracts to pay employees or vendors in these locations are generally denominated in the local currencies. A decline in the value of the U.S. dollar relative to these currencies would increase our cost of doing business in these locations.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A 10% increase or decrease in current exchange rates would not have a material effect on our financial position or results of operations or cash flows.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844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800" w:type="dxa"/>
            <w:vAlign w:val="bottom"/>
          </w:tcPr>
          <w:p>
            <w:pPr>
              <w:spacing w:after="0"/>
              <w:rPr>
                <w:sz w:val="20"/>
                <w:szCs w:val="20"/>
                <w:color w:val="auto"/>
              </w:rPr>
            </w:pPr>
          </w:p>
        </w:tc>
      </w:tr>
      <w:tr>
        <w:trPr>
          <w:trHeight w:val="432"/>
        </w:trPr>
        <w:tc>
          <w:tcPr>
            <w:tcW w:w="8440" w:type="dxa"/>
            <w:vAlign w:val="bottom"/>
            <w:gridSpan w:val="8"/>
          </w:tcPr>
          <w:p>
            <w:pPr>
              <w:spacing w:after="0"/>
              <w:rPr>
                <w:sz w:val="20"/>
                <w:szCs w:val="20"/>
                <w:color w:val="auto"/>
              </w:rPr>
            </w:pPr>
            <w:r>
              <w:rPr>
                <w:rFonts w:ascii="Arial" w:cs="Arial" w:eastAsia="Arial" w:hAnsi="Arial"/>
                <w:sz w:val="18"/>
                <w:szCs w:val="18"/>
                <w:color w:val="auto"/>
              </w:rPr>
              <w:t>Index to Financial Statements</w:t>
            </w:r>
          </w:p>
        </w:tc>
        <w:tc>
          <w:tcPr>
            <w:tcW w:w="2800" w:type="dxa"/>
            <w:vAlign w:val="bottom"/>
          </w:tcPr>
          <w:p>
            <w:pPr>
              <w:spacing w:after="0"/>
              <w:rPr>
                <w:sz w:val="24"/>
                <w:szCs w:val="24"/>
                <w:color w:val="auto"/>
              </w:rPr>
            </w:pPr>
          </w:p>
        </w:tc>
      </w:tr>
      <w:tr>
        <w:trPr>
          <w:trHeight w:val="405"/>
        </w:trPr>
        <w:tc>
          <w:tcPr>
            <w:tcW w:w="460" w:type="dxa"/>
            <w:vAlign w:val="bottom"/>
          </w:tcPr>
          <w:p>
            <w:pPr>
              <w:spacing w:after="0"/>
              <w:rPr>
                <w:sz w:val="24"/>
                <w:szCs w:val="24"/>
                <w:color w:val="auto"/>
              </w:rPr>
            </w:pPr>
          </w:p>
        </w:tc>
        <w:tc>
          <w:tcPr>
            <w:tcW w:w="7980" w:type="dxa"/>
            <w:vAlign w:val="bottom"/>
            <w:gridSpan w:val="7"/>
          </w:tcPr>
          <w:p>
            <w:pPr>
              <w:spacing w:after="0"/>
              <w:rPr>
                <w:sz w:val="20"/>
                <w:szCs w:val="20"/>
                <w:color w:val="auto"/>
              </w:rPr>
            </w:pPr>
            <w:r>
              <w:rPr>
                <w:rFonts w:ascii="Arial" w:cs="Arial" w:eastAsia="Arial" w:hAnsi="Arial"/>
                <w:sz w:val="18"/>
                <w:szCs w:val="18"/>
                <w:color w:val="0563C1"/>
              </w:rPr>
              <w:t>Report of Independent Registered Public Accounting Firm (PCAOB ID 42)</w:t>
            </w:r>
          </w:p>
        </w:tc>
        <w:tc>
          <w:tcPr>
            <w:tcW w:w="28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460" w:type="dxa"/>
            <w:vAlign w:val="bottom"/>
          </w:tcPr>
          <w:p>
            <w:pPr>
              <w:spacing w:after="0"/>
              <w:rPr>
                <w:sz w:val="19"/>
                <w:szCs w:val="19"/>
                <w:color w:val="auto"/>
              </w:rPr>
            </w:pPr>
          </w:p>
        </w:tc>
        <w:tc>
          <w:tcPr>
            <w:tcW w:w="2100" w:type="dxa"/>
            <w:vAlign w:val="bottom"/>
            <w:tcBorders>
              <w:top w:val="single" w:sz="8" w:color="0563C1"/>
              <w:bottom w:val="single" w:sz="8" w:color="0563C1"/>
            </w:tcBorders>
          </w:tcPr>
          <w:p>
            <w:pPr>
              <w:spacing w:after="0"/>
              <w:rPr>
                <w:sz w:val="20"/>
                <w:szCs w:val="20"/>
                <w:color w:val="auto"/>
              </w:rPr>
            </w:pPr>
            <w:r>
              <w:rPr>
                <w:rFonts w:ascii="Arial" w:cs="Arial" w:eastAsia="Arial" w:hAnsi="Arial"/>
                <w:sz w:val="18"/>
                <w:szCs w:val="18"/>
                <w:color w:val="0563C1"/>
                <w:w w:val="88"/>
              </w:rPr>
              <w:t>Consolidated Balance Sheets</w:t>
            </w:r>
          </w:p>
        </w:tc>
        <w:tc>
          <w:tcPr>
            <w:tcW w:w="3340" w:type="dxa"/>
            <w:vAlign w:val="bottom"/>
            <w:tcBorders>
              <w:top w:val="single" w:sz="8" w:color="0563C1"/>
            </w:tcBorders>
            <w:gridSpan w:val="5"/>
          </w:tcPr>
          <w:p>
            <w:pPr>
              <w:spacing w:after="0"/>
              <w:rPr>
                <w:sz w:val="19"/>
                <w:szCs w:val="19"/>
                <w:color w:val="auto"/>
              </w:rPr>
            </w:pPr>
          </w:p>
        </w:tc>
        <w:tc>
          <w:tcPr>
            <w:tcW w:w="254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460" w:type="dxa"/>
            <w:vAlign w:val="bottom"/>
          </w:tcPr>
          <w:p>
            <w:pPr>
              <w:spacing w:after="0"/>
              <w:rPr>
                <w:sz w:val="19"/>
                <w:szCs w:val="19"/>
                <w:color w:val="auto"/>
              </w:rPr>
            </w:pPr>
          </w:p>
        </w:tc>
        <w:tc>
          <w:tcPr>
            <w:tcW w:w="4680" w:type="dxa"/>
            <w:vAlign w:val="bottom"/>
            <w:tcBorders>
              <w:bottom w:val="single" w:sz="8" w:color="0563C1"/>
            </w:tcBorders>
            <w:gridSpan w:val="5"/>
          </w:tcPr>
          <w:p>
            <w:pPr>
              <w:spacing w:after="0"/>
              <w:rPr>
                <w:sz w:val="20"/>
                <w:szCs w:val="20"/>
                <w:color w:val="auto"/>
              </w:rPr>
            </w:pPr>
            <w:r>
              <w:rPr>
                <w:rFonts w:ascii="Arial" w:cs="Arial" w:eastAsia="Arial" w:hAnsi="Arial"/>
                <w:sz w:val="18"/>
                <w:szCs w:val="18"/>
                <w:color w:val="0563C1"/>
                <w:w w:val="89"/>
              </w:rPr>
              <w:t>Consolidated Statements of Operations and Comprehensive Loss</w:t>
            </w:r>
          </w:p>
        </w:tc>
        <w:tc>
          <w:tcPr>
            <w:tcW w:w="3300" w:type="dxa"/>
            <w:vAlign w:val="bottom"/>
            <w:gridSpan w:val="2"/>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460" w:type="dxa"/>
            <w:vAlign w:val="bottom"/>
          </w:tcPr>
          <w:p>
            <w:pPr>
              <w:spacing w:after="0"/>
              <w:rPr>
                <w:sz w:val="19"/>
                <w:szCs w:val="19"/>
                <w:color w:val="auto"/>
              </w:rPr>
            </w:pPr>
          </w:p>
        </w:tc>
        <w:tc>
          <w:tcPr>
            <w:tcW w:w="44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563C1"/>
                <w:w w:val="91"/>
              </w:rPr>
              <w:t>Consolidated Statements of Changes in Stockholders’ Equity</w:t>
            </w:r>
          </w:p>
        </w:tc>
        <w:tc>
          <w:tcPr>
            <w:tcW w:w="3540" w:type="dxa"/>
            <w:vAlign w:val="bottom"/>
            <w:gridSpan w:val="3"/>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3"/>
        </w:trPr>
        <w:tc>
          <w:tcPr>
            <w:tcW w:w="460" w:type="dxa"/>
            <w:vAlign w:val="bottom"/>
          </w:tcPr>
          <w:p>
            <w:pPr>
              <w:spacing w:after="0"/>
              <w:rPr>
                <w:sz w:val="19"/>
                <w:szCs w:val="19"/>
                <w:color w:val="auto"/>
              </w:rPr>
            </w:pPr>
          </w:p>
        </w:tc>
        <w:tc>
          <w:tcPr>
            <w:tcW w:w="2880" w:type="dxa"/>
            <w:vAlign w:val="bottom"/>
            <w:tcBorders>
              <w:bottom w:val="single" w:sz="8" w:color="0563C1"/>
            </w:tcBorders>
            <w:gridSpan w:val="2"/>
          </w:tcPr>
          <w:p>
            <w:pPr>
              <w:spacing w:after="0"/>
              <w:rPr>
                <w:sz w:val="20"/>
                <w:szCs w:val="20"/>
                <w:color w:val="auto"/>
              </w:rPr>
            </w:pPr>
            <w:r>
              <w:rPr>
                <w:rFonts w:ascii="Arial" w:cs="Arial" w:eastAsia="Arial" w:hAnsi="Arial"/>
                <w:sz w:val="18"/>
                <w:szCs w:val="18"/>
                <w:color w:val="0563C1"/>
                <w:w w:val="89"/>
              </w:rPr>
              <w:t>Consolidated Statements of Cash Flows</w:t>
            </w:r>
          </w:p>
        </w:tc>
        <w:tc>
          <w:tcPr>
            <w:tcW w:w="5100" w:type="dxa"/>
            <w:vAlign w:val="bottom"/>
            <w:gridSpan w:val="5"/>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23"/>
        </w:trPr>
        <w:tc>
          <w:tcPr>
            <w:tcW w:w="460" w:type="dxa"/>
            <w:vAlign w:val="bottom"/>
          </w:tcPr>
          <w:p>
            <w:pPr>
              <w:spacing w:after="0"/>
              <w:rPr>
                <w:sz w:val="19"/>
                <w:szCs w:val="19"/>
                <w:color w:val="auto"/>
              </w:rPr>
            </w:pPr>
          </w:p>
        </w:tc>
        <w:tc>
          <w:tcPr>
            <w:tcW w:w="3160" w:type="dxa"/>
            <w:vAlign w:val="bottom"/>
            <w:tcBorders>
              <w:bottom w:val="single" w:sz="8" w:color="0563C1"/>
            </w:tcBorders>
            <w:gridSpan w:val="3"/>
          </w:tcPr>
          <w:p>
            <w:pPr>
              <w:spacing w:after="0"/>
              <w:rPr>
                <w:sz w:val="20"/>
                <w:szCs w:val="20"/>
                <w:color w:val="auto"/>
              </w:rPr>
            </w:pPr>
            <w:r>
              <w:rPr>
                <w:rFonts w:ascii="Arial" w:cs="Arial" w:eastAsia="Arial" w:hAnsi="Arial"/>
                <w:sz w:val="18"/>
                <w:szCs w:val="18"/>
                <w:color w:val="0563C1"/>
                <w:w w:val="89"/>
              </w:rPr>
              <w:t>Notes to Consolidated Financial Statements</w:t>
            </w:r>
          </w:p>
        </w:tc>
        <w:tc>
          <w:tcPr>
            <w:tcW w:w="4820" w:type="dxa"/>
            <w:vAlign w:val="bottom"/>
            <w:gridSpan w:val="4"/>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682"/>
        </w:trPr>
        <w:tc>
          <w:tcPr>
            <w:tcW w:w="5900" w:type="dxa"/>
            <w:vAlign w:val="bottom"/>
            <w:gridSpan w:val="7"/>
          </w:tcPr>
          <w:p>
            <w:pPr>
              <w:jc w:val="right"/>
              <w:ind w:right="140"/>
              <w:spacing w:after="0"/>
              <w:rPr>
                <w:sz w:val="20"/>
                <w:szCs w:val="20"/>
                <w:color w:val="auto"/>
              </w:rPr>
            </w:pPr>
            <w:r>
              <w:rPr>
                <w:rFonts w:ascii="Arial" w:cs="Arial" w:eastAsia="Arial" w:hAnsi="Arial"/>
                <w:sz w:val="18"/>
                <w:szCs w:val="18"/>
                <w:color w:val="auto"/>
              </w:rPr>
              <w:t>104</w:t>
            </w:r>
          </w:p>
        </w:tc>
        <w:tc>
          <w:tcPr>
            <w:tcW w:w="25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Aligos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consolidated balance sheets of Aligos Therapeutics, Inc. (the Company) as of December 31, 2022 and 2021, the related consolidated statements of operations and comprehensive loss, changes in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U.S. generally accepted accounting principles.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0" w:name="page111"/>
    <w:bookmarkEnd w:id="110"/>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3"/>
              </w:rPr>
              <w:t>December 31,</w:t>
            </w:r>
          </w:p>
        </w:tc>
        <w:tc>
          <w:tcPr>
            <w:tcW w:w="180" w:type="dxa"/>
            <w:vAlign w:val="bottom"/>
          </w:tcPr>
          <w:p>
            <w:pPr>
              <w:spacing w:after="0"/>
              <w:rPr>
                <w:sz w:val="20"/>
                <w:szCs w:val="20"/>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December 31,</w:t>
            </w:r>
          </w:p>
        </w:tc>
      </w:tr>
      <w:tr>
        <w:trPr>
          <w:trHeight w:val="250"/>
        </w:trPr>
        <w:tc>
          <w:tcPr>
            <w:tcW w:w="7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1"/>
                <w:szCs w:val="21"/>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81,347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186,816</w:t>
            </w:r>
          </w:p>
        </w:tc>
        <w:tc>
          <w:tcPr>
            <w:tcW w:w="120" w:type="dxa"/>
            <w:vAlign w:val="bottom"/>
            <w:shd w:val="clear" w:color="auto" w:fill="CFF0FC"/>
          </w:tcPr>
          <w:p>
            <w:pPr>
              <w:spacing w:after="0"/>
              <w:rPr>
                <w:sz w:val="21"/>
                <w:szCs w:val="21"/>
                <w:color w:val="auto"/>
              </w:rPr>
            </w:pPr>
          </w:p>
        </w:tc>
      </w:tr>
      <w:tr>
        <w:trPr>
          <w:trHeight w:val="237"/>
        </w:trPr>
        <w:tc>
          <w:tcPr>
            <w:tcW w:w="760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r>
      <w:tr>
        <w:trPr>
          <w:trHeight w:val="249"/>
        </w:trPr>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44,480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3,918</w:t>
            </w:r>
          </w:p>
        </w:tc>
        <w:tc>
          <w:tcPr>
            <w:tcW w:w="120" w:type="dxa"/>
            <w:vAlign w:val="bottom"/>
            <w:shd w:val="clear" w:color="auto" w:fill="CFF0FC"/>
          </w:tcPr>
          <w:p>
            <w:pPr>
              <w:spacing w:after="0"/>
              <w:rPr>
                <w:sz w:val="21"/>
                <w:szCs w:val="21"/>
                <w:color w:val="auto"/>
              </w:rPr>
            </w:pPr>
          </w:p>
        </w:tc>
      </w:tr>
      <w:tr>
        <w:trPr>
          <w:trHeight w:val="243"/>
        </w:trPr>
        <w:tc>
          <w:tcPr>
            <w:tcW w:w="760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7,603</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13,526</w:t>
            </w:r>
          </w:p>
        </w:tc>
        <w:tc>
          <w:tcPr>
            <w:tcW w:w="120" w:type="dxa"/>
            <w:vAlign w:val="bottom"/>
          </w:tcPr>
          <w:p>
            <w:pPr>
              <w:spacing w:after="0"/>
              <w:rPr>
                <w:sz w:val="21"/>
                <w:szCs w:val="21"/>
                <w:color w:val="auto"/>
              </w:rPr>
            </w:pPr>
          </w:p>
        </w:tc>
      </w:tr>
      <w:tr>
        <w:trPr>
          <w:trHeight w:val="237"/>
        </w:trPr>
        <w:tc>
          <w:tcPr>
            <w:tcW w:w="7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133,545</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204,424</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7,698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8,789</w:t>
            </w:r>
          </w:p>
        </w:tc>
        <w:tc>
          <w:tcPr>
            <w:tcW w:w="12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6,180</w:t>
            </w:r>
          </w:p>
        </w:tc>
        <w:tc>
          <w:tcPr>
            <w:tcW w:w="12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15,110</w:t>
            </w:r>
          </w:p>
        </w:tc>
        <w:tc>
          <w:tcPr>
            <w:tcW w:w="120" w:type="dxa"/>
            <w:vAlign w:val="bottom"/>
          </w:tcPr>
          <w:p>
            <w:pPr>
              <w:spacing w:after="0"/>
              <w:rPr>
                <w:sz w:val="20"/>
                <w:szCs w:val="20"/>
                <w:color w:val="auto"/>
              </w:rPr>
            </w:pPr>
          </w:p>
        </w:tc>
      </w:tr>
      <w:tr>
        <w:trPr>
          <w:trHeight w:val="249"/>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146,693</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235,369</w:t>
            </w:r>
          </w:p>
        </w:tc>
        <w:tc>
          <w:tcPr>
            <w:tcW w:w="120" w:type="dxa"/>
            <w:vAlign w:val="bottom"/>
          </w:tcPr>
          <w:p>
            <w:pPr>
              <w:spacing w:after="0"/>
              <w:rPr>
                <w:sz w:val="20"/>
                <w:szCs w:val="20"/>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PREFERRED STOCK,</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AND STOCKHOLDERS’ EQUITY</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760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4,737</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3,015</w:t>
            </w:r>
          </w:p>
        </w:tc>
        <w:tc>
          <w:tcPr>
            <w:tcW w:w="120" w:type="dxa"/>
            <w:vAlign w:val="bottom"/>
          </w:tcPr>
          <w:p>
            <w:pPr>
              <w:spacing w:after="0"/>
              <w:rPr>
                <w:sz w:val="20"/>
                <w:szCs w:val="20"/>
                <w:color w:val="auto"/>
              </w:rPr>
            </w:pPr>
          </w:p>
        </w:tc>
      </w:tr>
      <w:tr>
        <w:trPr>
          <w:trHeight w:val="249"/>
        </w:trPr>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16,039</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25,394</w:t>
            </w:r>
          </w:p>
        </w:tc>
        <w:tc>
          <w:tcPr>
            <w:tcW w:w="120" w:type="dxa"/>
            <w:vAlign w:val="bottom"/>
            <w:shd w:val="clear" w:color="auto" w:fill="CFF0FC"/>
          </w:tcPr>
          <w:p>
            <w:pPr>
              <w:spacing w:after="0"/>
              <w:rPr>
                <w:sz w:val="21"/>
                <w:szCs w:val="21"/>
                <w:color w:val="auto"/>
              </w:rPr>
            </w:pPr>
          </w:p>
        </w:tc>
      </w:tr>
      <w:tr>
        <w:trPr>
          <w:trHeight w:val="237"/>
        </w:trPr>
        <w:tc>
          <w:tcPr>
            <w:tcW w:w="7600" w:type="dxa"/>
            <w:vAlign w:val="bottom"/>
          </w:tcPr>
          <w:p>
            <w:pPr>
              <w:ind w:left="120"/>
              <w:spacing w:after="0"/>
              <w:rPr>
                <w:sz w:val="20"/>
                <w:szCs w:val="20"/>
                <w:color w:val="auto"/>
              </w:rPr>
            </w:pPr>
            <w:r>
              <w:rPr>
                <w:rFonts w:ascii="Arial" w:cs="Arial" w:eastAsia="Arial" w:hAnsi="Arial"/>
                <w:sz w:val="18"/>
                <w:szCs w:val="18"/>
                <w:color w:val="auto"/>
              </w:rPr>
              <w:t>Operating lease liabilities, current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3,035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2,769</w:t>
            </w:r>
          </w:p>
        </w:tc>
        <w:tc>
          <w:tcPr>
            <w:tcW w:w="120" w:type="dxa"/>
            <w:vAlign w:val="bottom"/>
          </w:tcPr>
          <w:p>
            <w:pPr>
              <w:spacing w:after="0"/>
              <w:rPr>
                <w:sz w:val="20"/>
                <w:szCs w:val="20"/>
                <w:color w:val="auto"/>
              </w:rPr>
            </w:pPr>
          </w:p>
        </w:tc>
      </w:tr>
      <w:tr>
        <w:trPr>
          <w:trHeight w:val="249"/>
        </w:trPr>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 lease liabilities, current</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FF0FC"/>
          </w:tcPr>
          <w:p>
            <w:pPr>
              <w:spacing w:after="0"/>
              <w:rPr>
                <w:sz w:val="21"/>
                <w:szCs w:val="21"/>
                <w:color w:val="auto"/>
              </w:rPr>
            </w:pPr>
          </w:p>
        </w:tc>
      </w:tr>
      <w:tr>
        <w:trPr>
          <w:trHeight w:val="237"/>
        </w:trPr>
        <w:tc>
          <w:tcPr>
            <w:tcW w:w="7600" w:type="dxa"/>
            <w:vAlign w:val="bottom"/>
          </w:tcPr>
          <w:p>
            <w:pPr>
              <w:ind w:left="120"/>
              <w:spacing w:after="0"/>
              <w:rPr>
                <w:sz w:val="20"/>
                <w:szCs w:val="20"/>
                <w:color w:val="auto"/>
              </w:rPr>
            </w:pPr>
            <w:r>
              <w:rPr>
                <w:rFonts w:ascii="Arial" w:cs="Arial" w:eastAsia="Arial" w:hAnsi="Arial"/>
                <w:sz w:val="18"/>
                <w:szCs w:val="18"/>
                <w:color w:val="auto"/>
              </w:rPr>
              <w:t>Deferred Revenue from customers, current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Deferred Revenue from collaborations, current</w:t>
            </w: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8,743</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7,641</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33,129</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38,957</w:t>
            </w:r>
          </w:p>
        </w:tc>
        <w:tc>
          <w:tcPr>
            <w:tcW w:w="120" w:type="dxa"/>
            <w:vAlign w:val="bottom"/>
          </w:tcPr>
          <w:p>
            <w:pPr>
              <w:spacing w:after="0"/>
              <w:rPr>
                <w:sz w:val="20"/>
                <w:szCs w:val="20"/>
                <w:color w:val="auto"/>
              </w:rPr>
            </w:pPr>
          </w:p>
        </w:tc>
      </w:tr>
      <w:tr>
        <w:trPr>
          <w:trHeight w:val="23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9,201</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11,287</w:t>
            </w:r>
          </w:p>
        </w:tc>
        <w:tc>
          <w:tcPr>
            <w:tcW w:w="12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Finance lease liabilities, net of current portion</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 term liabilities</w:t>
            </w:r>
          </w:p>
        </w:tc>
        <w:tc>
          <w:tcPr>
            <w:tcW w:w="1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FF0FC"/>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Deferred revenue from customers</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7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42,793</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50,638</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15"/>
        </w:trPr>
        <w:tc>
          <w:tcPr>
            <w:tcW w:w="7600" w:type="dxa"/>
            <w:vAlign w:val="bottom"/>
          </w:tcPr>
          <w:p>
            <w:pPr>
              <w:ind w:left="200"/>
              <w:spacing w:after="0"/>
              <w:rPr>
                <w:sz w:val="20"/>
                <w:szCs w:val="20"/>
                <w:color w:val="auto"/>
              </w:rPr>
            </w:pPr>
            <w:r>
              <w:rPr>
                <w:rFonts w:ascii="Arial" w:cs="Arial" w:eastAsia="Arial" w:hAnsi="Arial"/>
                <w:sz w:val="18"/>
                <w:szCs w:val="18"/>
                <w:color w:val="auto"/>
              </w:rPr>
              <w:t>Preferred Stock, $0.0001 par value; 10,000,000 shares authorized as of</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00" w:type="dxa"/>
            <w:vAlign w:val="bottom"/>
          </w:tcPr>
          <w:p>
            <w:pPr>
              <w:ind w:left="340"/>
              <w:spacing w:after="0"/>
              <w:rPr>
                <w:sz w:val="20"/>
                <w:szCs w:val="20"/>
                <w:color w:val="auto"/>
              </w:rPr>
            </w:pPr>
            <w:r>
              <w:rPr>
                <w:rFonts w:ascii="Arial" w:cs="Arial" w:eastAsia="Arial" w:hAnsi="Arial"/>
                <w:sz w:val="18"/>
                <w:szCs w:val="18"/>
                <w:color w:val="auto"/>
              </w:rPr>
              <w:t>December 31, 2022 and 2021, respectively; no shares issued and</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7600" w:type="dxa"/>
            <w:vAlign w:val="bottom"/>
          </w:tcPr>
          <w:p>
            <w:pPr>
              <w:ind w:left="340"/>
              <w:spacing w:after="0"/>
              <w:rPr>
                <w:sz w:val="20"/>
                <w:szCs w:val="20"/>
                <w:color w:val="auto"/>
              </w:rPr>
            </w:pPr>
            <w:r>
              <w:rPr>
                <w:rFonts w:ascii="Arial" w:cs="Arial" w:eastAsia="Arial" w:hAnsi="Arial"/>
                <w:sz w:val="18"/>
                <w:szCs w:val="18"/>
                <w:color w:val="auto"/>
              </w:rPr>
              <w:t>outstanding as of December 31, 2022 and 2021, respectively.</w:t>
            </w:r>
          </w:p>
        </w:tc>
        <w:tc>
          <w:tcPr>
            <w:tcW w:w="18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$0.0001 par value; 320,000,000 shares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76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authorized as of December 31, 2022 and 2021, respectively;</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42,922,980 and 42,690,229 shares issued and outstanding as of</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44"/>
        </w:trPr>
        <w:tc>
          <w:tcPr>
            <w:tcW w:w="76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December 31, 2022 and 2021, respectively</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1"/>
                <w:szCs w:val="21"/>
                <w:color w:val="auto"/>
              </w:rPr>
            </w:pPr>
          </w:p>
        </w:tc>
      </w:tr>
      <w:tr>
        <w:trPr>
          <w:trHeight w:val="237"/>
        </w:trPr>
        <w:tc>
          <w:tcPr>
            <w:tcW w:w="76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502,613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487,347</w:t>
            </w:r>
          </w:p>
        </w:tc>
        <w:tc>
          <w:tcPr>
            <w:tcW w:w="120" w:type="dxa"/>
            <w:vAlign w:val="bottom"/>
          </w:tcPr>
          <w:p>
            <w:pPr>
              <w:spacing w:after="0"/>
              <w:rPr>
                <w:sz w:val="20"/>
                <w:szCs w:val="20"/>
                <w:color w:val="auto"/>
              </w:rPr>
            </w:pPr>
          </w:p>
        </w:tc>
      </w:tr>
      <w:tr>
        <w:trPr>
          <w:trHeight w:val="249"/>
        </w:trPr>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(399,118 )</w:t>
            </w:r>
          </w:p>
        </w:tc>
        <w:tc>
          <w:tcPr>
            <w:tcW w:w="1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(303,072 )</w:t>
            </w:r>
          </w:p>
        </w:tc>
      </w:tr>
      <w:tr>
        <w:trPr>
          <w:trHeight w:val="243"/>
        </w:trPr>
        <w:tc>
          <w:tcPr>
            <w:tcW w:w="7600" w:type="dxa"/>
            <w:vAlign w:val="bottom"/>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r>
      <w:tr>
        <w:trPr>
          <w:trHeight w:val="236"/>
        </w:trPr>
        <w:tc>
          <w:tcPr>
            <w:tcW w:w="7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103,900</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184,731</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146,693</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235,369</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-5245735</wp:posOffset>
            </wp:positionV>
            <wp:extent cx="76835"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-5245735</wp:posOffset>
            </wp:positionV>
            <wp:extent cx="68580"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-4619625</wp:posOffset>
            </wp:positionV>
            <wp:extent cx="76835"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-4619625</wp:posOffset>
            </wp:positionV>
            <wp:extent cx="6858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-3059430</wp:posOffset>
            </wp:positionV>
            <wp:extent cx="76835"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-3059430</wp:posOffset>
            </wp:positionV>
            <wp:extent cx="6858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-2108200</wp:posOffset>
            </wp:positionV>
            <wp:extent cx="76835"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-2108200</wp:posOffset>
            </wp:positionV>
            <wp:extent cx="6858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76835"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-170815</wp:posOffset>
            </wp:positionV>
            <wp:extent cx="6858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111" w:name="page112"/>
    <w:bookmarkEnd w:id="111"/>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41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4"/>
                <w:szCs w:val="14"/>
                <w:color w:val="auto"/>
              </w:rPr>
            </w:pPr>
          </w:p>
        </w:tc>
        <w:tc>
          <w:tcPr>
            <w:tcW w:w="142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3"/>
              </w:rPr>
              <w:t>Year Ended</w:t>
            </w:r>
          </w:p>
        </w:tc>
      </w:tr>
      <w:tr>
        <w:trPr>
          <w:trHeight w:val="176"/>
        </w:trPr>
        <w:tc>
          <w:tcPr>
            <w:tcW w:w="7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jc w:val="center"/>
              <w:ind w:right="41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5"/>
                <w:szCs w:val="15"/>
                <w:color w:val="auto"/>
              </w:rPr>
            </w:pPr>
          </w:p>
        </w:tc>
        <w:tc>
          <w:tcPr>
            <w:tcW w:w="142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7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from collaborations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13,907</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4,359</w:t>
            </w:r>
          </w:p>
        </w:tc>
        <w:tc>
          <w:tcPr>
            <w:tcW w:w="100" w:type="dxa"/>
            <w:vAlign w:val="bottom"/>
            <w:shd w:val="clear" w:color="auto" w:fill="CFF0FC"/>
          </w:tcPr>
          <w:p>
            <w:pPr>
              <w:spacing w:after="0"/>
              <w:rPr>
                <w:sz w:val="20"/>
                <w:szCs w:val="20"/>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85,077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104,153</w:t>
            </w: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26,410</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28,527</w:t>
            </w:r>
          </w:p>
        </w:tc>
        <w:tc>
          <w:tcPr>
            <w:tcW w:w="100" w:type="dxa"/>
            <w:vAlign w:val="bottom"/>
          </w:tcPr>
          <w:p>
            <w:pPr>
              <w:spacing w:after="0"/>
              <w:rPr>
                <w:sz w:val="20"/>
                <w:szCs w:val="20"/>
                <w:color w:val="auto"/>
              </w:rPr>
            </w:pPr>
          </w:p>
        </w:tc>
      </w:tr>
      <w:tr>
        <w:trPr>
          <w:trHeight w:val="236"/>
        </w:trPr>
        <w:tc>
          <w:tcPr>
            <w:tcW w:w="7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111,487</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132,680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560" w:type="dxa"/>
            <w:vAlign w:val="bottom"/>
          </w:tcPr>
          <w:p>
            <w:pPr>
              <w:ind w:left="38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0"/>
                <w:szCs w:val="20"/>
                <w:color w:val="auto"/>
              </w:rPr>
            </w:pP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(97,580 )</w:t>
            </w:r>
          </w:p>
        </w:tc>
        <w:tc>
          <w:tcPr>
            <w:tcW w:w="2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(128,321 )</w:t>
            </w:r>
          </w:p>
        </w:tc>
      </w:tr>
      <w:tr>
        <w:trPr>
          <w:trHeight w:val="237"/>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and other income, net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560" w:type="dxa"/>
            <w:vAlign w:val="bottom"/>
          </w:tcPr>
          <w:p>
            <w:pPr>
              <w:ind w:left="380"/>
              <w:spacing w:after="0"/>
              <w:rPr>
                <w:sz w:val="20"/>
                <w:szCs w:val="20"/>
                <w:color w:val="auto"/>
              </w:rPr>
            </w:pPr>
            <w:r>
              <w:rPr>
                <w:rFonts w:ascii="Arial" w:cs="Arial" w:eastAsia="Arial" w:hAnsi="Arial"/>
                <w:sz w:val="18"/>
                <w:szCs w:val="18"/>
                <w:color w:val="auto"/>
              </w:rPr>
              <w:t>Loss before income tax expense</w:t>
            </w:r>
          </w:p>
        </w:tc>
        <w:tc>
          <w:tcPr>
            <w:tcW w:w="220" w:type="dxa"/>
            <w:vAlign w:val="bottom"/>
          </w:tcPr>
          <w:p>
            <w:pPr>
              <w:spacing w:after="0"/>
              <w:rPr>
                <w:sz w:val="20"/>
                <w:szCs w:val="20"/>
                <w:color w:val="auto"/>
              </w:rPr>
            </w:pP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(95,940 )</w:t>
            </w:r>
          </w:p>
        </w:tc>
        <w:tc>
          <w:tcPr>
            <w:tcW w:w="2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(128,189 )</w:t>
            </w: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(106 )</w:t>
            </w: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(143 )</w:t>
            </w:r>
          </w:p>
        </w:tc>
      </w:tr>
      <w:tr>
        <w:trPr>
          <w:trHeight w:val="20"/>
        </w:trPr>
        <w:tc>
          <w:tcPr>
            <w:tcW w:w="75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560" w:type="dxa"/>
            <w:vAlign w:val="bottom"/>
          </w:tcPr>
          <w:p>
            <w:pPr>
              <w:ind w:left="38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0"/>
                <w:szCs w:val="20"/>
                <w:color w:val="auto"/>
              </w:rPr>
            </w:pP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(96,046 )</w:t>
            </w:r>
          </w:p>
        </w:tc>
        <w:tc>
          <w:tcPr>
            <w:tcW w:w="24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(128,332 )</w:t>
            </w:r>
          </w:p>
        </w:tc>
      </w:tr>
      <w:tr>
        <w:trPr>
          <w:trHeight w:val="24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 and income:</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Gains on pension plans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0"/>
                <w:szCs w:val="20"/>
                <w:color w:val="auto"/>
              </w:rPr>
            </w:pPr>
          </w:p>
        </w:tc>
      </w:tr>
      <w:tr>
        <w:trPr>
          <w:trHeight w:val="243"/>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Losses on available for sale investments</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(57 )</w:t>
            </w: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(109 )</w:t>
            </w:r>
          </w:p>
        </w:tc>
      </w:tr>
      <w:tr>
        <w:trPr>
          <w:trHeight w:val="20"/>
        </w:trPr>
        <w:tc>
          <w:tcPr>
            <w:tcW w:w="75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560" w:type="dxa"/>
            <w:vAlign w:val="bottom"/>
          </w:tcPr>
          <w:p>
            <w:pPr>
              <w:ind w:left="380"/>
              <w:spacing w:after="0"/>
              <w:rPr>
                <w:sz w:val="20"/>
                <w:szCs w:val="20"/>
                <w:color w:val="auto"/>
              </w:rPr>
            </w:pPr>
            <w:r>
              <w:rPr>
                <w:rFonts w:ascii="Arial" w:cs="Arial" w:eastAsia="Arial" w:hAnsi="Arial"/>
                <w:sz w:val="18"/>
                <w:szCs w:val="18"/>
                <w:color w:val="auto"/>
              </w:rPr>
              <w:t>Comprehensive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10"/>
              <w:spacing w:after="0"/>
              <w:rPr>
                <w:sz w:val="20"/>
                <w:szCs w:val="20"/>
                <w:color w:val="auto"/>
              </w:rPr>
            </w:pPr>
            <w:r>
              <w:rPr>
                <w:rFonts w:ascii="Arial" w:cs="Arial" w:eastAsia="Arial" w:hAnsi="Arial"/>
                <w:sz w:val="18"/>
                <w:szCs w:val="18"/>
                <w:color w:val="auto"/>
              </w:rPr>
              <w:t>(96,097 )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(127,692 )</w:t>
            </w:r>
          </w:p>
        </w:tc>
      </w:tr>
      <w:tr>
        <w:trPr>
          <w:trHeight w:val="236"/>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Weighted average shares of common stock, basic and diluted</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42,695,227</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39,855,403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-1765300</wp:posOffset>
            </wp:positionV>
            <wp:extent cx="6858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-1765300</wp:posOffset>
            </wp:positionV>
            <wp:extent cx="6858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-1439545</wp:posOffset>
            </wp:positionV>
            <wp:extent cx="68580"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-1439545</wp:posOffset>
            </wp:positionV>
            <wp:extent cx="6858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-1122045</wp:posOffset>
            </wp:positionV>
            <wp:extent cx="68580"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-1122045</wp:posOffset>
            </wp:positionV>
            <wp:extent cx="68580"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-496570</wp:posOffset>
            </wp:positionV>
            <wp:extent cx="6858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-496570</wp:posOffset>
            </wp:positionV>
            <wp:extent cx="6858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-170815</wp:posOffset>
            </wp:positionV>
            <wp:extent cx="6858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-170815</wp:posOffset>
            </wp:positionV>
            <wp:extent cx="6858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37" w:right="51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6"/>
              </w:rPr>
              <w:t>Accumulated</w:t>
            </w: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2080" w:type="dxa"/>
            <w:vAlign w:val="bottom"/>
            <w:gridSpan w:val="3"/>
            <w:vMerge w:val="restart"/>
          </w:tcPr>
          <w:p>
            <w:pPr>
              <w:jc w:val="right"/>
              <w:ind w:right="510"/>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right"/>
              <w:ind w:right="500"/>
              <w:spacing w:after="0" w:line="122" w:lineRule="exact"/>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208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11"/>
                <w:szCs w:val="11"/>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11"/>
                <w:szCs w:val="11"/>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7"/>
              </w:rPr>
              <w:t>Comprehensive</w:t>
            </w:r>
          </w:p>
        </w:tc>
        <w:tc>
          <w:tcPr>
            <w:tcW w:w="140" w:type="dxa"/>
            <w:vAlign w:val="bottom"/>
          </w:tcPr>
          <w:p>
            <w:pPr>
              <w:spacing w:after="0"/>
              <w:rPr>
                <w:sz w:val="11"/>
                <w:szCs w:val="11"/>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38"/>
        </w:trPr>
        <w:tc>
          <w:tcPr>
            <w:tcW w:w="3660" w:type="dxa"/>
            <w:vAlign w:val="bottom"/>
          </w:tcPr>
          <w:p>
            <w:pPr>
              <w:spacing w:after="0"/>
              <w:rPr>
                <w:sz w:val="11"/>
                <w:szCs w:val="11"/>
                <w:color w:val="auto"/>
              </w:rPr>
            </w:pPr>
          </w:p>
        </w:tc>
        <w:tc>
          <w:tcPr>
            <w:tcW w:w="100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1"/>
                <w:szCs w:val="11"/>
                <w:b w:val="1"/>
                <w:bCs w:val="1"/>
                <w:color w:val="auto"/>
              </w:rPr>
              <w:t>Amount</w:t>
            </w:r>
          </w:p>
        </w:tc>
        <w:tc>
          <w:tcPr>
            <w:tcW w:w="2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Capital</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rPr>
              <w:t>Deficit</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85"/>
              </w:rPr>
              <w:t>Income (Loss)</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w w:val="89"/>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Balance as of December 31, 2020</w:t>
            </w: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38,120,606</w:t>
            </w:r>
          </w:p>
        </w:tc>
        <w:tc>
          <w:tcPr>
            <w:tcW w:w="1080" w:type="dxa"/>
            <w:vAlign w:val="bottom"/>
            <w:gridSpan w:val="2"/>
            <w:shd w:val="clear" w:color="auto" w:fill="CFF0FC"/>
          </w:tcPr>
          <w:p>
            <w:pPr>
              <w:jc w:val="right"/>
              <w:ind w:right="730"/>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420" w:type="dxa"/>
            <w:vAlign w:val="bottom"/>
            <w:gridSpan w:val="2"/>
            <w:shd w:val="clear" w:color="auto" w:fill="CFF0FC"/>
          </w:tcPr>
          <w:p>
            <w:pPr>
              <w:jc w:val="right"/>
              <w:ind w:right="51"/>
              <w:spacing w:after="0"/>
              <w:rPr>
                <w:sz w:val="20"/>
                <w:szCs w:val="20"/>
                <w:color w:val="auto"/>
              </w:rPr>
            </w:pPr>
            <w:r>
              <w:rPr>
                <w:rFonts w:ascii="Arial" w:cs="Arial" w:eastAsia="Arial" w:hAnsi="Arial"/>
                <w:sz w:val="11"/>
                <w:szCs w:val="1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394,963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(174,740 )</w:t>
            </w: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(188 )</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220,039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660" w:type="dxa"/>
            <w:vAlign w:val="bottom"/>
          </w:tcPr>
          <w:p>
            <w:pPr>
              <w:ind w:left="20"/>
              <w:spacing w:after="0" w:line="125" w:lineRule="exact"/>
              <w:rPr>
                <w:sz w:val="20"/>
                <w:szCs w:val="20"/>
                <w:color w:val="auto"/>
              </w:rPr>
            </w:pPr>
            <w:r>
              <w:rPr>
                <w:rFonts w:ascii="Arial" w:cs="Arial" w:eastAsia="Arial" w:hAnsi="Arial"/>
                <w:sz w:val="11"/>
                <w:szCs w:val="11"/>
                <w:color w:val="auto"/>
              </w:rPr>
              <w:t>Issuance of common stock upon exercise of</w:t>
            </w: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660" w:type="dxa"/>
            <w:vAlign w:val="bottom"/>
          </w:tcPr>
          <w:p>
            <w:pPr>
              <w:ind w:left="180"/>
              <w:spacing w:after="0"/>
              <w:rPr>
                <w:sz w:val="20"/>
                <w:szCs w:val="20"/>
                <w:color w:val="auto"/>
              </w:rPr>
            </w:pPr>
            <w:r>
              <w:rPr>
                <w:rFonts w:ascii="Arial" w:cs="Arial" w:eastAsia="Arial" w:hAnsi="Arial"/>
                <w:sz w:val="11"/>
                <w:szCs w:val="11"/>
                <w:color w:val="auto"/>
              </w:rPr>
              <w:t>stock options</w:t>
            </w:r>
          </w:p>
        </w:tc>
        <w:tc>
          <w:tcPr>
            <w:tcW w:w="1000" w:type="dxa"/>
            <w:vAlign w:val="bottom"/>
          </w:tcPr>
          <w:p>
            <w:pPr>
              <w:jc w:val="right"/>
              <w:spacing w:after="0"/>
              <w:rPr>
                <w:sz w:val="20"/>
                <w:szCs w:val="20"/>
                <w:color w:val="auto"/>
              </w:rPr>
            </w:pPr>
            <w:r>
              <w:rPr>
                <w:rFonts w:ascii="Arial" w:cs="Arial" w:eastAsia="Arial" w:hAnsi="Arial"/>
                <w:sz w:val="11"/>
                <w:szCs w:val="11"/>
                <w:color w:val="auto"/>
              </w:rPr>
              <w:t>124,013</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394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 common stock under employee stock purchase plan</w:t>
            </w: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45,610</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660" w:type="dxa"/>
            <w:vAlign w:val="bottom"/>
          </w:tcPr>
          <w:p>
            <w:pPr>
              <w:ind w:left="20"/>
              <w:spacing w:after="0" w:line="125" w:lineRule="exact"/>
              <w:rPr>
                <w:sz w:val="20"/>
                <w:szCs w:val="20"/>
                <w:color w:val="auto"/>
              </w:rPr>
            </w:pPr>
            <w:r>
              <w:rPr>
                <w:rFonts w:ascii="Arial" w:cs="Arial" w:eastAsia="Arial" w:hAnsi="Arial"/>
                <w:sz w:val="11"/>
                <w:szCs w:val="11"/>
                <w:color w:val="auto"/>
              </w:rPr>
              <w:t>Issuance of common stock in connection with</w:t>
            </w: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660" w:type="dxa"/>
            <w:vAlign w:val="bottom"/>
          </w:tcPr>
          <w:p>
            <w:pPr>
              <w:ind w:left="180"/>
              <w:spacing w:after="0"/>
              <w:rPr>
                <w:sz w:val="20"/>
                <w:szCs w:val="20"/>
                <w:color w:val="auto"/>
              </w:rPr>
            </w:pPr>
            <w:r>
              <w:rPr>
                <w:rFonts w:ascii="Arial" w:cs="Arial" w:eastAsia="Arial" w:hAnsi="Arial"/>
                <w:sz w:val="11"/>
                <w:szCs w:val="11"/>
                <w:color w:val="auto"/>
              </w:rPr>
              <w:t>follow-on offering, net of offering costs</w:t>
            </w:r>
          </w:p>
        </w:tc>
        <w:tc>
          <w:tcPr>
            <w:tcW w:w="1000" w:type="dxa"/>
            <w:vAlign w:val="bottom"/>
          </w:tcPr>
          <w:p>
            <w:pPr>
              <w:jc w:val="right"/>
              <w:spacing w:after="0"/>
              <w:rPr>
                <w:sz w:val="20"/>
                <w:szCs w:val="20"/>
                <w:color w:val="auto"/>
              </w:rPr>
            </w:pPr>
            <w:r>
              <w:rPr>
                <w:rFonts w:ascii="Arial" w:cs="Arial" w:eastAsia="Arial" w:hAnsi="Arial"/>
                <w:sz w:val="11"/>
                <w:szCs w:val="11"/>
                <w:color w:val="auto"/>
              </w:rPr>
              <w:t>4,400,000</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78,584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78,584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Costs related to the follow-on offering</w:t>
            </w: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(875 )</w:t>
            </w:r>
          </w:p>
        </w:tc>
        <w:tc>
          <w:tcPr>
            <w:tcW w:w="1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(875 )</w:t>
            </w:r>
          </w:p>
        </w:tc>
        <w:tc>
          <w:tcPr>
            <w:tcW w:w="0" w:type="dxa"/>
            <w:vAlign w:val="bottom"/>
          </w:tcPr>
          <w:p>
            <w:pPr>
              <w:spacing w:after="0"/>
              <w:rPr>
                <w:sz w:val="1"/>
                <w:szCs w:val="1"/>
                <w:color w:val="auto"/>
              </w:rPr>
            </w:pPr>
          </w:p>
        </w:tc>
      </w:tr>
      <w:tr>
        <w:trPr>
          <w:trHeight w:val="144"/>
        </w:trPr>
        <w:tc>
          <w:tcPr>
            <w:tcW w:w="3660" w:type="dxa"/>
            <w:vAlign w:val="bottom"/>
          </w:tcPr>
          <w:p>
            <w:pPr>
              <w:ind w:left="20"/>
              <w:spacing w:after="0"/>
              <w:rPr>
                <w:sz w:val="20"/>
                <w:szCs w:val="20"/>
                <w:color w:val="auto"/>
              </w:rPr>
            </w:pPr>
            <w:r>
              <w:rPr>
                <w:rFonts w:ascii="Arial" w:cs="Arial" w:eastAsia="Arial" w:hAnsi="Arial"/>
                <w:sz w:val="11"/>
                <w:szCs w:val="11"/>
                <w:color w:val="auto"/>
              </w:rPr>
              <w:t>Stock-based compensation related to employee stock awards</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12,541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12,541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Stock-based compensation expense related to employee stock purchases</w:t>
            </w: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795</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660" w:type="dxa"/>
            <w:vAlign w:val="bottom"/>
          </w:tcPr>
          <w:p>
            <w:pPr>
              <w:ind w:left="20"/>
              <w:spacing w:after="0"/>
              <w:rPr>
                <w:sz w:val="20"/>
                <w:szCs w:val="20"/>
                <w:color w:val="auto"/>
              </w:rPr>
            </w:pPr>
            <w:r>
              <w:rPr>
                <w:rFonts w:ascii="Arial" w:cs="Arial" w:eastAsia="Arial" w:hAnsi="Arial"/>
                <w:sz w:val="11"/>
                <w:szCs w:val="11"/>
                <w:color w:val="auto"/>
              </w:rPr>
              <w:t>Vesting of early exercised common stock</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292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Other comprehensive income</w:t>
            </w: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640</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rPr>
                <w:sz w:val="20"/>
                <w:szCs w:val="20"/>
                <w:color w:val="auto"/>
              </w:rPr>
            </w:pPr>
            <w:r>
              <w:rPr>
                <w:rFonts w:ascii="Arial" w:cs="Arial" w:eastAsia="Arial" w:hAnsi="Arial"/>
                <w:sz w:val="11"/>
                <w:szCs w:val="11"/>
                <w:color w:val="auto"/>
              </w:rPr>
              <w:t>Net loss</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(128,332 )</w:t>
            </w:r>
          </w:p>
        </w:tc>
        <w:tc>
          <w:tcPr>
            <w:tcW w:w="12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1"/>
                <w:szCs w:val="11"/>
                <w:color w:val="auto"/>
              </w:rPr>
              <w:t>(128,332 )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Balance as of December 31, 2021</w:t>
            </w: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42,690,229</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730"/>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487,347</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(303,072 )</w:t>
            </w: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184,731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3660" w:type="dxa"/>
            <w:vAlign w:val="bottom"/>
            <w:tcBorders>
              <w:top w:val="single" w:sz="8" w:color="CFF0FC"/>
            </w:tcBorders>
          </w:tcPr>
          <w:p>
            <w:pPr>
              <w:ind w:left="20"/>
              <w:spacing w:after="0"/>
              <w:rPr>
                <w:sz w:val="20"/>
                <w:szCs w:val="20"/>
                <w:color w:val="auto"/>
              </w:rPr>
            </w:pPr>
            <w:r>
              <w:rPr>
                <w:rFonts w:ascii="Arial" w:cs="Arial" w:eastAsia="Arial" w:hAnsi="Arial"/>
                <w:sz w:val="11"/>
                <w:szCs w:val="11"/>
                <w:color w:val="auto"/>
              </w:rPr>
              <w:t>Issuance of common stock upon exercise of</w:t>
            </w:r>
          </w:p>
        </w:tc>
        <w:tc>
          <w:tcPr>
            <w:tcW w:w="1000" w:type="dxa"/>
            <w:vAlign w:val="bottom"/>
            <w:tcBorders>
              <w:top w:val="single" w:sz="8" w:color="auto"/>
            </w:tcBorders>
          </w:tcPr>
          <w:p>
            <w:pPr>
              <w:spacing w:after="0"/>
              <w:rPr>
                <w:sz w:val="23"/>
                <w:szCs w:val="23"/>
                <w:color w:val="auto"/>
              </w:rPr>
            </w:pPr>
          </w:p>
        </w:tc>
        <w:tc>
          <w:tcPr>
            <w:tcW w:w="240" w:type="dxa"/>
            <w:vAlign w:val="bottom"/>
            <w:tcBorders>
              <w:top w:val="single" w:sz="8" w:color="CFF0FC"/>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260" w:type="dxa"/>
            <w:vAlign w:val="bottom"/>
            <w:tcBorders>
              <w:top w:val="single" w:sz="8" w:color="CFF0FC"/>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Borders>
              <w:top w:val="single" w:sz="8" w:color="CFF0FC"/>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220" w:type="dxa"/>
            <w:vAlign w:val="bottom"/>
            <w:tcBorders>
              <w:top w:val="single" w:sz="8" w:color="CFF0F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220" w:type="dxa"/>
            <w:vAlign w:val="bottom"/>
            <w:tcBorders>
              <w:top w:val="single" w:sz="8" w:color="CFF0FC"/>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3660" w:type="dxa"/>
            <w:vAlign w:val="bottom"/>
          </w:tcPr>
          <w:p>
            <w:pPr>
              <w:ind w:left="180"/>
              <w:spacing w:after="0"/>
              <w:rPr>
                <w:sz w:val="20"/>
                <w:szCs w:val="20"/>
                <w:color w:val="auto"/>
              </w:rPr>
            </w:pPr>
            <w:r>
              <w:rPr>
                <w:rFonts w:ascii="Arial" w:cs="Arial" w:eastAsia="Arial" w:hAnsi="Arial"/>
                <w:sz w:val="11"/>
                <w:szCs w:val="11"/>
                <w:color w:val="auto"/>
              </w:rPr>
              <w:t>stock options</w:t>
            </w:r>
          </w:p>
        </w:tc>
        <w:tc>
          <w:tcPr>
            <w:tcW w:w="1000" w:type="dxa"/>
            <w:vAlign w:val="bottom"/>
          </w:tcPr>
          <w:p>
            <w:pPr>
              <w:jc w:val="right"/>
              <w:spacing w:after="0"/>
              <w:rPr>
                <w:sz w:val="20"/>
                <w:szCs w:val="20"/>
                <w:color w:val="auto"/>
              </w:rPr>
            </w:pPr>
            <w:r>
              <w:rPr>
                <w:rFonts w:ascii="Arial" w:cs="Arial" w:eastAsia="Arial" w:hAnsi="Arial"/>
                <w:sz w:val="11"/>
                <w:szCs w:val="11"/>
                <w:color w:val="auto"/>
              </w:rPr>
              <w:t>12,896</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 common stock under employee stock purchase plan</w:t>
            </w: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219,855</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205</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660" w:type="dxa"/>
            <w:vAlign w:val="bottom"/>
          </w:tcPr>
          <w:p>
            <w:pPr>
              <w:ind w:left="20"/>
              <w:spacing w:after="0" w:line="125" w:lineRule="exact"/>
              <w:rPr>
                <w:sz w:val="20"/>
                <w:szCs w:val="20"/>
                <w:color w:val="auto"/>
              </w:rPr>
            </w:pPr>
            <w:r>
              <w:rPr>
                <w:rFonts w:ascii="Arial" w:cs="Arial" w:eastAsia="Arial" w:hAnsi="Arial"/>
                <w:sz w:val="11"/>
                <w:szCs w:val="11"/>
                <w:color w:val="auto"/>
              </w:rPr>
              <w:t>Issuance of common stock in connection with</w:t>
            </w: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660" w:type="dxa"/>
            <w:vAlign w:val="bottom"/>
          </w:tcPr>
          <w:p>
            <w:pPr>
              <w:ind w:left="180"/>
              <w:spacing w:after="0"/>
              <w:rPr>
                <w:sz w:val="20"/>
                <w:szCs w:val="20"/>
                <w:color w:val="auto"/>
              </w:rPr>
            </w:pPr>
            <w:r>
              <w:rPr>
                <w:rFonts w:ascii="Arial" w:cs="Arial" w:eastAsia="Arial" w:hAnsi="Arial"/>
                <w:sz w:val="11"/>
                <w:szCs w:val="11"/>
                <w:color w:val="auto"/>
              </w:rPr>
              <w:t>follow-on offering, net of offering costs</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3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Costs related to the follow-on offering</w:t>
            </w: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660" w:type="dxa"/>
            <w:vAlign w:val="bottom"/>
          </w:tcPr>
          <w:p>
            <w:pPr>
              <w:ind w:left="20"/>
              <w:spacing w:after="0"/>
              <w:rPr>
                <w:sz w:val="20"/>
                <w:szCs w:val="20"/>
                <w:color w:val="auto"/>
              </w:rPr>
            </w:pPr>
            <w:r>
              <w:rPr>
                <w:rFonts w:ascii="Arial" w:cs="Arial" w:eastAsia="Arial" w:hAnsi="Arial"/>
                <w:sz w:val="11"/>
                <w:szCs w:val="11"/>
                <w:color w:val="auto"/>
              </w:rPr>
              <w:t>Stock-based compensation expense related to employee stock awards</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13,540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13,540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Stock-based compensation expense related to employee stock purchases</w:t>
            </w: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1,292</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1,292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660" w:type="dxa"/>
            <w:vAlign w:val="bottom"/>
          </w:tcPr>
          <w:p>
            <w:pPr>
              <w:ind w:left="20"/>
              <w:spacing w:after="0"/>
              <w:rPr>
                <w:sz w:val="20"/>
                <w:szCs w:val="20"/>
                <w:color w:val="auto"/>
              </w:rPr>
            </w:pPr>
            <w:r>
              <w:rPr>
                <w:rFonts w:ascii="Arial" w:cs="Arial" w:eastAsia="Arial" w:hAnsi="Arial"/>
                <w:sz w:val="11"/>
                <w:szCs w:val="11"/>
                <w:color w:val="auto"/>
              </w:rPr>
              <w:t>Vesting of early exercised common stock</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209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Other comprehensive loss</w:t>
            </w: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(51 )</w:t>
            </w: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(51 )</w:t>
            </w:r>
          </w:p>
        </w:tc>
        <w:tc>
          <w:tcPr>
            <w:tcW w:w="0" w:type="dxa"/>
            <w:vAlign w:val="bottom"/>
          </w:tcPr>
          <w:p>
            <w:pPr>
              <w:spacing w:after="0"/>
              <w:rPr>
                <w:sz w:val="1"/>
                <w:szCs w:val="1"/>
                <w:color w:val="auto"/>
              </w:rPr>
            </w:pPr>
          </w:p>
        </w:tc>
      </w:tr>
      <w:tr>
        <w:trPr>
          <w:trHeight w:val="148"/>
        </w:trPr>
        <w:tc>
          <w:tcPr>
            <w:tcW w:w="3660" w:type="dxa"/>
            <w:vAlign w:val="bottom"/>
          </w:tcPr>
          <w:p>
            <w:pPr>
              <w:ind w:left="20"/>
              <w:spacing w:after="0"/>
              <w:rPr>
                <w:sz w:val="20"/>
                <w:szCs w:val="20"/>
                <w:color w:val="auto"/>
              </w:rPr>
            </w:pPr>
            <w:r>
              <w:rPr>
                <w:rFonts w:ascii="Arial" w:cs="Arial" w:eastAsia="Arial" w:hAnsi="Arial"/>
                <w:sz w:val="11"/>
                <w:szCs w:val="11"/>
                <w:color w:val="auto"/>
              </w:rPr>
              <w:t>Net loss</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(96,046 )</w:t>
            </w:r>
          </w:p>
        </w:tc>
        <w:tc>
          <w:tcPr>
            <w:tcW w:w="12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1"/>
                <w:szCs w:val="11"/>
                <w:color w:val="auto"/>
              </w:rPr>
              <w:t>(96,046 )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60" w:type="dxa"/>
            <w:vAlign w:val="bottom"/>
            <w:shd w:val="clear" w:color="auto" w:fill="CFF0FC"/>
          </w:tcPr>
          <w:p>
            <w:pPr>
              <w:ind w:left="20"/>
              <w:spacing w:after="0"/>
              <w:rPr>
                <w:sz w:val="20"/>
                <w:szCs w:val="20"/>
                <w:color w:val="auto"/>
              </w:rPr>
            </w:pPr>
            <w:r>
              <w:rPr>
                <w:rFonts w:ascii="Arial" w:cs="Arial" w:eastAsia="Arial" w:hAnsi="Arial"/>
                <w:sz w:val="11"/>
                <w:szCs w:val="11"/>
                <w:color w:val="auto"/>
              </w:rPr>
              <w:t>Balance as of December 31, 2022</w:t>
            </w:r>
          </w:p>
        </w:tc>
        <w:tc>
          <w:tcPr>
            <w:tcW w:w="10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42,922,980</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730"/>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502,613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(399,118 )</w:t>
            </w: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401</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103,900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6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-1216660</wp:posOffset>
            </wp:positionV>
            <wp:extent cx="76835" cy="2743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27432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-1216660</wp:posOffset>
            </wp:positionV>
            <wp:extent cx="77470" cy="274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27432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-1216660</wp:posOffset>
            </wp:positionV>
            <wp:extent cx="68580" cy="274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-1216660</wp:posOffset>
            </wp:positionV>
            <wp:extent cx="68580" cy="274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-1216660</wp:posOffset>
            </wp:positionV>
            <wp:extent cx="68580" cy="274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274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-7620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center"/>
              <w:ind w:right="252"/>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center"/>
              <w:ind w:right="252"/>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86"/>
        </w:trPr>
        <w:tc>
          <w:tcPr>
            <w:tcW w:w="7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center"/>
              <w:ind w:right="252"/>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center"/>
              <w:ind w:right="25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55"/>
        </w:trPr>
        <w:tc>
          <w:tcPr>
            <w:tcW w:w="74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96"/>
              </w:rPr>
              <w:t>2022</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37"/>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(96,046 )</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(128,332 )</w:t>
            </w:r>
          </w:p>
        </w:tc>
        <w:tc>
          <w:tcPr>
            <w:tcW w:w="0" w:type="dxa"/>
            <w:vAlign w:val="bottom"/>
          </w:tcPr>
          <w:p>
            <w:pPr>
              <w:spacing w:after="0"/>
              <w:rPr>
                <w:sz w:val="1"/>
                <w:szCs w:val="1"/>
                <w:color w:val="auto"/>
              </w:rPr>
            </w:pPr>
          </w:p>
        </w:tc>
      </w:tr>
      <w:tr>
        <w:trPr>
          <w:trHeight w:val="249"/>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60" w:type="dxa"/>
            <w:vAlign w:val="bottom"/>
          </w:tcPr>
          <w:p>
            <w:pPr>
              <w:ind w:left="380"/>
              <w:spacing w:after="0"/>
              <w:rPr>
                <w:sz w:val="20"/>
                <w:szCs w:val="20"/>
                <w:color w:val="auto"/>
              </w:rPr>
            </w:pPr>
            <w:r>
              <w:rPr>
                <w:rFonts w:ascii="Arial" w:cs="Arial" w:eastAsia="Arial" w:hAnsi="Arial"/>
                <w:sz w:val="18"/>
                <w:szCs w:val="18"/>
                <w:color w:val="auto"/>
              </w:rPr>
              <w:t>Accretion of discount on short term investments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(159 )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9"/>
        </w:trPr>
        <w:tc>
          <w:tcPr>
            <w:tcW w:w="7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right of use assets</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1,369</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37"/>
        </w:trPr>
        <w:tc>
          <w:tcPr>
            <w:tcW w:w="7460" w:type="dxa"/>
            <w:vAlign w:val="bottom"/>
          </w:tcPr>
          <w:p>
            <w:pPr>
              <w:ind w:left="380"/>
              <w:spacing w:after="0"/>
              <w:rPr>
                <w:sz w:val="20"/>
                <w:szCs w:val="20"/>
                <w:color w:val="auto"/>
              </w:rPr>
            </w:pPr>
            <w:r>
              <w:rPr>
                <w:rFonts w:ascii="Arial" w:cs="Arial" w:eastAsia="Arial" w:hAnsi="Arial"/>
                <w:sz w:val="18"/>
                <w:szCs w:val="18"/>
                <w:color w:val="auto"/>
              </w:rPr>
              <w:t>Depreciation expense</w:t>
            </w:r>
          </w:p>
        </w:tc>
        <w:tc>
          <w:tcPr>
            <w:tcW w:w="24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2,306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49"/>
        </w:trPr>
        <w:tc>
          <w:tcPr>
            <w:tcW w:w="7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14,693</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13,457</w:t>
            </w:r>
          </w:p>
        </w:tc>
        <w:tc>
          <w:tcPr>
            <w:tcW w:w="0" w:type="dxa"/>
            <w:vAlign w:val="bottom"/>
          </w:tcPr>
          <w:p>
            <w:pPr>
              <w:spacing w:after="0"/>
              <w:rPr>
                <w:sz w:val="1"/>
                <w:szCs w:val="1"/>
                <w:color w:val="auto"/>
              </w:rPr>
            </w:pPr>
          </w:p>
        </w:tc>
      </w:tr>
      <w:tr>
        <w:trPr>
          <w:trHeight w:val="237"/>
        </w:trPr>
        <w:tc>
          <w:tcPr>
            <w:tcW w:w="74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5,594</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(8,072 )</w:t>
            </w:r>
          </w:p>
        </w:tc>
        <w:tc>
          <w:tcPr>
            <w:tcW w:w="0" w:type="dxa"/>
            <w:vAlign w:val="bottom"/>
          </w:tcPr>
          <w:p>
            <w:pPr>
              <w:spacing w:after="0"/>
              <w:rPr>
                <w:sz w:val="1"/>
                <w:szCs w:val="1"/>
                <w:color w:val="auto"/>
              </w:rPr>
            </w:pPr>
          </w:p>
        </w:tc>
      </w:tr>
      <w:tr>
        <w:trPr>
          <w:trHeight w:val="237"/>
        </w:trPr>
        <w:tc>
          <w:tcPr>
            <w:tcW w:w="7460" w:type="dxa"/>
            <w:vAlign w:val="bottom"/>
          </w:tcPr>
          <w:p>
            <w:pPr>
              <w:ind w:left="5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1,722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(313 )</w:t>
            </w:r>
          </w:p>
        </w:tc>
        <w:tc>
          <w:tcPr>
            <w:tcW w:w="0" w:type="dxa"/>
            <w:vAlign w:val="bottom"/>
          </w:tcPr>
          <w:p>
            <w:pPr>
              <w:spacing w:after="0"/>
              <w:rPr>
                <w:sz w:val="1"/>
                <w:szCs w:val="1"/>
                <w:color w:val="auto"/>
              </w:rPr>
            </w:pPr>
          </w:p>
        </w:tc>
      </w:tr>
      <w:tr>
        <w:trPr>
          <w:trHeight w:val="249"/>
        </w:trPr>
        <w:tc>
          <w:tcPr>
            <w:tcW w:w="74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(9,140 )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9,742</w:t>
            </w:r>
          </w:p>
        </w:tc>
        <w:tc>
          <w:tcPr>
            <w:tcW w:w="0" w:type="dxa"/>
            <w:vAlign w:val="bottom"/>
          </w:tcPr>
          <w:p>
            <w:pPr>
              <w:spacing w:after="0"/>
              <w:rPr>
                <w:sz w:val="1"/>
                <w:szCs w:val="1"/>
                <w:color w:val="auto"/>
              </w:rPr>
            </w:pPr>
          </w:p>
        </w:tc>
      </w:tr>
      <w:tr>
        <w:trPr>
          <w:trHeight w:val="237"/>
        </w:trPr>
        <w:tc>
          <w:tcPr>
            <w:tcW w:w="7460" w:type="dxa"/>
            <w:vAlign w:val="bottom"/>
          </w:tcPr>
          <w:p>
            <w:pPr>
              <w:ind w:left="56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(1,819 )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(1,404 )</w:t>
            </w:r>
          </w:p>
        </w:tc>
        <w:tc>
          <w:tcPr>
            <w:tcW w:w="0" w:type="dxa"/>
            <w:vAlign w:val="bottom"/>
          </w:tcPr>
          <w:p>
            <w:pPr>
              <w:spacing w:after="0"/>
              <w:rPr>
                <w:sz w:val="1"/>
                <w:szCs w:val="1"/>
                <w:color w:val="auto"/>
              </w:rPr>
            </w:pPr>
          </w:p>
        </w:tc>
      </w:tr>
      <w:tr>
        <w:trPr>
          <w:trHeight w:val="249"/>
        </w:trPr>
        <w:tc>
          <w:tcPr>
            <w:tcW w:w="74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r>
        <w:trPr>
          <w:trHeight w:val="237"/>
        </w:trPr>
        <w:tc>
          <w:tcPr>
            <w:tcW w:w="7460" w:type="dxa"/>
            <w:vAlign w:val="bottom"/>
          </w:tcPr>
          <w:p>
            <w:pPr>
              <w:ind w:left="560"/>
              <w:spacing w:after="0"/>
              <w:rPr>
                <w:sz w:val="20"/>
                <w:szCs w:val="20"/>
                <w:color w:val="auto"/>
              </w:rPr>
            </w:pPr>
            <w:r>
              <w:rPr>
                <w:rFonts w:ascii="Arial" w:cs="Arial" w:eastAsia="Arial" w:hAnsi="Arial"/>
                <w:sz w:val="18"/>
                <w:szCs w:val="18"/>
                <w:color w:val="auto"/>
              </w:rPr>
              <w:t>Deferred revenue from collaborations</w:t>
            </w:r>
          </w:p>
        </w:tc>
        <w:tc>
          <w:tcPr>
            <w:tcW w:w="24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2,502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(4,359 )</w:t>
            </w:r>
          </w:p>
        </w:tc>
        <w:tc>
          <w:tcPr>
            <w:tcW w:w="0" w:type="dxa"/>
            <w:vAlign w:val="bottom"/>
          </w:tcPr>
          <w:p>
            <w:pPr>
              <w:spacing w:after="0"/>
              <w:rPr>
                <w:sz w:val="1"/>
                <w:szCs w:val="1"/>
                <w:color w:val="auto"/>
              </w:rPr>
            </w:pPr>
          </w:p>
        </w:tc>
      </w:tr>
      <w:tr>
        <w:trPr>
          <w:trHeight w:val="249"/>
        </w:trPr>
        <w:tc>
          <w:tcPr>
            <w:tcW w:w="74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ROU asset</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460" w:type="dxa"/>
            <w:vAlign w:val="bottom"/>
          </w:tcPr>
          <w:p>
            <w:pPr>
              <w:ind w:left="740"/>
              <w:spacing w:after="0"/>
              <w:rPr>
                <w:sz w:val="20"/>
                <w:szCs w:val="20"/>
                <w:color w:val="auto"/>
              </w:rPr>
            </w:pPr>
            <w:r>
              <w:rPr>
                <w:rFonts w:ascii="Arial" w:cs="Arial" w:eastAsia="Arial" w:hAnsi="Arial"/>
                <w:sz w:val="18"/>
                <w:szCs w:val="18"/>
                <w:color w:val="auto"/>
              </w:rPr>
              <w:t>Net cash and cash equivalents used in 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(79,389 )</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(115,662 )</w:t>
            </w:r>
          </w:p>
        </w:tc>
        <w:tc>
          <w:tcPr>
            <w:tcW w:w="0" w:type="dxa"/>
            <w:vAlign w:val="bottom"/>
          </w:tcPr>
          <w:p>
            <w:pPr>
              <w:spacing w:after="0"/>
              <w:rPr>
                <w:sz w:val="1"/>
                <w:szCs w:val="1"/>
                <w:color w:val="auto"/>
              </w:rPr>
            </w:pPr>
          </w:p>
        </w:tc>
      </w:tr>
      <w:tr>
        <w:trPr>
          <w:trHeight w:val="243"/>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shd w:val="clear" w:color="auto" w:fill="CFF0FC"/>
          </w:tcPr>
          <w:p>
            <w:pPr>
              <w:spacing w:after="0"/>
              <w:rPr>
                <w:sz w:val="21"/>
                <w:szCs w:val="21"/>
                <w:color w:val="auto"/>
              </w:rPr>
            </w:pPr>
          </w:p>
        </w:tc>
        <w:tc>
          <w:tcPr>
            <w:tcW w:w="148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460" w:type="dxa"/>
            <w:vAlign w:val="bottom"/>
            <w:tcBorders>
              <w:top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6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(104,265 )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(2,696 )</w:t>
            </w:r>
          </w:p>
        </w:tc>
        <w:tc>
          <w:tcPr>
            <w:tcW w:w="0" w:type="dxa"/>
            <w:vAlign w:val="bottom"/>
          </w:tcPr>
          <w:p>
            <w:pPr>
              <w:spacing w:after="0"/>
              <w:rPr>
                <w:sz w:val="1"/>
                <w:szCs w:val="1"/>
                <w:color w:val="auto"/>
              </w:rPr>
            </w:pPr>
          </w:p>
        </w:tc>
      </w:tr>
      <w:tr>
        <w:trPr>
          <w:trHeight w:val="249"/>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long-term investments</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(16,390 )</w:t>
            </w:r>
          </w:p>
        </w:tc>
        <w:tc>
          <w:tcPr>
            <w:tcW w:w="0" w:type="dxa"/>
            <w:vAlign w:val="bottom"/>
          </w:tcPr>
          <w:p>
            <w:pPr>
              <w:spacing w:after="0"/>
              <w:rPr>
                <w:sz w:val="1"/>
                <w:szCs w:val="1"/>
                <w:color w:val="auto"/>
              </w:rPr>
            </w:pPr>
          </w:p>
        </w:tc>
      </w:tr>
      <w:tr>
        <w:trPr>
          <w:trHeight w:val="237"/>
        </w:trPr>
        <w:tc>
          <w:tcPr>
            <w:tcW w:w="7460" w:type="dxa"/>
            <w:vAlign w:val="bottom"/>
          </w:tcPr>
          <w:p>
            <w:pPr>
              <w:ind w:left="200"/>
              <w:spacing w:after="0"/>
              <w:rPr>
                <w:sz w:val="20"/>
                <w:szCs w:val="20"/>
                <w:color w:val="auto"/>
              </w:rPr>
            </w:pPr>
            <w:r>
              <w:rPr>
                <w:rFonts w:ascii="Arial" w:cs="Arial" w:eastAsia="Arial" w:hAnsi="Arial"/>
                <w:sz w:val="18"/>
                <w:szCs w:val="18"/>
                <w:color w:val="auto"/>
              </w:rPr>
              <w:t>Maturities of short-term investments</w:t>
            </w:r>
          </w:p>
        </w:tc>
        <w:tc>
          <w:tcPr>
            <w:tcW w:w="24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78,915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43"/>
        </w:trPr>
        <w:tc>
          <w:tcPr>
            <w:tcW w:w="7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(943 )</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(892 )</w:t>
            </w:r>
          </w:p>
        </w:tc>
        <w:tc>
          <w:tcPr>
            <w:tcW w:w="0" w:type="dxa"/>
            <w:vAlign w:val="bottom"/>
          </w:tcPr>
          <w:p>
            <w:pPr>
              <w:spacing w:after="0"/>
              <w:rPr>
                <w:sz w:val="1"/>
                <w:szCs w:val="1"/>
                <w:color w:val="auto"/>
              </w:rPr>
            </w:pPr>
          </w:p>
        </w:tc>
      </w:tr>
      <w:tr>
        <w:trPr>
          <w:trHeight w:val="215"/>
        </w:trPr>
        <w:tc>
          <w:tcPr>
            <w:tcW w:w="7460" w:type="dxa"/>
            <w:vAlign w:val="bottom"/>
          </w:tcPr>
          <w:p>
            <w:pPr>
              <w:ind w:left="740"/>
              <w:spacing w:after="0"/>
              <w:rPr>
                <w:sz w:val="20"/>
                <w:szCs w:val="20"/>
                <w:color w:val="auto"/>
              </w:rPr>
            </w:pPr>
            <w:r>
              <w:rPr>
                <w:rFonts w:ascii="Arial" w:cs="Arial" w:eastAsia="Arial" w:hAnsi="Arial"/>
                <w:sz w:val="18"/>
                <w:szCs w:val="18"/>
                <w:color w:val="auto"/>
              </w:rPr>
              <w:t>Net cash and cash equivalents provided by (used in) investing</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(26,293 )</w:t>
            </w:r>
          </w:p>
        </w:tc>
        <w:tc>
          <w:tcPr>
            <w:tcW w:w="4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vMerge w:val="restart"/>
          </w:tcPr>
          <w:p>
            <w:pPr>
              <w:jc w:val="right"/>
              <w:ind w:right="32"/>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30"/>
        </w:trPr>
        <w:tc>
          <w:tcPr>
            <w:tcW w:w="7460" w:type="dxa"/>
            <w:vAlign w:val="bottom"/>
          </w:tcPr>
          <w:p>
            <w:pPr>
              <w:ind w:left="880"/>
              <w:spacing w:after="0"/>
              <w:rPr>
                <w:sz w:val="20"/>
                <w:szCs w:val="20"/>
                <w:color w:val="auto"/>
              </w:rPr>
            </w:pPr>
            <w:r>
              <w:rPr>
                <w:rFonts w:ascii="Arial" w:cs="Arial" w:eastAsia="Arial" w:hAnsi="Arial"/>
                <w:sz w:val="18"/>
                <w:szCs w:val="18"/>
                <w:color w:val="auto"/>
              </w:rPr>
              <w:t>activities</w:t>
            </w:r>
          </w:p>
        </w:tc>
        <w:tc>
          <w:tcPr>
            <w:tcW w:w="240" w:type="dxa"/>
            <w:vAlign w:val="bottom"/>
            <w:vMerge w:val="continue"/>
          </w:tcPr>
          <w:p>
            <w:pPr>
              <w:spacing w:after="0"/>
              <w:rPr>
                <w:sz w:val="20"/>
                <w:szCs w:val="20"/>
                <w:color w:val="auto"/>
              </w:rPr>
            </w:pPr>
          </w:p>
        </w:tc>
        <w:tc>
          <w:tcPr>
            <w:tcW w:w="1480" w:type="dxa"/>
            <w:vAlign w:val="bottom"/>
            <w:vMerge w:val="continue"/>
          </w:tcPr>
          <w:p>
            <w:pPr>
              <w:spacing w:after="0"/>
              <w:rPr>
                <w:sz w:val="20"/>
                <w:szCs w:val="20"/>
                <w:color w:val="auto"/>
              </w:rPr>
            </w:pPr>
          </w:p>
        </w:tc>
        <w:tc>
          <w:tcPr>
            <w:tcW w:w="420" w:type="dxa"/>
            <w:vAlign w:val="bottom"/>
            <w:gridSpan w:val="2"/>
            <w:vMerge w:val="continue"/>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60" w:type="dxa"/>
            <w:vAlign w:val="bottom"/>
          </w:tcPr>
          <w:p>
            <w:pPr>
              <w:ind w:left="200"/>
              <w:spacing w:after="0"/>
              <w:rPr>
                <w:sz w:val="20"/>
                <w:szCs w:val="20"/>
                <w:color w:val="auto"/>
              </w:rPr>
            </w:pPr>
            <w:r>
              <w:rPr>
                <w:rFonts w:ascii="Arial" w:cs="Arial" w:eastAsia="Arial" w:hAnsi="Arial"/>
                <w:sz w:val="18"/>
                <w:szCs w:val="18"/>
                <w:color w:val="auto"/>
              </w:rPr>
              <w:t>Payments on finance lease</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49"/>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of deferred offering costs</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(875 )</w:t>
            </w:r>
          </w:p>
        </w:tc>
        <w:tc>
          <w:tcPr>
            <w:tcW w:w="0" w:type="dxa"/>
            <w:vAlign w:val="bottom"/>
          </w:tcPr>
          <w:p>
            <w:pPr>
              <w:spacing w:after="0"/>
              <w:rPr>
                <w:sz w:val="1"/>
                <w:szCs w:val="1"/>
                <w:color w:val="auto"/>
              </w:rPr>
            </w:pPr>
          </w:p>
        </w:tc>
      </w:tr>
      <w:tr>
        <w:trPr>
          <w:trHeight w:val="237"/>
        </w:trPr>
        <w:tc>
          <w:tcPr>
            <w:tcW w:w="7460" w:type="dxa"/>
            <w:vAlign w:val="bottom"/>
          </w:tcPr>
          <w:p>
            <w:pPr>
              <w:ind w:left="200"/>
              <w:spacing w:after="0"/>
              <w:rPr>
                <w:sz w:val="20"/>
                <w:szCs w:val="20"/>
                <w:color w:val="auto"/>
              </w:rPr>
            </w:pPr>
            <w:r>
              <w:rPr>
                <w:rFonts w:ascii="Arial" w:cs="Arial" w:eastAsia="Arial" w:hAnsi="Arial"/>
                <w:sz w:val="18"/>
                <w:szCs w:val="18"/>
                <w:color w:val="auto"/>
                <w:w w:val="98"/>
              </w:rPr>
              <w:t>Proceeds from issuance of common stock in connection with Follow-on Offering, net of costs</w:t>
            </w:r>
          </w:p>
        </w:tc>
        <w:tc>
          <w:tcPr>
            <w:tcW w:w="240" w:type="dxa"/>
            <w:vAlign w:val="bottom"/>
          </w:tcPr>
          <w:p>
            <w:pPr>
              <w:spacing w:after="0"/>
              <w:rPr>
                <w:sz w:val="20"/>
                <w:szCs w:val="20"/>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78,584</w:t>
            </w:r>
          </w:p>
        </w:tc>
        <w:tc>
          <w:tcPr>
            <w:tcW w:w="0" w:type="dxa"/>
            <w:vAlign w:val="bottom"/>
          </w:tcPr>
          <w:p>
            <w:pPr>
              <w:spacing w:after="0"/>
              <w:rPr>
                <w:sz w:val="1"/>
                <w:szCs w:val="1"/>
                <w:color w:val="auto"/>
              </w:rPr>
            </w:pPr>
          </w:p>
        </w:tc>
      </w:tr>
      <w:tr>
        <w:trPr>
          <w:trHeight w:val="249"/>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ESPP purchase</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460" w:type="dxa"/>
            <w:vAlign w:val="bottom"/>
          </w:tcPr>
          <w:p>
            <w:pPr>
              <w:ind w:left="200"/>
              <w:spacing w:after="0"/>
              <w:rPr>
                <w:sz w:val="20"/>
                <w:szCs w:val="20"/>
                <w:color w:val="auto"/>
              </w:rPr>
            </w:pPr>
            <w:r>
              <w:rPr>
                <w:rFonts w:ascii="Arial" w:cs="Arial" w:eastAsia="Arial" w:hAnsi="Arial"/>
                <w:sz w:val="18"/>
                <w:szCs w:val="18"/>
                <w:color w:val="auto"/>
              </w:rPr>
              <w:t>Proceeds from the issuance of common stock under employee stock plans</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36"/>
        </w:trPr>
        <w:tc>
          <w:tcPr>
            <w:tcW w:w="74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and cash equivalents provided by financing activities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164</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78,677</w:t>
            </w:r>
          </w:p>
        </w:tc>
        <w:tc>
          <w:tcPr>
            <w:tcW w:w="0" w:type="dxa"/>
            <w:vAlign w:val="bottom"/>
          </w:tcPr>
          <w:p>
            <w:pPr>
              <w:spacing w:after="0"/>
              <w:rPr>
                <w:sz w:val="1"/>
                <w:szCs w:val="1"/>
                <w:color w:val="auto"/>
              </w:rPr>
            </w:pPr>
          </w:p>
        </w:tc>
      </w:tr>
      <w:tr>
        <w:trPr>
          <w:trHeight w:val="237"/>
        </w:trPr>
        <w:tc>
          <w:tcPr>
            <w:tcW w:w="7460" w:type="dxa"/>
            <w:vAlign w:val="bottom"/>
          </w:tcPr>
          <w:p>
            <w:pPr>
              <w:ind w:left="740"/>
              <w:spacing w:after="0"/>
              <w:rPr>
                <w:sz w:val="20"/>
                <w:szCs w:val="20"/>
                <w:color w:val="auto"/>
              </w:rPr>
            </w:pPr>
            <w:r>
              <w:rPr>
                <w:rFonts w:ascii="Arial" w:cs="Arial" w:eastAsia="Arial" w:hAnsi="Arial"/>
                <w:sz w:val="18"/>
                <w:szCs w:val="18"/>
                <w:color w:val="auto"/>
              </w:rPr>
              <w:t>Net decrease in cash, cash equivalents, and restricted cash</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(105,518 )</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(33,963 )</w:t>
            </w:r>
          </w:p>
        </w:tc>
        <w:tc>
          <w:tcPr>
            <w:tcW w:w="0" w:type="dxa"/>
            <w:vAlign w:val="bottom"/>
          </w:tcPr>
          <w:p>
            <w:pPr>
              <w:spacing w:after="0"/>
              <w:rPr>
                <w:sz w:val="1"/>
                <w:szCs w:val="1"/>
                <w:color w:val="auto"/>
              </w:rPr>
            </w:pPr>
          </w:p>
        </w:tc>
      </w:tr>
      <w:tr>
        <w:trPr>
          <w:trHeight w:val="243"/>
        </w:trPr>
        <w:tc>
          <w:tcPr>
            <w:tcW w:w="7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186,980</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220,943</w:t>
            </w:r>
          </w:p>
        </w:tc>
        <w:tc>
          <w:tcPr>
            <w:tcW w:w="0" w:type="dxa"/>
            <w:vAlign w:val="bottom"/>
          </w:tcPr>
          <w:p>
            <w:pPr>
              <w:spacing w:after="0"/>
              <w:rPr>
                <w:sz w:val="1"/>
                <w:szCs w:val="1"/>
                <w:color w:val="auto"/>
              </w:rPr>
            </w:pPr>
          </w:p>
        </w:tc>
      </w:tr>
      <w:tr>
        <w:trPr>
          <w:trHeight w:val="236"/>
        </w:trPr>
        <w:tc>
          <w:tcPr>
            <w:tcW w:w="74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81,462</w:t>
            </w:r>
          </w:p>
        </w:tc>
        <w:tc>
          <w:tcPr>
            <w:tcW w:w="1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186,980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-1876425</wp:posOffset>
            </wp:positionV>
            <wp:extent cx="111760" cy="3003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760" cy="3003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-488315</wp:posOffset>
            </wp:positionV>
            <wp:extent cx="111760" cy="163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760"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11176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760" cy="171450"/>
                    </a:xfrm>
                    <a:prstGeom prst="rect">
                      <a:avLst/>
                    </a:prstGeom>
                    <a:noFill/>
                  </pic:spPr>
                </pic:pic>
              </a:graphicData>
            </a:graphic>
          </wp:anchor>
        </w:drawing>
      </w: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37" w:right="519" w:bottom="1440" w:gutter="0" w:footer="0" w:header="0"/>
        </w:sectPr>
      </w:pPr>
    </w:p>
    <w:bookmarkStart w:id="114" w:name="page115"/>
    <w:bookmarkEnd w:id="114"/>
    <w:p>
      <w:pPr>
        <w:jc w:val="center"/>
        <w:ind w:right="-17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center"/>
              <w:ind w:right="254"/>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center"/>
              <w:ind w:right="254"/>
              <w:spacing w:after="0"/>
              <w:rPr>
                <w:sz w:val="20"/>
                <w:szCs w:val="20"/>
                <w:color w:val="auto"/>
              </w:rPr>
            </w:pPr>
            <w:r>
              <w:rPr>
                <w:rFonts w:ascii="Arial" w:cs="Arial" w:eastAsia="Arial" w:hAnsi="Arial"/>
                <w:sz w:val="14"/>
                <w:szCs w:val="14"/>
                <w:b w:val="1"/>
                <w:bCs w:val="1"/>
                <w:color w:val="auto"/>
                <w:w w:val="93"/>
              </w:rPr>
              <w:t>Year Ended</w:t>
            </w:r>
          </w:p>
        </w:tc>
      </w:tr>
      <w:tr>
        <w:trPr>
          <w:trHeight w:val="186"/>
        </w:trPr>
        <w:tc>
          <w:tcPr>
            <w:tcW w:w="7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center"/>
              <w:ind w:right="254"/>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center"/>
              <w:ind w:right="254"/>
              <w:spacing w:after="0"/>
              <w:rPr>
                <w:sz w:val="20"/>
                <w:szCs w:val="20"/>
                <w:color w:val="auto"/>
              </w:rPr>
            </w:pPr>
            <w:r>
              <w:rPr>
                <w:rFonts w:ascii="Arial" w:cs="Arial" w:eastAsia="Arial" w:hAnsi="Arial"/>
                <w:sz w:val="14"/>
                <w:szCs w:val="14"/>
                <w:b w:val="1"/>
                <w:bCs w:val="1"/>
                <w:color w:val="auto"/>
                <w:w w:val="92"/>
              </w:rPr>
              <w:t>December 31,</w:t>
            </w:r>
          </w:p>
        </w:tc>
      </w:tr>
      <w:tr>
        <w:trPr>
          <w:trHeight w:val="255"/>
        </w:trPr>
        <w:tc>
          <w:tcPr>
            <w:tcW w:w="74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6"/>
              </w:rPr>
              <w:t>2022</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2021</w:t>
            </w:r>
          </w:p>
        </w:tc>
      </w:tr>
      <w:tr>
        <w:trPr>
          <w:trHeight w:val="237"/>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Reconciliation to amounts on the consolidated balance sheet:</w:t>
            </w: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r>
      <w:tr>
        <w:trPr>
          <w:trHeight w:val="237"/>
        </w:trPr>
        <w:tc>
          <w:tcPr>
            <w:tcW w:w="74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81,347</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186,816</w:t>
            </w:r>
          </w:p>
        </w:tc>
      </w:tr>
      <w:tr>
        <w:trPr>
          <w:trHeight w:val="243"/>
        </w:trPr>
        <w:tc>
          <w:tcPr>
            <w:tcW w:w="7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115</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164</w:t>
            </w:r>
          </w:p>
        </w:tc>
      </w:tr>
      <w:tr>
        <w:trPr>
          <w:trHeight w:val="236"/>
        </w:trPr>
        <w:tc>
          <w:tcPr>
            <w:tcW w:w="7460" w:type="dxa"/>
            <w:vAlign w:val="bottom"/>
          </w:tcPr>
          <w:p>
            <w:pPr>
              <w:ind w:left="38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81,462</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186,980</w:t>
            </w:r>
          </w:p>
        </w:tc>
      </w:tr>
      <w:tr>
        <w:trPr>
          <w:trHeight w:val="243"/>
        </w:trPr>
        <w:tc>
          <w:tcPr>
            <w:tcW w:w="7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Borders>
              <w:top w:val="single" w:sz="8" w:color="auto"/>
            </w:tcBorders>
            <w:shd w:val="clear" w:color="auto" w:fill="CFF0FC"/>
          </w:tcPr>
          <w:p>
            <w:pPr>
              <w:spacing w:after="0"/>
              <w:rPr>
                <w:sz w:val="21"/>
                <w:szCs w:val="21"/>
                <w:color w:val="auto"/>
              </w:rPr>
            </w:pPr>
          </w:p>
        </w:tc>
        <w:tc>
          <w:tcPr>
            <w:tcW w:w="148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460" w:type="dxa"/>
            <w:vAlign w:val="bottom"/>
            <w:tcBorders>
              <w:top w:val="single" w:sz="8" w:color="auto"/>
            </w:tcBorders>
            <w:shd w:val="clear" w:color="auto" w:fill="CFF0FC"/>
          </w:tcPr>
          <w:p>
            <w:pPr>
              <w:spacing w:after="0"/>
              <w:rPr>
                <w:sz w:val="21"/>
                <w:szCs w:val="21"/>
                <w:color w:val="auto"/>
              </w:rPr>
            </w:pPr>
          </w:p>
        </w:tc>
      </w:tr>
      <w:tr>
        <w:trPr>
          <w:trHeight w:val="237"/>
        </w:trPr>
        <w:tc>
          <w:tcPr>
            <w:tcW w:w="7460" w:type="dxa"/>
            <w:vAlign w:val="bottom"/>
          </w:tcPr>
          <w:p>
            <w:pPr>
              <w:ind w:left="200"/>
              <w:spacing w:after="0"/>
              <w:rPr>
                <w:sz w:val="20"/>
                <w:szCs w:val="20"/>
                <w:color w:val="auto"/>
              </w:rPr>
            </w:pPr>
            <w:r>
              <w:rPr>
                <w:rFonts w:ascii="Arial" w:cs="Arial" w:eastAsia="Arial" w:hAnsi="Arial"/>
                <w:sz w:val="18"/>
                <w:szCs w:val="18"/>
                <w:color w:val="auto"/>
              </w:rPr>
              <w:t>Interest paid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43"/>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taxes paid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37"/>
        </w:trPr>
        <w:tc>
          <w:tcPr>
            <w:tcW w:w="74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Supplemental disclosures of noncash financing and investing activities: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249"/>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Mark to market adjustments for available-for-sale investments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(57 )</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(109 )</w:t>
            </w:r>
          </w:p>
        </w:tc>
      </w:tr>
      <w:tr>
        <w:trPr>
          <w:trHeight w:val="237"/>
        </w:trPr>
        <w:tc>
          <w:tcPr>
            <w:tcW w:w="7460" w:type="dxa"/>
            <w:vAlign w:val="bottom"/>
          </w:tcPr>
          <w:p>
            <w:pPr>
              <w:ind w:left="200"/>
              <w:spacing w:after="0"/>
              <w:rPr>
                <w:sz w:val="20"/>
                <w:szCs w:val="20"/>
                <w:color w:val="auto"/>
              </w:rPr>
            </w:pPr>
            <w:r>
              <w:rPr>
                <w:rFonts w:ascii="Arial" w:cs="Arial" w:eastAsia="Arial" w:hAnsi="Arial"/>
                <w:sz w:val="18"/>
                <w:szCs w:val="18"/>
                <w:color w:val="auto"/>
              </w:rPr>
              <w:t>Equipment acquired through finance lease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284</w:t>
            </w:r>
          </w:p>
        </w:tc>
      </w:tr>
      <w:tr>
        <w:trPr>
          <w:trHeight w:val="249"/>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Receivable due from arrangement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700</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37"/>
        </w:trPr>
        <w:tc>
          <w:tcPr>
            <w:tcW w:w="7460" w:type="dxa"/>
            <w:vAlign w:val="bottom"/>
          </w:tcPr>
          <w:p>
            <w:pPr>
              <w:ind w:left="200"/>
              <w:spacing w:after="0"/>
              <w:rPr>
                <w:sz w:val="20"/>
                <w:szCs w:val="20"/>
                <w:color w:val="auto"/>
              </w:rPr>
            </w:pPr>
            <w:r>
              <w:rPr>
                <w:rFonts w:ascii="Arial" w:cs="Arial" w:eastAsia="Arial" w:hAnsi="Arial"/>
                <w:sz w:val="18"/>
                <w:szCs w:val="18"/>
                <w:color w:val="auto"/>
              </w:rPr>
              <w:t>Vesting of early exercised options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209</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292</w:t>
            </w:r>
          </w:p>
        </w:tc>
      </w:tr>
      <w:tr>
        <w:trPr>
          <w:trHeight w:val="249"/>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Acquisition of right-of-use asset through operating lease obligation</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2,647</w:t>
            </w:r>
          </w:p>
        </w:tc>
      </w:tr>
      <w:tr>
        <w:trPr>
          <w:trHeight w:val="237"/>
        </w:trPr>
        <w:tc>
          <w:tcPr>
            <w:tcW w:w="7460" w:type="dxa"/>
            <w:vAlign w:val="bottom"/>
          </w:tcPr>
          <w:p>
            <w:pPr>
              <w:ind w:left="200"/>
              <w:spacing w:after="0"/>
              <w:rPr>
                <w:sz w:val="20"/>
                <w:szCs w:val="20"/>
                <w:color w:val="auto"/>
              </w:rPr>
            </w:pPr>
            <w:r>
              <w:rPr>
                <w:rFonts w:ascii="Arial" w:cs="Arial" w:eastAsia="Arial" w:hAnsi="Arial"/>
                <w:sz w:val="18"/>
                <w:szCs w:val="18"/>
                <w:color w:val="auto"/>
              </w:rPr>
              <w:t>PP&amp;E purchase still in 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15</w:t>
            </w:r>
          </w:p>
        </w:tc>
      </w:tr>
      <w:tr>
        <w:trPr>
          <w:trHeight w:val="249"/>
        </w:trPr>
        <w:tc>
          <w:tcPr>
            <w:tcW w:w="7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pension obligation</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-1877060</wp:posOffset>
            </wp:positionV>
            <wp:extent cx="11176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760"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-1242695</wp:posOffset>
            </wp:positionV>
            <wp:extent cx="111760" cy="1631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760" cy="163195"/>
                    </a:xfrm>
                    <a:prstGeom prst="rect">
                      <a:avLst/>
                    </a:prstGeom>
                    <a:noFill/>
                  </pic:spPr>
                </pic:pic>
              </a:graphicData>
            </a:graphic>
          </wp:anchor>
        </w:drawing>
      </w: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37" w:right="51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Aligos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Unless otherwise indicated, financial information except share and per share data, including dollar values stated in the text of the notes to financial statements, is expressed in dollars.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Aligos Therapeutics, Inc. (Aligos-US) was incorporated in the state of Delaware on February 5, 2018 (inception). On September 10, 2018, the Company formed Aligos Belgium BVBA (the Subsidiary or Aligos-Belgium). On March 30, 2020, the Company formed as a wholly owned subsidiary, Aligos Australia Pty LTD (Aligos-Australia), a proprietary limited company. On May 18, 2021, the Company formed as a wholly owned subsidiary, Aligos Therapeutics (Shanghai) Co. Ltd. (Aligos-Shanghai) and together with Aligos-US, Aligos-Belgium, and Aligos-Australia being the Company or Aligos.</w:t>
      </w:r>
    </w:p>
    <w:p>
      <w:pPr>
        <w:spacing w:after="0" w:line="49"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Aligos is a clinical-stage biopharmaceutical company developing novel therapeutics to address unmet medical needs in liver diseases and viral infections, including therapeutics for nonalcoholic steatohepatitis (NASH), coronaviruses, and chronic hepatitis B.</w:t>
      </w:r>
    </w:p>
    <w:p>
      <w:pPr>
        <w:spacing w:after="0" w:line="62"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preclinical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third-parties, product liability, and dependence on key individuals.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The Company has incurred losses and negative cash flows from operations since its inception. As of December 31, 2022 and 2021, the Company had an accumulated deficit of approximately $399.1 million and $303.1 million, respectively. Management expects to continue to incur additional substantial losses in the foreseeable future as a result of expanded research and development activities.</w:t>
      </w:r>
    </w:p>
    <w:p>
      <w:pPr>
        <w:spacing w:after="0" w:line="76" w:lineRule="exact"/>
        <w:rPr>
          <w:sz w:val="20"/>
          <w:szCs w:val="20"/>
          <w:color w:val="auto"/>
        </w:rPr>
      </w:pPr>
    </w:p>
    <w:p>
      <w:pPr>
        <w:ind w:right="260" w:firstLine="509"/>
        <w:spacing w:after="0" w:line="293" w:lineRule="auto"/>
        <w:rPr>
          <w:sz w:val="20"/>
          <w:szCs w:val="20"/>
          <w:color w:val="auto"/>
        </w:rPr>
      </w:pPr>
      <w:r>
        <w:rPr>
          <w:rFonts w:ascii="Arial" w:cs="Arial" w:eastAsia="Arial" w:hAnsi="Arial"/>
          <w:sz w:val="16"/>
          <w:szCs w:val="16"/>
          <w:color w:val="auto"/>
        </w:rPr>
        <w:t>As of December 31, 2022, the Company has cash, cash equivalent and investments of approximately $125.8 million, which is available to fund future operations. The Company expects to continue to spend substantial amounts to continue the nonclinical and clinical development of its current and future programs. If the Company is able to gain marketing approval for drug candidates that are being developed, it will require significant additional amounts of cash in order to launch and commercialize such drug candidates. In addition, other unanticipated costs may arise. Because the design and outcome of the Company’s planned and anticipated clinical trials is highly uncertain, the Company cannot reasonably estimate the actual amounts necessary to successfully complete the development and commercialization of any drug candidate the Company may develop.</w:t>
      </w:r>
    </w:p>
    <w:p>
      <w:pPr>
        <w:spacing w:after="0" w:line="56"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The Company expects to finance its cash needs through a combination of public or private equity offerings, debt financings, collaborations, strategic alliances, licensing arrangements and other marketing or distribution arrangements. Based on the Company’s research and development plans, it is expected that the Company’s existing cash, cash equivalents and investments, will enable the Company to fund its operations for at least 12 months following the date the consolidated financial statements are issued. However, the Company’s operating plan may change as a result of many factors currently unknown, and the Company may need to seek additional funds sooner than planned. Moreover, it is particularly difficult to estimate with certainty the Company’s future expenses given the dynamic nature of its business, the COVID-19 pandemic and the macro-economic environment generally.</w:t>
      </w:r>
    </w:p>
    <w:p>
      <w:pPr>
        <w:spacing w:after="0" w:line="56" w:lineRule="exact"/>
        <w:rPr>
          <w:sz w:val="20"/>
          <w:szCs w:val="20"/>
          <w:color w:val="auto"/>
        </w:rPr>
      </w:pPr>
    </w:p>
    <w:p>
      <w:pPr>
        <w:ind w:right="260" w:firstLine="509"/>
        <w:spacing w:after="0" w:line="279" w:lineRule="auto"/>
        <w:rPr>
          <w:sz w:val="20"/>
          <w:szCs w:val="20"/>
          <w:color w:val="auto"/>
        </w:rPr>
      </w:pPr>
      <w:r>
        <w:rPr>
          <w:rFonts w:ascii="Arial" w:cs="Arial" w:eastAsia="Arial" w:hAnsi="Arial"/>
          <w:sz w:val="17"/>
          <w:szCs w:val="17"/>
          <w:color w:val="auto"/>
        </w:rPr>
        <w:t>The Company’s ability to raise additional funds will depend on financial, economic and other factors, many of which are beyond its control. In particular, the COVID-19 pandemic continues to rapidly evolve and has already resulted in a significant disruption of global financial markets. If the disruption persists or deepens, the Company could be unable to access additional capital, which could negatively affect its ability to consummate certain corporate development transactions or other important, beneficial or opportunistic investments. If additional funds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spacing w:after="0" w:line="257" w:lineRule="auto"/>
        <w:rPr>
          <w:sz w:val="20"/>
          <w:szCs w:val="20"/>
          <w:color w:val="auto"/>
        </w:rPr>
      </w:pPr>
      <w:r>
        <w:rPr>
          <w:rFonts w:ascii="Arial" w:cs="Arial" w:eastAsia="Arial" w:hAnsi="Arial"/>
          <w:sz w:val="18"/>
          <w:szCs w:val="18"/>
          <w:color w:val="auto"/>
        </w:rPr>
        <w:t>are not available to the Company when needed, on terms that are acceptable to the Company, or at all, the Company may be required to: delay, limit, reduce or terminate nonclinical studies, clinical trials or other research and development activities or eliminate one or more of its development programs altogether; or delay, limit, reduce or terminate its efforts to establish manufacturing and sales and marketing capabilities or other activities that may be necessary to commercialize any future approved products, or reduce the Company’s flexibility in developing or maintaining its sales and marketing strategy.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The accompanying consolidated financial statements have been prepared on a basis that contemplates the continuity of operations, realization of assets and the satisfaction of liabilities and commitments in the normal course of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As a result, the Company is unable to predict the timing or amount of increased expenses or when or if the Company will be able to achieve or maintain profitability. Drug candidates currently under development will require significant additional research and development efforts, including extensive nonclinical and clinical testing and regulatory approval.</w:t>
      </w:r>
    </w:p>
    <w:p>
      <w:pPr>
        <w:spacing w:after="0" w:line="80"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Moreover, it is particularly difficult to estimate with certainty the Company’s future expenses given the dynamic nature of its business, the COVID-19 pandemic and the macro-economic environment generally.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(U.S. GAAP) and include all adjustments necessary for the fair presentation of the Company’s financial position for the periods presented. Any reference in these notes to applicable accounting guidance is meant to refer to the authoritative U.S. GAAP included in the Accounting Standards Codification (ASC), and Accounting Standards Update (ASU) issued by the Financial Accounting Standards Board (the FASB).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accompanying consolidated financial statements include Aligos-US and its wholly owned subsidiaries Aligos-Belgium, Aligos-Australia and Aligos-Shanghai. All intercompany balances and transactions have been eliminated.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The preparation of the consolidated financial statements in conformity with U.S. GAAP generally requires management to make certain estimates and assumptions that affect the reported amounts in the consolidated financial statements and accompanying notes. The Company regularly evaluates estimates and assumptions related to assets and liabilities, at the dates of the consolidated financial statements and the reported amounts of expenses during the reporting period. Areas where management uses subjective judgments include, but are not limited to, right-of-use assets, lease obligations, impairment of long-lived assets, stock-based compensation, accrued research and development costs, revenue from collaborations, deferred revenue, redeemable convertible preferred stock liability and pension liabilities in the accompanying consolidated financial statements.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these estimates under different assumptions or conditions.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right="240" w:firstLine="509"/>
        <w:spacing w:after="0" w:line="301" w:lineRule="auto"/>
        <w:rPr>
          <w:sz w:val="20"/>
          <w:szCs w:val="20"/>
          <w:color w:val="auto"/>
        </w:rPr>
      </w:pPr>
      <w:r>
        <w:rPr>
          <w:rFonts w:ascii="Arial" w:cs="Arial" w:eastAsia="Arial" w:hAnsi="Arial"/>
          <w:sz w:val="16"/>
          <w:szCs w:val="16"/>
          <w:color w:val="auto"/>
        </w:rPr>
        <w:t>The Company’s foreign subsidiaries use the U.S. dollar as their functional currency, and they initially measure the foreign currency denominated assets and liabilities at the transaction date. Monetary assets and liabilities are then re-measured at exchange rates in effect at the end of each period, and non-monetary assets and liabilities are converted at historical rates. A re-measurement loss was recognized during the year ended December 31, 2022 of $42,000, and a re-measurement loss was recognized during the year ended December 31, 2021 of $6,000, and are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7" w:name="page118"/>
    <w:bookmarkEnd w:id="117"/>
    <w:p>
      <w:pPr>
        <w:ind w:right="2080"/>
        <w:spacing w:after="0" w:line="375" w:lineRule="auto"/>
        <w:rPr>
          <w:sz w:val="20"/>
          <w:szCs w:val="20"/>
          <w:color w:val="auto"/>
        </w:rPr>
      </w:pPr>
      <w:r>
        <w:rPr>
          <w:rFonts w:ascii="Arial" w:cs="Arial" w:eastAsia="Arial" w:hAnsi="Arial"/>
          <w:sz w:val="18"/>
          <w:szCs w:val="18"/>
          <w:color w:val="auto"/>
        </w:rPr>
        <w:t xml:space="preserve">reflected within interest and other income (expense), net on the consolidated statements of operations and comprehensive loss. </w:t>
      </w:r>
      <w:r>
        <w:rPr>
          <w:rFonts w:ascii="Arial" w:cs="Arial" w:eastAsia="Arial" w:hAnsi="Arial"/>
          <w:sz w:val="18"/>
          <w:szCs w:val="18"/>
          <w:b w:val="1"/>
          <w:bCs w:val="1"/>
          <w:i w:val="1"/>
          <w:iCs w:val="1"/>
          <w:color w:val="auto"/>
        </w:rPr>
        <w:t>Segment information</w:t>
      </w:r>
    </w:p>
    <w:p>
      <w:pPr>
        <w:spacing w:after="0" w:line="1" w:lineRule="exact"/>
        <w:rPr>
          <w:sz w:val="20"/>
          <w:szCs w:val="20"/>
          <w:color w:val="auto"/>
        </w:rPr>
      </w:pPr>
    </w:p>
    <w:p>
      <w:pPr>
        <w:ind w:right="320" w:firstLine="509"/>
        <w:spacing w:after="0" w:line="259" w:lineRule="auto"/>
        <w:rPr>
          <w:sz w:val="20"/>
          <w:szCs w:val="20"/>
          <w:color w:val="auto"/>
        </w:rPr>
      </w:pPr>
      <w:r>
        <w:rPr>
          <w:rFonts w:ascii="Arial" w:cs="Arial" w:eastAsia="Arial" w:hAnsi="Arial"/>
          <w:sz w:val="18"/>
          <w:szCs w:val="18"/>
          <w:color w:val="auto"/>
        </w:rPr>
        <w:t>The Company has determined that the Chief Executive Officer is its Chief Operating Decision Maker. The Company’s Chief Executive Officer reviews financial information presented on a consolidated basis for the purposes of assessing the performance and making decisions on how to allocate resources. Accordingly, the Company has determined that it operates in a single reportable segment. No product revenue has been generated since inception.</w:t>
      </w:r>
    </w:p>
    <w:p>
      <w:pPr>
        <w:spacing w:after="0" w:line="79" w:lineRule="exact"/>
        <w:rPr>
          <w:sz w:val="20"/>
          <w:szCs w:val="20"/>
          <w:color w:val="auto"/>
        </w:rPr>
      </w:pPr>
    </w:p>
    <w:p>
      <w:pPr>
        <w:ind w:right="140" w:firstLine="509"/>
        <w:spacing w:after="0" w:line="223" w:lineRule="exact"/>
        <w:rPr>
          <w:sz w:val="20"/>
          <w:szCs w:val="20"/>
          <w:color w:val="auto"/>
        </w:rPr>
      </w:pPr>
      <w:r>
        <w:rPr>
          <w:rFonts w:ascii="Arial" w:cs="Arial" w:eastAsia="Arial" w:hAnsi="Arial"/>
          <w:sz w:val="18"/>
          <w:szCs w:val="18"/>
          <w:color w:val="auto"/>
        </w:rPr>
        <w:t>The Company has $4.1 million and $0.7 million of fixed assets in Aligos-US and Aligos-Belgium, respectively, as of December 31, 2022 and $5.0 million and $1.2 million of fixed assets in Aligos-US and Aligos</w:t>
      </w:r>
      <w:r>
        <w:rPr>
          <w:rFonts w:ascii="MS PGothic" w:cs="MS PGothic" w:eastAsia="MS PGothic" w:hAnsi="MS PGothic"/>
          <w:sz w:val="18"/>
          <w:szCs w:val="18"/>
          <w:color w:val="auto"/>
        </w:rPr>
        <w:t>‑</w:t>
      </w:r>
      <w:r>
        <w:rPr>
          <w:rFonts w:ascii="Arial" w:cs="Arial" w:eastAsia="Arial" w:hAnsi="Arial"/>
          <w:sz w:val="18"/>
          <w:szCs w:val="18"/>
          <w:color w:val="auto"/>
        </w:rPr>
        <w:t>Belgium, respectively as of December 31, 2021.</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considers all highly liquid investments purchased with original maturities of 90 days or less at acquisition to be cash equivalents.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right="260" w:firstLine="509"/>
        <w:spacing w:after="0" w:line="263" w:lineRule="auto"/>
        <w:rPr>
          <w:sz w:val="20"/>
          <w:szCs w:val="20"/>
          <w:color w:val="auto"/>
        </w:rPr>
      </w:pPr>
      <w:r>
        <w:rPr>
          <w:rFonts w:ascii="Arial" w:cs="Arial" w:eastAsia="Arial" w:hAnsi="Arial"/>
          <w:sz w:val="18"/>
          <w:szCs w:val="18"/>
          <w:color w:val="auto"/>
        </w:rPr>
        <w:t>As of December 31, 2022 and 2021, the restricted cash balance was $0.1 million and $0.2 million, respectively, and was used primarily to secure letters of credit in relation to the Company’s operating leases and deposits on rental assets (Note 6), as well as employee withholdings for the employee stock purchase plan.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generally invests its excess cash in money market funds and investment grade short-to-intermediate-term fixed income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investments are included in cash, cash equivalents, short-term and long-term investments on the consolidated Balance Sheets.</w:t>
      </w:r>
    </w:p>
    <w:p>
      <w:pPr>
        <w:spacing w:after="0" w:line="103"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Company determines the appropriate classification of short-term and long-term securities at the time of purchase and re-evaluates such designation as of each balance sheet date. Securities are classified as held-to-maturity when the Company has the positive intent and ability to hold the securities to maturity, otherwise securities are classified as available-for sale. Held-to-maturity securities are carried at amortized cost. Available-for-sale debt securities are measured and reported at fair value using quoted prices in active markets for similar securities. Unrealized gains and losses on available-for-sale securities are reported as a separate component of stockholders’ equity. Premiums or discounts from par value are amortized to investment income over the life of the underlying investment. The cost of securities sold is determined on a specific identification basis, and realized gains and losses are included in interest and other income (expense), net within the consolidated statements of operations and comprehensive loss.</w:t>
      </w:r>
    </w:p>
    <w:p>
      <w:pPr>
        <w:spacing w:after="0" w:line="58"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For both held-to-maturity and available-for-sale investments, the Company periodically reviews each individual security position that has an unrealized loss, or impairment, to determine if that impairment is other-than-temporary. If the Company believes an impairment of a security position is other than temporary, based on available quantitative and qualitative information as of the report date, the loss will be recognized as other income (expense), net, in the Company’s consolidated statements of operations and a new cost basis in the investment is established. No impairment charges were recorded during the years ended December 31, 2022 and 2021.</w:t>
      </w:r>
    </w:p>
    <w:p>
      <w:pPr>
        <w:spacing w:after="0" w:line="80"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As of December 31, 2022 and 2021, investments consisted of Certificates of Deposit and U.S. Treasury securities, with original maturities of up to 1.50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suppliers</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restricted cash and investments. Periodically, the Company maintains deposits in accredited financial institutions in excess of federally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 The Company generally invests its excess capital in money market funds, U.S. treasury bonds, U.S. treasury bills and certificates of deposit that are subject to minimal credit and market risks.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18" w:name="page119"/>
    <w:bookmarkEnd w:id="118"/>
    <w:p>
      <w:pPr>
        <w:ind w:left="520"/>
        <w:spacing w:after="0"/>
        <w:rPr>
          <w:sz w:val="20"/>
          <w:szCs w:val="20"/>
          <w:color w:val="auto"/>
        </w:rPr>
      </w:pPr>
      <w:r>
        <w:rPr>
          <w:rFonts w:ascii="Arial" w:cs="Arial" w:eastAsia="Arial" w:hAnsi="Arial"/>
          <w:sz w:val="16"/>
          <w:szCs w:val="16"/>
          <w:color w:val="auto"/>
        </w:rPr>
        <w:t>The Company is dependent on various third parties to manufacture compounds for the Company to conduct research and studies for its programs.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programs would be adversely delayed by a significant interruption in the supply of active pharmaceutical ingredients.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right="380" w:firstLine="509"/>
        <w:spacing w:after="0" w:line="263" w:lineRule="auto"/>
        <w:rPr>
          <w:sz w:val="20"/>
          <w:szCs w:val="20"/>
          <w:color w:val="auto"/>
        </w:rPr>
      </w:pPr>
      <w:r>
        <w:rPr>
          <w:rFonts w:ascii="Arial" w:cs="Arial" w:eastAsia="Arial" w:hAnsi="Arial"/>
          <w:sz w:val="18"/>
          <w:szCs w:val="18"/>
          <w:color w:val="auto"/>
        </w:rPr>
        <w:t>The Company determines if an arrangement is a lease at the inception of the lease. Operating leases are included in operating lease right-of-use (ROU) assets and operating lease liabilities in the consolidated balance sheet. Finance leases are included in property and equipment and finance lease liabilities in the consolidated balance sheet.</w:t>
      </w:r>
    </w:p>
    <w:p>
      <w:pPr>
        <w:spacing w:after="0" w:line="76" w:lineRule="exact"/>
        <w:rPr>
          <w:sz w:val="20"/>
          <w:szCs w:val="20"/>
          <w:color w:val="auto"/>
        </w:rPr>
      </w:pPr>
    </w:p>
    <w:p>
      <w:pPr>
        <w:ind w:right="120" w:firstLine="509"/>
        <w:spacing w:after="0" w:line="291" w:lineRule="auto"/>
        <w:rPr>
          <w:sz w:val="20"/>
          <w:szCs w:val="20"/>
          <w:color w:val="auto"/>
        </w:rPr>
      </w:pPr>
      <w:r>
        <w:rPr>
          <w:rFonts w:ascii="Arial" w:cs="Arial" w:eastAsia="Arial" w:hAnsi="Arial"/>
          <w:sz w:val="16"/>
          <w:szCs w:val="16"/>
          <w:color w:val="auto"/>
        </w:rPr>
        <w:t>ROU assets represent the right to use an underlying asset for the lease term and lease liabilities represent the obligation to make lease payments arising from the lease. Operating lease ROU assets and liabilities are recognized at the lease commencement date based on the present value of lease payments over the lease term. When the Company’s leases do not provide an implicit rate, an incremental borrowing rate is used based on the information available at the commencement dates in determining the present value of lease payments. The Company uses the implicit rate when readily determinable. The operating lease ROU assets also include any lease payments made and excludes lease incentives when paid by the Company or on the Company’s behalf. The Company’s lease terms may include the period covered by options to extend or terminate the lease when it is reasonably certain that the Company will exercise that option. Lease expense for operating leases is recognized on a straight-line basis over the lease term.</w:t>
      </w:r>
    </w:p>
    <w:p>
      <w:pPr>
        <w:spacing w:after="0" w:line="58"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Company has lease agreements with lease and non-lease components. The Company elected to not separate lease and non-lease components for all of its building leases. For vehicle leases, lease and non-lease components are accounted for separately. The Company also made an accounting policy election to recognize lease expense for leases with a term of 12 months or less on a straight-line basis over the lease term and not recognize ROU assets or lease liabilities for such leases.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Property and equipment is stated at cost less accumulated depreciation, and is depreciated using the straight-line method over the estimated useful life of the asset, which are as follows: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60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3 years</w:t>
            </w:r>
          </w:p>
        </w:tc>
      </w:tr>
      <w:tr>
        <w:trPr>
          <w:trHeight w:val="237"/>
        </w:trPr>
        <w:tc>
          <w:tcPr>
            <w:tcW w:w="2980" w:type="dxa"/>
            <w:vAlign w:val="bottom"/>
          </w:tcPr>
          <w:p>
            <w:pPr>
              <w:spacing w:after="0"/>
              <w:rPr>
                <w:sz w:val="20"/>
                <w:szCs w:val="20"/>
                <w:color w:val="auto"/>
              </w:rPr>
            </w:pPr>
            <w:r>
              <w:rPr>
                <w:rFonts w:ascii="Arial" w:cs="Arial" w:eastAsia="Arial" w:hAnsi="Arial"/>
                <w:sz w:val="18"/>
                <w:szCs w:val="18"/>
                <w:color w:val="auto"/>
              </w:rPr>
              <w:t>Computer equipment</w:t>
            </w:r>
          </w:p>
        </w:tc>
        <w:tc>
          <w:tcPr>
            <w:tcW w:w="6000" w:type="dxa"/>
            <w:vAlign w:val="bottom"/>
          </w:tcPr>
          <w:p>
            <w:pPr>
              <w:ind w:left="740"/>
              <w:spacing w:after="0"/>
              <w:rPr>
                <w:sz w:val="20"/>
                <w:szCs w:val="20"/>
                <w:color w:val="auto"/>
              </w:rPr>
            </w:pPr>
            <w:r>
              <w:rPr>
                <w:rFonts w:ascii="Arial" w:cs="Arial" w:eastAsia="Arial" w:hAnsi="Arial"/>
                <w:sz w:val="18"/>
                <w:szCs w:val="18"/>
                <w:color w:val="auto"/>
              </w:rPr>
              <w:t>3 years</w:t>
            </w:r>
          </w:p>
        </w:tc>
      </w:tr>
      <w:tr>
        <w:trPr>
          <w:trHeight w:val="249"/>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office equipment</w:t>
            </w:r>
          </w:p>
        </w:tc>
        <w:tc>
          <w:tcPr>
            <w:tcW w:w="60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3-8 years</w:t>
            </w:r>
          </w:p>
        </w:tc>
      </w:tr>
      <w:tr>
        <w:trPr>
          <w:trHeight w:val="237"/>
        </w:trPr>
        <w:tc>
          <w:tcPr>
            <w:tcW w:w="2980" w:type="dxa"/>
            <w:vAlign w:val="bottom"/>
          </w:tcPr>
          <w:p>
            <w:pPr>
              <w:spacing w:after="0"/>
              <w:rPr>
                <w:sz w:val="20"/>
                <w:szCs w:val="20"/>
                <w:color w:val="auto"/>
              </w:rPr>
            </w:pPr>
            <w:r>
              <w:rPr>
                <w:rFonts w:ascii="Arial" w:cs="Arial" w:eastAsia="Arial" w:hAnsi="Arial"/>
                <w:sz w:val="18"/>
                <w:szCs w:val="18"/>
                <w:color w:val="auto"/>
              </w:rPr>
              <w:t>Vehicles</w:t>
            </w:r>
          </w:p>
        </w:tc>
        <w:tc>
          <w:tcPr>
            <w:tcW w:w="6000" w:type="dxa"/>
            <w:vAlign w:val="bottom"/>
          </w:tcPr>
          <w:p>
            <w:pPr>
              <w:ind w:left="740"/>
              <w:spacing w:after="0"/>
              <w:rPr>
                <w:sz w:val="20"/>
                <w:szCs w:val="20"/>
                <w:color w:val="auto"/>
              </w:rPr>
            </w:pPr>
            <w:r>
              <w:rPr>
                <w:rFonts w:ascii="Arial" w:cs="Arial" w:eastAsia="Arial" w:hAnsi="Arial"/>
                <w:sz w:val="18"/>
                <w:szCs w:val="18"/>
                <w:color w:val="auto"/>
              </w:rPr>
              <w:t>4 years</w:t>
            </w:r>
          </w:p>
        </w:tc>
      </w:tr>
      <w:tr>
        <w:trPr>
          <w:trHeight w:val="221"/>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60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Shorter of the useful life or</w:t>
            </w:r>
          </w:p>
        </w:tc>
      </w:tr>
      <w:tr>
        <w:trPr>
          <w:trHeight w:val="244"/>
        </w:trPr>
        <w:tc>
          <w:tcPr>
            <w:tcW w:w="2980" w:type="dxa"/>
            <w:vAlign w:val="bottom"/>
            <w:shd w:val="clear" w:color="auto" w:fill="CFF0FC"/>
          </w:tcPr>
          <w:p>
            <w:pPr>
              <w:spacing w:after="0"/>
              <w:rPr>
                <w:sz w:val="21"/>
                <w:szCs w:val="21"/>
                <w:color w:val="auto"/>
              </w:rPr>
            </w:pPr>
          </w:p>
        </w:tc>
        <w:tc>
          <w:tcPr>
            <w:tcW w:w="60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remaining lease term</w:t>
            </w:r>
          </w:p>
        </w:tc>
      </w:tr>
    </w:tbl>
    <w:p>
      <w:pPr>
        <w:spacing w:after="0" w:line="337" w:lineRule="exact"/>
        <w:rPr>
          <w:sz w:val="20"/>
          <w:szCs w:val="20"/>
          <w:color w:val="auto"/>
        </w:rPr>
      </w:pPr>
    </w:p>
    <w:p>
      <w:pPr>
        <w:ind w:right="280" w:firstLine="509"/>
        <w:spacing w:after="0" w:line="308" w:lineRule="auto"/>
        <w:rPr>
          <w:sz w:val="20"/>
          <w:szCs w:val="20"/>
          <w:color w:val="auto"/>
        </w:rPr>
      </w:pPr>
      <w:r>
        <w:rPr>
          <w:rFonts w:ascii="Arial" w:cs="Arial" w:eastAsia="Arial" w:hAnsi="Arial"/>
          <w:sz w:val="17"/>
          <w:szCs w:val="17"/>
          <w:color w:val="auto"/>
        </w:rPr>
        <w:t>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Company regularly reviews the carrying amount of its property, equipment and intangible assets to determine whether indicators of impairment may exist which warrant adjustments to carrying values or estimated useful lives. If indications of impairment exist, projected future undiscounted cash flows associated with the asset are compared to the carrying amount to determine whether the asset’s value is recoverable. If the carrying value of the asset exceeds such projected undiscounted cash flows, the asset will be written down to its estimated fair value. No impairment charges were recorded during the years ended December 31, 2022 or 2021.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Research and development costs are expensed as incurred. Research and development expenses consist of costs incurred in performing research and development activities, including salaries, stock-based compensation and benefits, facilities costs, depreciation, and third-party license fees. Non-refundable prepayments for goods or services that will be used or rendered for future research and development activities are deferred and capitalized.</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9" w:name="page120"/>
    <w:bookmarkEnd w:id="119"/>
    <w:p>
      <w:pPr>
        <w:ind w:right="300" w:firstLine="509"/>
        <w:spacing w:after="0" w:line="263" w:lineRule="auto"/>
        <w:rPr>
          <w:sz w:val="20"/>
          <w:szCs w:val="20"/>
          <w:color w:val="auto"/>
        </w:rPr>
      </w:pPr>
      <w:r>
        <w:rPr>
          <w:rFonts w:ascii="Arial" w:cs="Arial" w:eastAsia="Arial" w:hAnsi="Arial"/>
          <w:sz w:val="18"/>
          <w:szCs w:val="18"/>
          <w:color w:val="auto"/>
        </w:rPr>
        <w:t>In-process research and development (IPR&amp;D) expense represents the costs to acquire technologies to be used in research and development that have not reached technological feasibility or have no alternative future uses and thus are expensed as incurred. IPR&amp;D expense also includes upfront license fees and milestones paid to collaborators for technologies with no alternative use.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Collaborative arrangements</w:t>
      </w:r>
    </w:p>
    <w:p>
      <w:pPr>
        <w:spacing w:after="0" w:line="117"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The Company enters into collaboration arrangements with pharmaceutical and other partners, under which the Company may grant licenses to its collaboration partners to research and develop potential drug candidates. Consideration under these contracts may include an upfront payment, development, regulatory, sales and other milestone payments. Contractual payments received for research and development activities performed are recognized on a gross basis in revenue from collaboration arrangements.</w:t>
      </w:r>
    </w:p>
    <w:p>
      <w:pPr>
        <w:spacing w:after="0" w:line="79" w:lineRule="exact"/>
        <w:rPr>
          <w:sz w:val="20"/>
          <w:szCs w:val="20"/>
          <w:color w:val="auto"/>
        </w:rPr>
      </w:pPr>
    </w:p>
    <w:p>
      <w:pPr>
        <w:jc w:val="both"/>
        <w:ind w:right="480" w:firstLine="509"/>
        <w:spacing w:after="0" w:line="286" w:lineRule="auto"/>
        <w:rPr>
          <w:sz w:val="20"/>
          <w:szCs w:val="20"/>
          <w:color w:val="auto"/>
        </w:rPr>
      </w:pPr>
      <w:r>
        <w:rPr>
          <w:rFonts w:ascii="Arial" w:cs="Arial" w:eastAsia="Arial" w:hAnsi="Arial"/>
          <w:sz w:val="17"/>
          <w:szCs w:val="17"/>
          <w:color w:val="auto"/>
        </w:rPr>
        <w:t>The Company may also perform research and development activities under the collaboration agreements where the Company may be granted licenses from its collaboration partners. Contractual payments to the other party in collaboration agreements and costs incurred by the Company are recognized on a gross basis in research and development expenses. Royalties and license payments are recorded as due.</w:t>
      </w:r>
    </w:p>
    <w:p>
      <w:pPr>
        <w:spacing w:after="0" w:line="57"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 xml:space="preserve">When the Company enters into collaboration arrangements, the Company assesses whether the arrangement falls within the scope of ASC 808, </w:t>
      </w:r>
      <w:r>
        <w:rPr>
          <w:rFonts w:ascii="Arial" w:cs="Arial" w:eastAsia="Arial" w:hAnsi="Arial"/>
          <w:sz w:val="18"/>
          <w:szCs w:val="18"/>
          <w:i w:val="1"/>
          <w:iCs w:val="1"/>
          <w:color w:val="auto"/>
        </w:rPr>
        <w:t xml:space="preserve">Collaborative Arrangements </w:t>
      </w:r>
      <w:r>
        <w:rPr>
          <w:rFonts w:ascii="Arial" w:cs="Arial" w:eastAsia="Arial" w:hAnsi="Arial"/>
          <w:sz w:val="18"/>
          <w:szCs w:val="18"/>
          <w:color w:val="auto"/>
        </w:rPr>
        <w:t>(ASC 808) based on whether the arrangement involves joint operating activities and whether both parties would be active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participants and would be exposed to significant risks and rewards of the arrangement. To the extent that the arrangement falls within the scope of ASC 808, the Company assesses whether the payments between the parties fall within the scope of other accounting literature such as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(ASC 606).</w:t>
      </w:r>
    </w:p>
    <w:p>
      <w:pPr>
        <w:spacing w:after="0" w:line="80" w:lineRule="exact"/>
        <w:rPr>
          <w:sz w:val="20"/>
          <w:szCs w:val="20"/>
          <w:color w:val="auto"/>
        </w:rPr>
      </w:pPr>
    </w:p>
    <w:p>
      <w:pPr>
        <w:ind w:right="40" w:firstLine="509"/>
        <w:spacing w:after="0" w:line="313" w:lineRule="auto"/>
        <w:rPr>
          <w:sz w:val="20"/>
          <w:szCs w:val="20"/>
          <w:color w:val="auto"/>
        </w:rPr>
      </w:pPr>
      <w:r>
        <w:rPr>
          <w:rFonts w:ascii="Arial" w:cs="Arial" w:eastAsia="Arial" w:hAnsi="Arial"/>
          <w:sz w:val="16"/>
          <w:szCs w:val="16"/>
          <w:color w:val="auto"/>
        </w:rPr>
        <w:t>During the year ended December 31, 2022, the Company did not make any milestone payments. No royalties were due; therefore, the Company did not pay or expense any royalties. During the year ended December 31, 2021, a development milestone was met and so the Company made a payment of $0.5 million. The milestone payments were included in research and development in the consolidated statement of operations. The upfront payment received during the year ended December 31, 2021 was recorded on the consolidated balance sheet as deferred revenue from collaborations.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20" w:firstLine="509"/>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ind w:left="520" w:right="4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Level 1 quoted prices), such as quoted prices in active markets for similar assets or liabilities, quoted prices</w:t>
      </w:r>
      <w:r>
        <w:rPr>
          <w:rFonts w:ascii="Arial" w:cs="Arial" w:eastAsia="Arial" w:hAnsi="Arial"/>
          <w:sz w:val="18"/>
          <w:szCs w:val="18"/>
          <w:i w:val="1"/>
          <w:iCs w:val="1"/>
          <w:color w:val="auto"/>
        </w:rPr>
        <w:t xml:space="preserve"> </w:t>
      </w:r>
      <w:r>
        <w:rPr>
          <w:rFonts w:ascii="Arial" w:cs="Arial" w:eastAsia="Arial" w:hAnsi="Arial"/>
          <w:sz w:val="18"/>
          <w:szCs w:val="18"/>
          <w:color w:val="auto"/>
        </w:rPr>
        <w:t>in markets that are not active for identical or similar assets or liabilities, or other inputs that are observable or can be corroborated by observable market data.</w:t>
      </w:r>
    </w:p>
    <w:p>
      <w:pPr>
        <w:spacing w:after="0" w:line="76" w:lineRule="exact"/>
        <w:rPr>
          <w:sz w:val="20"/>
          <w:szCs w:val="20"/>
          <w:color w:val="auto"/>
        </w:rPr>
      </w:pPr>
    </w:p>
    <w:p>
      <w:pPr>
        <w:ind w:left="520" w:right="40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that are significant to determining the fair value of the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including pricing models, discounted cash flow methodologies and similar techniques.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40" w:firstLine="509"/>
        <w:spacing w:after="0" w:line="301" w:lineRule="auto"/>
        <w:rPr>
          <w:sz w:val="20"/>
          <w:szCs w:val="20"/>
          <w:color w:val="auto"/>
        </w:rPr>
      </w:pPr>
      <w:r>
        <w:rPr>
          <w:rFonts w:ascii="Arial" w:cs="Arial" w:eastAsia="Arial" w:hAnsi="Arial"/>
          <w:sz w:val="16"/>
          <w:szCs w:val="16"/>
          <w:color w:val="auto"/>
        </w:rPr>
        <w:t>The Company’s stock-based awards consist of restricted stock awards and stock options. For stock-based awards issued to employees and nonemployees, the Company measures the estimated fair value of the stock-based awards on the date of grant and recognizes compensation expense for those awards over the requisite service period, which is generally the vesting period of the respective awards. The Company records expense for awards with service-based vesting using the straight-line method. The Company accounts for forfeitures as they occur.</w:t>
      </w:r>
    </w:p>
    <w:p>
      <w:pPr>
        <w:spacing w:after="0" w:line="15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20" w:name="page121"/>
    <w:bookmarkEnd w:id="120"/>
    <w:p>
      <w:pPr>
        <w:ind w:right="20" w:firstLine="509"/>
        <w:spacing w:after="0" w:line="259" w:lineRule="auto"/>
        <w:rPr>
          <w:sz w:val="20"/>
          <w:szCs w:val="20"/>
          <w:color w:val="auto"/>
        </w:rPr>
      </w:pPr>
      <w:r>
        <w:rPr>
          <w:rFonts w:ascii="Arial" w:cs="Arial" w:eastAsia="Arial" w:hAnsi="Arial"/>
          <w:sz w:val="18"/>
          <w:szCs w:val="18"/>
          <w:color w:val="auto"/>
        </w:rPr>
        <w:t>The fair value of each restricted stock award is determined based on the number of shares granted and the value of the Company’s common stock on the date of grant. The fair value of each stock option award is estimated on the date of grant using the Black-Scholes option pricing model. The Black-Scholes option-pricing model requires the use of a number of assumptions including the fair value of the common stock, expected volatility, risk-free interest rate, expected dividends, and expected term of the option.</w:t>
      </w:r>
    </w:p>
    <w:p>
      <w:pPr>
        <w:spacing w:after="0" w:line="79"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The Company determined the expected stock volatility using a weighted-average of the historical volatility of a group of guideline companies that issued options with substantially similar terms, and expects to continue to do so until such time as the Company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70"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fair value of the Company’s 2020 Employee Stock Purchase Plan (the ESPP) is determined on the date the offering period begins using a Black-Scholes option-pricing model and similar assumptions for stock options as described above.</w:t>
      </w:r>
    </w:p>
    <w:p>
      <w:pPr>
        <w:spacing w:after="0" w:line="62" w:lineRule="exact"/>
        <w:rPr>
          <w:sz w:val="20"/>
          <w:szCs w:val="20"/>
          <w:color w:val="auto"/>
        </w:rPr>
      </w:pPr>
    </w:p>
    <w:p>
      <w:pPr>
        <w:ind w:right="140" w:firstLine="509"/>
        <w:spacing w:after="0" w:line="308" w:lineRule="auto"/>
        <w:rPr>
          <w:sz w:val="20"/>
          <w:szCs w:val="20"/>
          <w:color w:val="auto"/>
        </w:rPr>
      </w:pPr>
      <w:r>
        <w:rPr>
          <w:rFonts w:ascii="Arial" w:cs="Arial" w:eastAsia="Arial" w:hAnsi="Arial"/>
          <w:sz w:val="17"/>
          <w:szCs w:val="17"/>
          <w:color w:val="auto"/>
        </w:rPr>
        <w:t>See Note 8 for the assumptions used by the Company in determining the grant date fair value of stock-based awards granted, as well as a summary of the stock-based award activity under the Company’s stock-based compensation plan for years ended December 31, 2022 and 2021.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80" w:lineRule="exact"/>
        <w:rPr>
          <w:sz w:val="20"/>
          <w:szCs w:val="20"/>
          <w:color w:val="auto"/>
        </w:rPr>
      </w:pPr>
    </w:p>
    <w:p>
      <w:pPr>
        <w:ind w:right="380" w:firstLine="509"/>
        <w:spacing w:after="0" w:line="259" w:lineRule="auto"/>
        <w:rPr>
          <w:sz w:val="20"/>
          <w:szCs w:val="20"/>
          <w:color w:val="auto"/>
        </w:rPr>
      </w:pPr>
      <w:r>
        <w:rPr>
          <w:rFonts w:ascii="Arial" w:cs="Arial" w:eastAsia="Arial" w:hAnsi="Arial"/>
          <w:sz w:val="18"/>
          <w:szCs w:val="18"/>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interest and penalties.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500" w:firstLine="509"/>
        <w:spacing w:after="0" w:line="342"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16"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redeemable convertible preferred stock, stock options, common stock subject to repurchase related to early exercise of stock options, unvested restricted stock subject to repurchase, warrants and convertible notes are considered to be potentially dilutive securities.</w:t>
      </w:r>
    </w:p>
    <w:p>
      <w:pPr>
        <w:spacing w:after="0" w:line="63"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Accordingly, in periods in which the Company reports a net loss, diluted net loss per share is the same as basic net loss per share, since dilutive common shares are not assumed to have been issued if their effect is anti-dilutive.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w:t>
      </w:r>
    </w:p>
    <w:p>
      <w:pPr>
        <w:spacing w:after="0" w:line="117"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The Company has established a defined contribution savings plan for its employees in Aligos-US under Section 401(k) of the Internal Revenue Code, and a defined benefits plan for its employees in Aligos-Belgium.</w:t>
      </w:r>
    </w:p>
    <w:p>
      <w:pPr>
        <w:spacing w:after="0" w:line="62"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The Company uses the standard method for the recognition of the actuarial results as described in ASC 715. This means application of a 10% corridor and amortization over the expected average remaining working lives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1" w:name="page122"/>
    <w:bookmarkEnd w:id="121"/>
    <w:p>
      <w:pPr>
        <w:ind w:right="480"/>
        <w:spacing w:after="0" w:line="277" w:lineRule="auto"/>
        <w:rPr>
          <w:sz w:val="20"/>
          <w:szCs w:val="20"/>
          <w:color w:val="auto"/>
        </w:rPr>
      </w:pPr>
      <w:r>
        <w:rPr>
          <w:rFonts w:ascii="Arial" w:cs="Arial" w:eastAsia="Arial" w:hAnsi="Arial"/>
          <w:sz w:val="18"/>
          <w:szCs w:val="18"/>
          <w:color w:val="auto"/>
        </w:rPr>
        <w:t>the employees. The plan contains benefits to the plan participant on the normal plan retirement date and benefits to the partner after death of the plan participant. This plan is recognized under ASC 715.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which requires that financial assets measured at amortized cost be presented at the net amount expected to be collected.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Currently, U.S. GAAP delays recognition of the full amount of credit losses until the loss is probable of occurring. Under this ASU, the income statement will reflect an entity’s current estimate of all expected credit losses. The measurement of expected credit losses will be based upon historical experience, current conditions, and reasonable and supportable forecasts that affect the collectability of the reported amount. In November 2018, the FASB issued ASU No. 2018-19, </w:t>
      </w:r>
      <w:r>
        <w:rPr>
          <w:rFonts w:ascii="Arial" w:cs="Arial" w:eastAsia="Arial" w:hAnsi="Arial"/>
          <w:sz w:val="16"/>
          <w:szCs w:val="16"/>
          <w:i w:val="1"/>
          <w:iCs w:val="1"/>
          <w:color w:val="auto"/>
        </w:rPr>
        <w:t>Codification Improvements to Topic 326, Financial Instruments—Credit Losses</w:t>
      </w:r>
      <w:r>
        <w:rPr>
          <w:rFonts w:ascii="Arial" w:cs="Arial" w:eastAsia="Arial" w:hAnsi="Arial"/>
          <w:sz w:val="16"/>
          <w:szCs w:val="16"/>
          <w:color w:val="auto"/>
        </w:rPr>
        <w:t xml:space="preserve"> (ASU 2018-19), which clarifies that receivables from operating leases are accounted for using the lease guidance and not as financial instruments. In April 2019, the FASB issued ASU No. 2019-04, </w:t>
      </w:r>
      <w:r>
        <w:rPr>
          <w:rFonts w:ascii="Arial" w:cs="Arial" w:eastAsia="Arial" w:hAnsi="Arial"/>
          <w:sz w:val="16"/>
          <w:szCs w:val="16"/>
          <w:i w:val="1"/>
          <w:iCs w:val="1"/>
          <w:color w:val="auto"/>
        </w:rPr>
        <w:t xml:space="preserve">Codification Improvements to Topic 326, Financial Instruments—Credit Losses </w:t>
      </w:r>
      <w:r>
        <w:rPr>
          <w:rFonts w:ascii="Arial" w:cs="Arial" w:eastAsia="Arial" w:hAnsi="Arial"/>
          <w:sz w:val="16"/>
          <w:szCs w:val="16"/>
          <w:color w:val="auto"/>
        </w:rPr>
        <w:t>(ASU 2019-04), which clarifies the new expected credit loss methodology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 loans, receivables and other financial assets, including recoveries and accrued interest on receivables. In November 2019, the FASB issued ASU No. 2019-11, </w:t>
      </w:r>
      <w:r>
        <w:rPr>
          <w:rFonts w:ascii="Arial" w:cs="Arial" w:eastAsia="Arial" w:hAnsi="Arial"/>
          <w:sz w:val="16"/>
          <w:szCs w:val="16"/>
          <w:i w:val="1"/>
          <w:iCs w:val="1"/>
          <w:color w:val="auto"/>
        </w:rPr>
        <w:t>Codification Improvements to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(ASU 2019-11), which clarifies guidance around how to report expected recoveries. The standard is effective for fiscal years beginning after December 15, 2022, including interim periods within those fiscal years. Early adoption is permitted. The Company is evaluating the potential impact of this standard on its consolidated financial statements.</w:t>
      </w:r>
    </w:p>
    <w:p>
      <w:pPr>
        <w:spacing w:after="0" w:line="16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The guidance removes specific exceptions to the general principles in ASC 740, improves application of income tax-related guidance and reduces complexity related to the accounting for income taxes. The standard is effective for fiscal years beginning after December 15, 2021, and interim periods with fiscal years beginning after December 15, 2022. Early adoption is permitted. The Company has evaluated the impact of this standard and there is not a material impact on its consolidated financial statements.</w:t>
      </w:r>
    </w:p>
    <w:p>
      <w:pPr>
        <w:spacing w:after="0" w:line="188"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From time to time, new accounting pronouncements are issued by FASB that the Company adopts as of the specified effective date. The Company qualifies as an “emerging growth company” as defined in the Jumpstart Our Business Startups Act of 2012 and has the option to not “opt out” of the extended transition related to complying with new or revised accounting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property and equipment were as follows as of December 31, 2022 and 2021:</w:t>
      </w:r>
    </w:p>
    <w:p>
      <w:pPr>
        <w:spacing w:after="0" w:line="284"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3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6,087</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5,940</w:t>
            </w:r>
          </w:p>
        </w:tc>
        <w:tc>
          <w:tcPr>
            <w:tcW w:w="80" w:type="dxa"/>
            <w:vAlign w:val="bottom"/>
            <w:shd w:val="clear" w:color="auto" w:fill="CFF0FC"/>
          </w:tcPr>
          <w:p>
            <w:pPr>
              <w:spacing w:after="0"/>
              <w:rPr>
                <w:sz w:val="20"/>
                <w:szCs w:val="20"/>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Lab equipment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5,709</w:t>
            </w:r>
          </w:p>
        </w:tc>
        <w:tc>
          <w:tcPr>
            <w:tcW w:w="80" w:type="dxa"/>
            <w:vAlign w:val="bottom"/>
          </w:tcPr>
          <w:p>
            <w:pPr>
              <w:spacing w:after="0"/>
              <w:rPr>
                <w:sz w:val="20"/>
                <w:szCs w:val="20"/>
                <w:color w:val="auto"/>
              </w:rPr>
            </w:pPr>
          </w:p>
        </w:tc>
      </w:tr>
      <w:tr>
        <w:trPr>
          <w:trHeight w:val="24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80" w:type="dxa"/>
            <w:vAlign w:val="bottom"/>
            <w:shd w:val="clear" w:color="auto" w:fill="CFF0FC"/>
          </w:tcPr>
          <w:p>
            <w:pPr>
              <w:spacing w:after="0"/>
              <w:rPr>
                <w:sz w:val="21"/>
                <w:szCs w:val="21"/>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20"/>
                <w:szCs w:val="20"/>
                <w:color w:val="auto"/>
              </w:rPr>
            </w:pPr>
          </w:p>
        </w:tc>
      </w:tr>
      <w:tr>
        <w:trPr>
          <w:trHeight w:val="24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Vehicles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FF0FC"/>
          </w:tcPr>
          <w:p>
            <w:pPr>
              <w:spacing w:after="0"/>
              <w:rPr>
                <w:sz w:val="21"/>
                <w:szCs w:val="21"/>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Asset under construction</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r>
      <w:tr>
        <w:trPr>
          <w:trHeight w:val="243"/>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at cost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14,384</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13,442</w:t>
            </w:r>
          </w:p>
        </w:tc>
        <w:tc>
          <w:tcPr>
            <w:tcW w:w="80" w:type="dxa"/>
            <w:vAlign w:val="bottom"/>
            <w:shd w:val="clear" w:color="auto" w:fill="CFF0FC"/>
          </w:tcPr>
          <w:p>
            <w:pPr>
              <w:spacing w:after="0"/>
              <w:rPr>
                <w:sz w:val="21"/>
                <w:szCs w:val="21"/>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(9,568 )</w:t>
            </w: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(7,262 )</w:t>
            </w:r>
          </w:p>
        </w:tc>
      </w:tr>
      <w:tr>
        <w:trPr>
          <w:trHeight w:val="237"/>
        </w:trPr>
        <w:tc>
          <w:tcPr>
            <w:tcW w:w="53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net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4,816</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6,180</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17" w:lineRule="exact"/>
        <w:rPr>
          <w:sz w:val="20"/>
          <w:szCs w:val="20"/>
          <w:color w:val="auto"/>
        </w:rPr>
      </w:pPr>
    </w:p>
    <w:p>
      <w:pPr>
        <w:ind w:right="100" w:firstLine="509"/>
        <w:spacing w:after="0" w:line="308" w:lineRule="auto"/>
        <w:rPr>
          <w:sz w:val="20"/>
          <w:szCs w:val="20"/>
          <w:color w:val="auto"/>
        </w:rPr>
      </w:pPr>
      <w:r>
        <w:rPr>
          <w:rFonts w:ascii="Arial" w:cs="Arial" w:eastAsia="Arial" w:hAnsi="Arial"/>
          <w:sz w:val="17"/>
          <w:szCs w:val="17"/>
          <w:color w:val="auto"/>
        </w:rPr>
        <w:t>During the years ended December 31, 2022 and December 31, 2021, depreciation expense was $2.3 million and $3.0 million, respectively. Finance leases for vehicles and lab equipment are also included in property and equipment on the consolidated balance sheets (Note 6).</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As of December 31, 2022 and 2021, amortized cost, gross unrealized gains and losses, and estimated fair values of total fixed-maturity securities were as follows:</w:t>
      </w:r>
    </w:p>
    <w:p>
      <w:pPr>
        <w:spacing w:after="0" w:line="283"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December 31, 2022</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1"/>
                <w:szCs w:val="11"/>
                <w:color w:val="auto"/>
              </w:rPr>
            </w:pPr>
          </w:p>
        </w:tc>
        <w:tc>
          <w:tcPr>
            <w:tcW w:w="112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Gross</w:t>
            </w:r>
          </w:p>
        </w:tc>
        <w:tc>
          <w:tcPr>
            <w:tcW w:w="13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Gross Unrealized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w w:val="95"/>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Unrealized</w:t>
            </w:r>
          </w:p>
        </w:tc>
        <w:tc>
          <w:tcPr>
            <w:tcW w:w="130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Gain</w:t>
            </w:r>
          </w:p>
        </w:tc>
        <w:tc>
          <w:tcPr>
            <w:tcW w:w="80" w:type="dxa"/>
            <w:vAlign w:val="bottom"/>
          </w:tcPr>
          <w:p>
            <w:pPr>
              <w:spacing w:after="0"/>
              <w:rPr>
                <w:sz w:val="16"/>
                <w:szCs w:val="16"/>
                <w:color w:val="auto"/>
              </w:rPr>
            </w:pPr>
          </w:p>
        </w:tc>
        <w:tc>
          <w:tcPr>
            <w:tcW w:w="720" w:type="dxa"/>
            <w:vAlign w:val="bottom"/>
          </w:tcPr>
          <w:p>
            <w:pPr>
              <w:ind w:left="320"/>
              <w:spacing w:after="0"/>
              <w:rPr>
                <w:sz w:val="20"/>
                <w:szCs w:val="20"/>
                <w:color w:val="auto"/>
              </w:rPr>
            </w:pPr>
            <w:r>
              <w:rPr>
                <w:rFonts w:ascii="Arial" w:cs="Arial" w:eastAsia="Arial" w:hAnsi="Arial"/>
                <w:sz w:val="14"/>
                <w:szCs w:val="14"/>
                <w:b w:val="1"/>
                <w:bCs w:val="1"/>
                <w:color w:val="auto"/>
              </w:rPr>
              <w:t>Loss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9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 securities:</w:t>
            </w:r>
          </w:p>
        </w:tc>
        <w:tc>
          <w:tcPr>
            <w:tcW w:w="16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right w:val="single" w:sz="8" w:color="CFF0FC"/>
            </w:tcBorders>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U.S. Treasury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44,576</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(96 )</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44,576</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 xml:space="preserve">(96 </w:t>
            </w:r>
            <w:r>
              <w:rPr>
                <w:rFonts w:ascii="Arial" w:cs="Arial" w:eastAsia="Arial" w:hAnsi="Arial"/>
                <w:sz w:val="18"/>
                <w:szCs w:val="18"/>
                <w:color w:val="auto"/>
                <w:highlight w:val="white"/>
                <w:w w:val="91"/>
              </w:rPr>
              <w:t>)</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w w:val="96"/>
              </w:rPr>
              <w:t>Amortized</w:t>
            </w:r>
          </w:p>
        </w:tc>
        <w:tc>
          <w:tcPr>
            <w:tcW w:w="126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Gross Unrealized</w:t>
            </w:r>
          </w:p>
        </w:tc>
        <w:tc>
          <w:tcPr>
            <w:tcW w:w="80" w:type="dxa"/>
            <w:vAlign w:val="bottom"/>
          </w:tcPr>
          <w:p>
            <w:pPr>
              <w:spacing w:after="0"/>
              <w:rPr>
                <w:sz w:val="13"/>
                <w:szCs w:val="13"/>
                <w:color w:val="auto"/>
              </w:rPr>
            </w:pPr>
          </w:p>
        </w:tc>
        <w:tc>
          <w:tcPr>
            <w:tcW w:w="1220" w:type="dxa"/>
            <w:vAlign w:val="bottom"/>
            <w:gridSpan w:val="4"/>
          </w:tcPr>
          <w:p>
            <w:pPr>
              <w:ind w:left="20"/>
              <w:spacing w:after="0" w:line="160" w:lineRule="exact"/>
              <w:rPr>
                <w:sz w:val="20"/>
                <w:szCs w:val="20"/>
                <w:color w:val="auto"/>
              </w:rPr>
            </w:pPr>
            <w:r>
              <w:rPr>
                <w:rFonts w:ascii="Arial" w:cs="Arial" w:eastAsia="Arial" w:hAnsi="Arial"/>
                <w:sz w:val="14"/>
                <w:szCs w:val="14"/>
                <w:b w:val="1"/>
                <w:bCs w:val="1"/>
                <w:color w:val="auto"/>
              </w:rPr>
              <w:t>Gross Unrealized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137"/>
              <w:spacing w:after="0" w:line="160"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0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Gain</w:t>
            </w:r>
          </w:p>
        </w:tc>
        <w:tc>
          <w:tcPr>
            <w:tcW w:w="80" w:type="dxa"/>
            <w:vAlign w:val="bottom"/>
          </w:tcPr>
          <w:p>
            <w:pPr>
              <w:spacing w:after="0"/>
              <w:rPr>
                <w:sz w:val="16"/>
                <w:szCs w:val="16"/>
                <w:color w:val="auto"/>
              </w:rPr>
            </w:pPr>
          </w:p>
        </w:tc>
        <w:tc>
          <w:tcPr>
            <w:tcW w:w="720" w:type="dxa"/>
            <w:vAlign w:val="bottom"/>
          </w:tcPr>
          <w:p>
            <w:pPr>
              <w:ind w:left="420"/>
              <w:spacing w:after="0"/>
              <w:rPr>
                <w:sz w:val="20"/>
                <w:szCs w:val="20"/>
                <w:color w:val="auto"/>
              </w:rPr>
            </w:pPr>
            <w:r>
              <w:rPr>
                <w:rFonts w:ascii="Arial" w:cs="Arial" w:eastAsia="Arial" w:hAnsi="Arial"/>
                <w:sz w:val="14"/>
                <w:szCs w:val="14"/>
                <w:b w:val="1"/>
                <w:bCs w:val="1"/>
                <w:color w:val="auto"/>
                <w:w w:val="85"/>
              </w:rPr>
              <w:t>Loss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3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 securities:</w:t>
            </w:r>
          </w:p>
        </w:tc>
        <w:tc>
          <w:tcPr>
            <w:tcW w:w="16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right w:val="single" w:sz="8" w:color="CFF0FC"/>
            </w:tcBorders>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U.S. Treasury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15,146</w:t>
            </w:r>
          </w:p>
        </w:tc>
        <w:tc>
          <w:tcPr>
            <w:tcW w:w="2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(36 )</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Certificates of deposit</w:t>
            </w:r>
          </w:p>
        </w:tc>
        <w:tc>
          <w:tcPr>
            <w:tcW w:w="160" w:type="dxa"/>
            <w:vAlign w:val="bottom"/>
            <w:shd w:val="clear" w:color="auto" w:fill="CFF0FC"/>
          </w:tcPr>
          <w:p>
            <w:pPr>
              <w:spacing w:after="0"/>
              <w:rPr>
                <w:sz w:val="21"/>
                <w:szCs w:val="21"/>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3,922</w:t>
            </w:r>
          </w:p>
        </w:tc>
        <w:tc>
          <w:tcPr>
            <w:tcW w:w="22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19,068</w:t>
            </w:r>
          </w:p>
        </w:tc>
        <w:tc>
          <w:tcPr>
            <w:tcW w:w="2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 xml:space="preserve">(40 </w:t>
            </w:r>
            <w:r>
              <w:rPr>
                <w:rFonts w:ascii="Arial" w:cs="Arial" w:eastAsia="Arial" w:hAnsi="Arial"/>
                <w:sz w:val="18"/>
                <w:szCs w:val="18"/>
                <w:color w:val="auto"/>
                <w:highlight w:val="white"/>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19,028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-1328420</wp:posOffset>
            </wp:positionV>
            <wp:extent cx="6858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-1328420</wp:posOffset>
            </wp:positionV>
            <wp:extent cx="60325"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-1328420</wp:posOffset>
            </wp:positionV>
            <wp:extent cx="60325"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-187960</wp:posOffset>
            </wp:positionV>
            <wp:extent cx="68580"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-187960</wp:posOffset>
            </wp:positionV>
            <wp:extent cx="68580"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-187960</wp:posOffset>
            </wp:positionV>
            <wp:extent cx="60325"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Changes in fair value are related to changes in market interest rates. The Company expects to collect all contractual principal and interest payments.</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Amortized cost and estimated fair value of fixed-maturity securities at December 31, 2022 by contractual maturity were as follows:</w:t>
      </w:r>
    </w:p>
    <w:p>
      <w:pPr>
        <w:spacing w:after="0" w:line="284"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2022</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3"/>
        </w:trPr>
        <w:tc>
          <w:tcPr>
            <w:tcW w:w="5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ind w:right="179"/>
              <w:spacing w:after="0" w:line="133"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77"/>
              <w:spacing w:after="0" w:line="133" w:lineRule="exact"/>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1"/>
                <w:szCs w:val="11"/>
                <w:color w:val="auto"/>
              </w:rPr>
            </w:pPr>
          </w:p>
        </w:tc>
      </w:tr>
      <w:tr>
        <w:trPr>
          <w:trHeight w:val="185"/>
        </w:trPr>
        <w:tc>
          <w:tcPr>
            <w:tcW w:w="5280" w:type="dxa"/>
            <w:vAlign w:val="bottom"/>
          </w:tcPr>
          <w:p>
            <w:pPr>
              <w:jc w:val="right"/>
              <w:ind w:right="4314"/>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r>
      <w:tr>
        <w:trPr>
          <w:trHeight w:val="236"/>
        </w:trPr>
        <w:tc>
          <w:tcPr>
            <w:tcW w:w="5280" w:type="dxa"/>
            <w:vAlign w:val="bottom"/>
            <w:shd w:val="clear" w:color="auto" w:fill="CFF0FC"/>
          </w:tcPr>
          <w:p>
            <w:pPr>
              <w:jc w:val="right"/>
              <w:ind w:right="3594"/>
              <w:spacing w:after="0"/>
              <w:rPr>
                <w:sz w:val="20"/>
                <w:szCs w:val="20"/>
                <w:color w:val="auto"/>
              </w:rPr>
            </w:pPr>
            <w:r>
              <w:rPr>
                <w:rFonts w:ascii="Arial" w:cs="Arial" w:eastAsia="Arial" w:hAnsi="Arial"/>
                <w:sz w:val="18"/>
                <w:szCs w:val="18"/>
                <w:color w:val="auto"/>
                <w:w w:val="92"/>
              </w:rPr>
              <w:t>Amounts maturing in:</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7"/>
        </w:trPr>
        <w:tc>
          <w:tcPr>
            <w:tcW w:w="5280" w:type="dxa"/>
            <w:vAlign w:val="bottom"/>
          </w:tcPr>
          <w:p>
            <w:pPr>
              <w:jc w:val="right"/>
              <w:ind w:right="3834"/>
              <w:spacing w:after="0"/>
              <w:rPr>
                <w:sz w:val="20"/>
                <w:szCs w:val="20"/>
                <w:color w:val="auto"/>
              </w:rPr>
            </w:pPr>
            <w:r>
              <w:rPr>
                <w:rFonts w:ascii="Arial" w:cs="Arial" w:eastAsia="Arial" w:hAnsi="Arial"/>
                <w:sz w:val="18"/>
                <w:szCs w:val="18"/>
                <w:color w:val="auto"/>
              </w:rPr>
              <w:t>One year or less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44,576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44,480</w:t>
            </w:r>
          </w:p>
        </w:tc>
        <w:tc>
          <w:tcPr>
            <w:tcW w:w="80" w:type="dxa"/>
            <w:vAlign w:val="bottom"/>
          </w:tcPr>
          <w:p>
            <w:pPr>
              <w:spacing w:after="0"/>
              <w:rPr>
                <w:sz w:val="20"/>
                <w:szCs w:val="20"/>
                <w:color w:val="auto"/>
              </w:rPr>
            </w:pPr>
          </w:p>
        </w:tc>
      </w:tr>
      <w:tr>
        <w:trPr>
          <w:trHeight w:val="243"/>
        </w:trPr>
        <w:tc>
          <w:tcPr>
            <w:tcW w:w="5280" w:type="dxa"/>
            <w:vAlign w:val="bottom"/>
            <w:tcBorders>
              <w:bottom w:val="single" w:sz="8" w:color="CFF0FC"/>
            </w:tcBorders>
            <w:shd w:val="clear" w:color="auto" w:fill="CFF0FC"/>
          </w:tcPr>
          <w:p>
            <w:pPr>
              <w:jc w:val="right"/>
              <w:ind w:right="3594"/>
              <w:spacing w:after="0"/>
              <w:rPr>
                <w:sz w:val="20"/>
                <w:szCs w:val="20"/>
                <w:color w:val="auto"/>
              </w:rPr>
            </w:pPr>
            <w:r>
              <w:rPr>
                <w:rFonts w:ascii="Arial" w:cs="Arial" w:eastAsia="Arial" w:hAnsi="Arial"/>
                <w:sz w:val="18"/>
                <w:szCs w:val="18"/>
                <w:color w:val="auto"/>
              </w:rPr>
              <w:t>More than one year</w:t>
            </w: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280" w:type="dxa"/>
            <w:vAlign w:val="bottom"/>
          </w:tcPr>
          <w:p>
            <w:pPr>
              <w:jc w:val="right"/>
              <w:ind w:right="3554"/>
              <w:spacing w:after="0"/>
              <w:rPr>
                <w:sz w:val="20"/>
                <w:szCs w:val="20"/>
                <w:color w:val="auto"/>
              </w:rPr>
            </w:pPr>
            <w:r>
              <w:rPr>
                <w:rFonts w:ascii="Arial" w:cs="Arial" w:eastAsia="Arial" w:hAnsi="Arial"/>
                <w:sz w:val="18"/>
                <w:szCs w:val="18"/>
                <w:color w:val="auto"/>
              </w:rPr>
              <w:t>Total investments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44,576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44,480</w:t>
            </w:r>
          </w:p>
        </w:tc>
        <w:tc>
          <w:tcPr>
            <w:tcW w:w="8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-187960</wp:posOffset>
            </wp:positionV>
            <wp:extent cx="51435"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09" w:lineRule="exact"/>
        <w:rPr>
          <w:sz w:val="20"/>
          <w:szCs w:val="20"/>
          <w:color w:val="auto"/>
        </w:rPr>
      </w:pPr>
    </w:p>
    <w:p>
      <w:pPr>
        <w:ind w:right="200" w:firstLine="509"/>
        <w:spacing w:after="0" w:line="308" w:lineRule="auto"/>
        <w:rPr>
          <w:sz w:val="20"/>
          <w:szCs w:val="20"/>
          <w:color w:val="auto"/>
        </w:rPr>
      </w:pPr>
      <w:r>
        <w:rPr>
          <w:rFonts w:ascii="Arial" w:cs="Arial" w:eastAsia="Arial" w:hAnsi="Arial"/>
          <w:sz w:val="17"/>
          <w:szCs w:val="17"/>
          <w:color w:val="auto"/>
        </w:rPr>
        <w:t>The Company recorded interest income of $1.5 million and $0.2 million, respectively, during the years ended December 31, 2022, and 2021, as a component of interest and other income, net on the Company’s consolidated statement of operations and comprehensive loss.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as of December 31:</w:t>
      </w:r>
    </w:p>
    <w:p>
      <w:pPr>
        <w:spacing w:after="0" w:line="311"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4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237"/>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6,297</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6,329</w:t>
            </w:r>
          </w:p>
        </w:tc>
        <w:tc>
          <w:tcPr>
            <w:tcW w:w="60" w:type="dxa"/>
            <w:vAlign w:val="bottom"/>
            <w:shd w:val="clear" w:color="auto" w:fill="CFF0FC"/>
          </w:tcPr>
          <w:p>
            <w:pPr>
              <w:spacing w:after="0"/>
              <w:rPr>
                <w:sz w:val="20"/>
                <w:szCs w:val="20"/>
                <w:color w:val="auto"/>
              </w:rPr>
            </w:pPr>
          </w:p>
        </w:tc>
      </w:t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Accrued payables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8,203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17,554</w:t>
            </w:r>
          </w:p>
        </w:tc>
        <w:tc>
          <w:tcPr>
            <w:tcW w:w="60" w:type="dxa"/>
            <w:vAlign w:val="bottom"/>
          </w:tcPr>
          <w:p>
            <w:pPr>
              <w:spacing w:after="0"/>
              <w:rPr>
                <w:sz w:val="20"/>
                <w:szCs w:val="20"/>
                <w:color w:val="auto"/>
              </w:rPr>
            </w:pPr>
          </w:p>
        </w:tc>
      </w:tr>
      <w:tr>
        <w:trPr>
          <w:trHeight w:val="24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Liability for early exercised stock options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FF0FC"/>
          </w:tcPr>
          <w:p>
            <w:pPr>
              <w:spacing w:after="0"/>
              <w:rPr>
                <w:sz w:val="21"/>
                <w:szCs w:val="21"/>
                <w:color w:val="auto"/>
              </w:rPr>
            </w:pPr>
          </w:p>
        </w:tc>
      </w:tr>
      <w:tr>
        <w:trPr>
          <w:trHeight w:val="237"/>
        </w:trPr>
        <w:tc>
          <w:tcPr>
            <w:tcW w:w="546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60" w:type="dxa"/>
            <w:vAlign w:val="bottom"/>
          </w:tcPr>
          <w:p>
            <w:pPr>
              <w:spacing w:after="0"/>
              <w:rPr>
                <w:sz w:val="20"/>
                <w:szCs w:val="20"/>
                <w:color w:val="auto"/>
              </w:rPr>
            </w:pPr>
          </w:p>
        </w:tc>
      </w:tr>
      <w:tr>
        <w:trPr>
          <w:trHeight w:val="237"/>
        </w:trPr>
        <w:tc>
          <w:tcPr>
            <w:tcW w:w="54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16,039</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25,394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-7620</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431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jc w:val="both"/>
        <w:ind w:right="100" w:firstLine="509"/>
        <w:spacing w:after="0" w:line="311" w:lineRule="auto"/>
        <w:rPr>
          <w:sz w:val="20"/>
          <w:szCs w:val="20"/>
          <w:color w:val="auto"/>
        </w:rPr>
      </w:pPr>
      <w:r>
        <w:rPr>
          <w:rFonts w:ascii="Arial" w:cs="Arial" w:eastAsia="Arial" w:hAnsi="Arial"/>
          <w:sz w:val="16"/>
          <w:szCs w:val="16"/>
          <w:color w:val="auto"/>
        </w:rPr>
        <w:t>The Company has operating and finance leases for corporate offices, research and development facilities, and certain vehicles and lab equipment. These leases have remaining lease terms of four to six years, some of which include options to extend the leases for five to eight years. The Company has determined that it is not reasonably certain to exercise the options under any leases. The lease of research and development facilities includes costs for</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123" w:name="page124"/>
    <w:bookmarkEnd w:id="123"/>
    <w:p>
      <w:pPr>
        <w:spacing w:after="0" w:line="257" w:lineRule="auto"/>
        <w:rPr>
          <w:sz w:val="20"/>
          <w:szCs w:val="20"/>
          <w:color w:val="auto"/>
        </w:rPr>
      </w:pPr>
      <w:r>
        <w:rPr>
          <w:rFonts w:ascii="Arial" w:cs="Arial" w:eastAsia="Arial" w:hAnsi="Arial"/>
          <w:sz w:val="18"/>
          <w:szCs w:val="18"/>
          <w:color w:val="auto"/>
        </w:rPr>
        <w:t>utilities and common area maintenance which have been included in the calculation of lease payments. Differences between lease payments as measured at lease inception and variations in monthly payments will be recognized as operating expenses in the period in which the obligation is incurred. The Company entered into a 5-year lease in the fourth quarter of 2021. The lease is for approximately 12,000 square feet of office space in South San Francisco, with a renewal option for an additional 5-years, which we are not certain to renew at this time. The rental payments under the lease agreement are approximately $2.7 million over the lease term.</w:t>
      </w:r>
    </w:p>
    <w:p>
      <w:pPr>
        <w:spacing w:after="0" w:line="188"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Leases with an initial term of 12 months or less are not recorded on the balance sheet, and the Company recognizes lease expense for these leases on a straight-line basis over the lease terms. Leases with terms greater than 12 months are included in operating lease ROU assets and operating lease liabilities in the Company’s consolidated balance sheets as of December 31, 2022 and 2021. Lease expense for lease payments is recognized on a straight-line basis over the lease term.</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Maturities of lease liabilities as of December 31,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5153025</wp:posOffset>
            </wp:positionH>
            <wp:positionV relativeFrom="paragraph">
              <wp:posOffset>156210</wp:posOffset>
            </wp:positionV>
            <wp:extent cx="925830" cy="2482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25830" cy="248285"/>
                    </a:xfrm>
                    <a:prstGeom prst="rect">
                      <a:avLst/>
                    </a:prstGeom>
                    <a:noFill/>
                  </pic:spPr>
                </pic:pic>
              </a:graphicData>
            </a:graphic>
          </wp:anchor>
        </w:drawing>
      </w:r>
    </w:p>
    <w:p>
      <w:pPr>
        <w:spacing w:after="0" w:line="226" w:lineRule="exact"/>
        <w:rPr>
          <w:sz w:val="20"/>
          <w:szCs w:val="20"/>
          <w:color w:val="auto"/>
        </w:rPr>
      </w:pPr>
    </w:p>
    <w:tbl>
      <w:tblPr>
        <w:tblLayout w:type="fixed"/>
        <w:tblInd w:w="1700" w:type="dxa"/>
        <w:tblCellMar>
          <w:top w:w="0" w:type="dxa"/>
          <w:left w:w="0" w:type="dxa"/>
          <w:bottom w:w="0" w:type="dxa"/>
          <w:right w:w="0" w:type="dxa"/>
        </w:tblCellMar>
      </w:tblPr>
      <w:tr>
        <w:trPr>
          <w:trHeight w:val="153"/>
        </w:trPr>
        <w:tc>
          <w:tcPr>
            <w:tcW w:w="52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193"/>
              <w:spacing w:after="0" w:line="153" w:lineRule="exact"/>
              <w:rPr>
                <w:sz w:val="20"/>
                <w:szCs w:val="20"/>
                <w:color w:val="auto"/>
              </w:rPr>
            </w:pPr>
            <w:r>
              <w:rPr>
                <w:rFonts w:ascii="Arial" w:cs="Arial" w:eastAsia="Arial" w:hAnsi="Arial"/>
                <w:sz w:val="14"/>
                <w:szCs w:val="14"/>
                <w:b w:val="1"/>
                <w:bCs w:val="1"/>
                <w:color w:val="auto"/>
              </w:rPr>
              <w:t>Operating</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33"/>
              <w:spacing w:after="0" w:line="153" w:lineRule="exact"/>
              <w:rPr>
                <w:sz w:val="20"/>
                <w:szCs w:val="20"/>
                <w:color w:val="auto"/>
              </w:rPr>
            </w:pPr>
            <w:r>
              <w:rPr>
                <w:rFonts w:ascii="Arial" w:cs="Arial" w:eastAsia="Arial" w:hAnsi="Arial"/>
                <w:sz w:val="14"/>
                <w:szCs w:val="14"/>
                <w:b w:val="1"/>
                <w:bCs w:val="1"/>
                <w:color w:val="auto"/>
              </w:rPr>
              <w:t>Finance</w:t>
            </w:r>
          </w:p>
        </w:tc>
        <w:tc>
          <w:tcPr>
            <w:tcW w:w="80" w:type="dxa"/>
            <w:vAlign w:val="bottom"/>
          </w:tcPr>
          <w:p>
            <w:pPr>
              <w:spacing w:after="0"/>
              <w:rPr>
                <w:sz w:val="13"/>
                <w:szCs w:val="13"/>
                <w:color w:val="auto"/>
              </w:rPr>
            </w:pPr>
          </w:p>
        </w:tc>
      </w:tr>
      <w:tr>
        <w:trPr>
          <w:trHeight w:val="185"/>
        </w:trPr>
        <w:tc>
          <w:tcPr>
            <w:tcW w:w="52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Lease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Lease</w:t>
            </w:r>
          </w:p>
        </w:tc>
      </w:tr>
      <w:tr>
        <w:trPr>
          <w:trHeight w:val="237"/>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1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2023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3,425</w:t>
            </w:r>
          </w:p>
        </w:tc>
        <w:tc>
          <w:tcPr>
            <w:tcW w:w="80" w:type="dxa"/>
            <w:vAlign w:val="bottom"/>
          </w:tcPr>
          <w:p>
            <w:pPr>
              <w:spacing w:after="0"/>
              <w:rPr>
                <w:sz w:val="20"/>
                <w:szCs w:val="20"/>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0"/>
                <w:szCs w:val="20"/>
                <w:color w:val="auto"/>
              </w:rPr>
            </w:pPr>
          </w:p>
        </w:tc>
      </w:tr>
      <w:tr>
        <w:trPr>
          <w:trHeight w:val="249"/>
        </w:trPr>
        <w:tc>
          <w:tcPr>
            <w:tcW w:w="52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3,305</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FF0FC"/>
          </w:tcPr>
          <w:p>
            <w:pPr>
              <w:spacing w:after="0"/>
              <w:rPr>
                <w:sz w:val="21"/>
                <w:szCs w:val="2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0"/>
                <w:szCs w:val="20"/>
                <w:color w:val="auto"/>
              </w:rPr>
            </w:pPr>
          </w:p>
        </w:tc>
      </w:tr>
      <w:tr>
        <w:trPr>
          <w:trHeight w:val="249"/>
        </w:trPr>
        <w:tc>
          <w:tcPr>
            <w:tcW w:w="52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3,534</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21"/>
                <w:szCs w:val="21"/>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2027</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52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Thereafter</w:t>
            </w: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14,852</w:t>
            </w:r>
          </w:p>
        </w:tc>
        <w:tc>
          <w:tcPr>
            <w:tcW w:w="8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80" w:type="dxa"/>
            <w:vAlign w:val="bottom"/>
            <w:tcBorders>
              <w:top w:val="single" w:sz="8" w:color="CFF0FC"/>
            </w:tcBorders>
          </w:tcPr>
          <w:p>
            <w:pPr>
              <w:spacing w:after="0"/>
              <w:rPr>
                <w:sz w:val="20"/>
                <w:szCs w:val="20"/>
                <w:color w:val="auto"/>
              </w:rPr>
            </w:pPr>
          </w:p>
        </w:tc>
      </w:tr>
      <w:tr>
        <w:trPr>
          <w:trHeight w:val="24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(2,616 )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52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Present value of lease liabilities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12,236</w:t>
            </w:r>
          </w:p>
        </w:tc>
        <w:tc>
          <w:tcPr>
            <w:tcW w:w="8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80" w:type="dxa"/>
            <w:vAlign w:val="bottom"/>
            <w:tcBorders>
              <w:top w:val="single" w:sz="8" w:color="CFF0FC"/>
            </w:tcBorders>
          </w:tcPr>
          <w:p>
            <w:pPr>
              <w:spacing w:after="0"/>
              <w:rPr>
                <w:sz w:val="20"/>
                <w:szCs w:val="20"/>
                <w:color w:val="auto"/>
              </w:rPr>
            </w:pPr>
          </w:p>
        </w:tc>
      </w:tr>
      <w:tr>
        <w:trPr>
          <w:trHeight w:val="24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1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(3,035 )</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(108 )</w:t>
            </w:r>
          </w:p>
        </w:tc>
      </w:tr>
      <w:tr>
        <w:trPr>
          <w:trHeight w:val="236"/>
        </w:trPr>
        <w:tc>
          <w:tcPr>
            <w:tcW w:w="52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Lease liabilities net of current portion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9,201</w:t>
            </w:r>
          </w:p>
        </w:tc>
        <w:tc>
          <w:tcPr>
            <w:tcW w:w="8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8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-805180</wp:posOffset>
            </wp:positionV>
            <wp:extent cx="51435" cy="1631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-805180</wp:posOffset>
            </wp:positionV>
            <wp:extent cx="43180" cy="1631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-488315</wp:posOffset>
            </wp:positionV>
            <wp:extent cx="51435" cy="1631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-488315</wp:posOffset>
            </wp:positionV>
            <wp:extent cx="43180" cy="1631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51435"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 for the years ended December 31, 2022 and 2021:</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30"/>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2,504</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1,990</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Finance lease cost:</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53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Amortization of right-of-use assets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FF0FC"/>
          </w:tcPr>
          <w:p>
            <w:pPr>
              <w:spacing w:after="0"/>
              <w:rPr>
                <w:sz w:val="21"/>
                <w:szCs w:val="21"/>
                <w:color w:val="auto"/>
              </w:rPr>
            </w:pPr>
          </w:p>
        </w:tc>
      </w:tr>
      <w:tr>
        <w:trPr>
          <w:trHeight w:val="237"/>
        </w:trPr>
        <w:tc>
          <w:tcPr>
            <w:tcW w:w="5300" w:type="dxa"/>
            <w:vAlign w:val="bottom"/>
          </w:tcPr>
          <w:p>
            <w:pPr>
              <w:ind w:left="100"/>
              <w:spacing w:after="0"/>
              <w:rPr>
                <w:sz w:val="20"/>
                <w:szCs w:val="20"/>
                <w:color w:val="auto"/>
              </w:rPr>
            </w:pPr>
            <w:r>
              <w:rPr>
                <w:rFonts w:ascii="Arial" w:cs="Arial" w:eastAsia="Arial" w:hAnsi="Arial"/>
                <w:sz w:val="18"/>
                <w:szCs w:val="18"/>
                <w:color w:val="auto"/>
              </w:rPr>
              <w:t>Interest on lease liabilities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r>
      <w:tr>
        <w:trPr>
          <w:trHeight w:val="237"/>
        </w:trPr>
        <w:tc>
          <w:tcPr>
            <w:tcW w:w="53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finance lease cost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6"/>
        </w:trPr>
        <w:tc>
          <w:tcPr>
            <w:tcW w:w="5300" w:type="dxa"/>
            <w:vAlign w:val="bottom"/>
          </w:tcPr>
          <w:p>
            <w:pPr>
              <w:spacing w:after="0"/>
              <w:rPr>
                <w:sz w:val="20"/>
                <w:szCs w:val="20"/>
                <w:color w:val="auto"/>
              </w:rPr>
            </w:pPr>
            <w:r>
              <w:rPr>
                <w:rFonts w:ascii="Arial" w:cs="Arial" w:eastAsia="Arial" w:hAnsi="Arial"/>
                <w:sz w:val="18"/>
                <w:szCs w:val="18"/>
                <w:color w:val="auto"/>
              </w:rPr>
              <w:t>Short-term lease cost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-805180</wp:posOffset>
            </wp:positionV>
            <wp:extent cx="51435" cy="163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-805180</wp:posOffset>
            </wp:positionV>
            <wp:extent cx="43180" cy="163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-170815</wp:posOffset>
            </wp:positionV>
            <wp:extent cx="51435"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236"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The Company made payments of $3.4 million and $2.8 million during the years ended December 31, 2022, and 2021, respectively, which are included as cash flow from operations on the consolidated statements of cash flows.</w:t>
      </w:r>
    </w:p>
    <w:p>
      <w:pPr>
        <w:spacing w:after="0" w:line="170"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As of December 31, 2022 and 2021, $0.7 million and $0.6 million of finance lease ROU assets, respectively, were presented as part of property and equipment on the consolidated balance sheet with accumulated amortization of $0.3 million and $0.2 million,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4" w:name="page125"/>
    <w:bookmarkEnd w:id="124"/>
    <w:p>
      <w:pPr>
        <w:ind w:left="520"/>
        <w:spacing w:after="0"/>
        <w:rPr>
          <w:sz w:val="20"/>
          <w:szCs w:val="20"/>
          <w:color w:val="auto"/>
        </w:rPr>
      </w:pPr>
      <w:r>
        <w:rPr>
          <w:rFonts w:ascii="Arial" w:cs="Arial" w:eastAsia="Arial" w:hAnsi="Arial"/>
          <w:sz w:val="18"/>
          <w:szCs w:val="18"/>
          <w:color w:val="auto"/>
        </w:rPr>
        <w:t>Additional information related to the Company’s leases was as follows as of December 31:</w:t>
      </w:r>
    </w:p>
    <w:p>
      <w:pPr>
        <w:spacing w:after="0" w:line="311"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6080" w:type="dxa"/>
            <w:vAlign w:val="bottom"/>
            <w:gridSpan w:val="2"/>
          </w:tcPr>
          <w:p>
            <w:pPr>
              <w:ind w:left="5720"/>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w:t>
            </w:r>
          </w:p>
        </w:tc>
        <w:tc>
          <w:tcPr>
            <w:tcW w:w="820" w:type="dxa"/>
            <w:vAlign w:val="bottom"/>
            <w:tcBorders>
              <w:top w:val="single" w:sz="8" w:color="auto"/>
            </w:tcBorders>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Weighted-average remaining lease term (years)</w:t>
            </w:r>
          </w:p>
        </w:tc>
        <w:tc>
          <w:tcPr>
            <w:tcW w:w="400" w:type="dxa"/>
            <w:vAlign w:val="bottom"/>
          </w:tcPr>
          <w:p>
            <w:pPr>
              <w:ind w:left="60"/>
              <w:spacing w:after="0"/>
              <w:rPr>
                <w:sz w:val="20"/>
                <w:szCs w:val="20"/>
                <w:color w:val="auto"/>
              </w:rPr>
            </w:pPr>
            <w:r>
              <w:rPr>
                <w:rFonts w:ascii="Arial" w:cs="Arial" w:eastAsia="Arial" w:hAnsi="Arial"/>
                <w:sz w:val="18"/>
                <w:szCs w:val="18"/>
                <w:color w:val="auto"/>
                <w:w w:val="91"/>
              </w:rPr>
              <w:t>4.21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ind w:left="600"/>
              <w:spacing w:after="0"/>
              <w:rPr>
                <w:sz w:val="20"/>
                <w:szCs w:val="20"/>
                <w:color w:val="auto"/>
              </w:rPr>
            </w:pPr>
            <w:r>
              <w:rPr>
                <w:rFonts w:ascii="Arial" w:cs="Arial" w:eastAsia="Arial" w:hAnsi="Arial"/>
                <w:sz w:val="18"/>
                <w:szCs w:val="18"/>
                <w:color w:val="auto"/>
                <w:w w:val="85"/>
              </w:rPr>
              <w:t>5.18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2"/>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Weighted-average discount rate</w:t>
            </w:r>
          </w:p>
        </w:tc>
        <w:tc>
          <w:tcPr>
            <w:tcW w:w="780" w:type="dxa"/>
            <w:vAlign w:val="bottom"/>
            <w:gridSpan w:val="3"/>
          </w:tcPr>
          <w:p>
            <w:pPr>
              <w:ind w:left="60"/>
              <w:spacing w:after="0"/>
              <w:rPr>
                <w:sz w:val="20"/>
                <w:szCs w:val="20"/>
                <w:color w:val="auto"/>
              </w:rPr>
            </w:pPr>
            <w:r>
              <w:rPr>
                <w:rFonts w:ascii="Arial" w:cs="Arial" w:eastAsia="Arial" w:hAnsi="Arial"/>
                <w:sz w:val="18"/>
                <w:szCs w:val="18"/>
                <w:color w:val="auto"/>
              </w:rPr>
              <w:t>9.04 %</w:t>
            </w: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w w:val="82"/>
              </w:rPr>
              <w:t>9.08 %</w:t>
            </w:r>
          </w:p>
        </w:tc>
      </w:tr>
      <w:tr>
        <w:trPr>
          <w:trHeight w:val="250"/>
        </w:trPr>
        <w:tc>
          <w:tcPr>
            <w:tcW w:w="6080" w:type="dxa"/>
            <w:vAlign w:val="bottom"/>
            <w:gridSpan w:val="2"/>
          </w:tcPr>
          <w:p>
            <w:pPr>
              <w:spacing w:after="0"/>
              <w:rPr>
                <w:sz w:val="20"/>
                <w:szCs w:val="20"/>
                <w:color w:val="auto"/>
              </w:rPr>
            </w:pPr>
            <w:r>
              <w:rPr>
                <w:rFonts w:ascii="Arial" w:cs="Arial" w:eastAsia="Arial" w:hAnsi="Arial"/>
                <w:sz w:val="18"/>
                <w:szCs w:val="18"/>
                <w:color w:val="auto"/>
              </w:rPr>
              <w:t>Finance Lease:</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60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Weighted-average remaining lease term (years)</w:t>
            </w:r>
          </w:p>
        </w:tc>
        <w:tc>
          <w:tcPr>
            <w:tcW w:w="4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1"/>
              </w:rPr>
              <w:t>3.26</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ind w:left="600"/>
              <w:spacing w:after="0"/>
              <w:rPr>
                <w:sz w:val="20"/>
                <w:szCs w:val="20"/>
                <w:color w:val="auto"/>
              </w:rPr>
            </w:pPr>
            <w:r>
              <w:rPr>
                <w:rFonts w:ascii="Arial" w:cs="Arial" w:eastAsia="Arial" w:hAnsi="Arial"/>
                <w:sz w:val="18"/>
                <w:szCs w:val="18"/>
                <w:color w:val="auto"/>
                <w:w w:val="85"/>
              </w:rPr>
              <w:t>3.83</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Weighted-average discount rate</w:t>
            </w:r>
          </w:p>
        </w:tc>
        <w:tc>
          <w:tcPr>
            <w:tcW w:w="780" w:type="dxa"/>
            <w:vAlign w:val="bottom"/>
            <w:gridSpan w:val="3"/>
          </w:tcPr>
          <w:p>
            <w:pPr>
              <w:ind w:left="60"/>
              <w:spacing w:after="0"/>
              <w:rPr>
                <w:sz w:val="20"/>
                <w:szCs w:val="20"/>
                <w:color w:val="auto"/>
              </w:rPr>
            </w:pPr>
            <w:r>
              <w:rPr>
                <w:rFonts w:ascii="Arial" w:cs="Arial" w:eastAsia="Arial" w:hAnsi="Arial"/>
                <w:sz w:val="18"/>
                <w:szCs w:val="18"/>
                <w:color w:val="auto"/>
              </w:rPr>
              <w:t>5.15 %</w:t>
            </w:r>
          </w:p>
        </w:tc>
        <w:tc>
          <w:tcPr>
            <w:tcW w:w="1080" w:type="dxa"/>
            <w:vAlign w:val="bottom"/>
            <w:gridSpan w:val="3"/>
          </w:tcPr>
          <w:p>
            <w:pPr>
              <w:ind w:left="600"/>
              <w:spacing w:after="0"/>
              <w:rPr>
                <w:sz w:val="20"/>
                <w:szCs w:val="20"/>
                <w:color w:val="auto"/>
              </w:rPr>
            </w:pPr>
            <w:r>
              <w:rPr>
                <w:rFonts w:ascii="Arial" w:cs="Arial" w:eastAsia="Arial" w:hAnsi="Arial"/>
                <w:sz w:val="18"/>
                <w:szCs w:val="18"/>
                <w:color w:val="auto"/>
                <w:w w:val="82"/>
              </w:rPr>
              <w:t>4.86 %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-608330</wp:posOffset>
            </wp:positionV>
            <wp:extent cx="4989195"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Capital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On October 20, 2020, the certificate of incorporation was amended to increase the total shares of Common Stock authorized for issuance to 320,000,000 and decrease the total shares of preferred stock authorized for issuance to 10,000,000 with a par value of $0.0001 per share. 300,000,000 shares of the Common Stock were designated as “Voting Common Stock” and 20,000,000 shares of the Common Stock were designated as “Non-Voting Common Stock”.</w:t>
      </w:r>
    </w:p>
    <w:p>
      <w:pPr>
        <w:spacing w:after="0" w:line="79" w:lineRule="exact"/>
        <w:rPr>
          <w:sz w:val="20"/>
          <w:szCs w:val="20"/>
          <w:color w:val="auto"/>
        </w:rPr>
      </w:pPr>
    </w:p>
    <w:p>
      <w:pPr>
        <w:ind w:right="880" w:firstLine="509"/>
        <w:spacing w:after="0" w:line="402" w:lineRule="auto"/>
        <w:rPr>
          <w:sz w:val="20"/>
          <w:szCs w:val="20"/>
          <w:color w:val="auto"/>
        </w:rPr>
      </w:pPr>
      <w:r>
        <w:rPr>
          <w:rFonts w:ascii="Arial" w:cs="Arial" w:eastAsia="Arial" w:hAnsi="Arial"/>
          <w:sz w:val="18"/>
          <w:szCs w:val="18"/>
          <w:color w:val="auto"/>
        </w:rPr>
        <w:t xml:space="preserve">The holders of shares of voting Common Stock are entitled to one vote for each share of Common Stock at all meetings of stockholders. </w:t>
      </w: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and 2021, there were 10,000,000 shares of preferred stock authorized and no preferred stock issued.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17" w:lineRule="exact"/>
        <w:rPr>
          <w:sz w:val="20"/>
          <w:szCs w:val="20"/>
          <w:color w:val="auto"/>
        </w:rPr>
      </w:pPr>
    </w:p>
    <w:p>
      <w:pPr>
        <w:ind w:right="200" w:firstLine="509"/>
        <w:spacing w:after="0" w:line="275" w:lineRule="auto"/>
        <w:rPr>
          <w:sz w:val="20"/>
          <w:szCs w:val="20"/>
          <w:color w:val="auto"/>
        </w:rPr>
      </w:pPr>
      <w:r>
        <w:rPr>
          <w:rFonts w:ascii="Arial" w:cs="Arial" w:eastAsia="Arial" w:hAnsi="Arial"/>
          <w:sz w:val="17"/>
          <w:szCs w:val="17"/>
          <w:color w:val="auto"/>
        </w:rPr>
        <w:t>The Company’s 2018 Equity Incentive Plan (the 2018 Plan) allows the Company to issue restricted stock awards and restricted stock units, and to grant incentive stock options or non-qualified stock options. Incentive stock options may be granted only to the Company’s employees including officers and members of the Board who are also employees. Restricted stock awards, restricted stock units and non-qualified stock options may be granted to employees, members of the Board, outside advisors, and consultants of the Company (the Participants). The Company is authorized to issue awards for 4,913,665 shares of Common Stock under the 2018 Plan. The Company has granted awards of common stock in the form of 4,279,693 shares as of December 31, 2022 with none remaining available for future grant. Following the Company’s IPO in October 2020, all remaining shares from the 2018 Plan will be available for issuance under the 2020 Plan (as defined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Incentive award plan</w:t>
      </w:r>
    </w:p>
    <w:p>
      <w:pPr>
        <w:spacing w:after="0" w:line="117"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The Company adopted the 2020 Incentive Award Plan (the 2020 Plan) effective October 15, 2020. The 2020 Plan provides for a variety of stock-based compensation awards, including stock options, stock appreciation rights, or SARs, restricted stock awards, restricted stock unit awards, performance bonus awards, performance stock unit awards, dividend equivalents, or other stock or cash based awards. The Company has granted 8,967,670 shares subject to awards as of December 31, 2022 with 562,010 remaining available for future grant.</w:t>
      </w:r>
    </w:p>
    <w:p>
      <w:pPr>
        <w:spacing w:after="0" w:line="79"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Following the effectiveness of the 2020 Plan, the Company will not make any further grants under the 2018 Plan. However, the 2018 Plan will continue to govern the terms and conditions of the outstanding awards granted under this plan. Shares of common stock subject to awards granted under the 2018 Plan that are forfeited or lapse unexercised and which following the effective date of the 2020 Plan are not issued under the 2018 Plan will be available for issuance under the 2020 Plan.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 Company adopted the 2020 Employee Stock Purchase Plan (the 2020 ESPP) effective on October 15, 2020. The 2020 ESPP enables eligible employees of the Company to purchase shares of common stock at a discount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5" w:name="page126"/>
    <w:bookmarkEnd w:id="125"/>
    <w:p>
      <w:pPr>
        <w:ind w:right="340"/>
        <w:spacing w:after="0" w:line="277" w:lineRule="auto"/>
        <w:rPr>
          <w:sz w:val="20"/>
          <w:szCs w:val="20"/>
          <w:color w:val="auto"/>
        </w:rPr>
      </w:pPr>
      <w:r>
        <w:rPr>
          <w:rFonts w:ascii="Arial" w:cs="Arial" w:eastAsia="Arial" w:hAnsi="Arial"/>
          <w:sz w:val="18"/>
          <w:szCs w:val="18"/>
          <w:color w:val="auto"/>
        </w:rPr>
        <w:t>to fair market value. The Company has initially reserved for issuance 368,901 shares of common stock pursuant to the 2020 ESPP. As of December 31, 2022, 265,465 grants of awards under this plan have been made.</w:t>
      </w:r>
    </w:p>
    <w:p>
      <w:pPr>
        <w:spacing w:after="0" w:line="62"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During the year ended December 31, 2022 and 2021, the Company's 2020 ESPP compensation expense was $1.3 million and $0.8 million, respectively. The assumptions that the Company used to determine the grant-date fair value of shares granted to participants were as follows, disclosed on a grant date basis:</w:t>
      </w:r>
    </w:p>
    <w:p>
      <w:pPr>
        <w:spacing w:after="0" w:line="301" w:lineRule="exact"/>
        <w:rPr>
          <w:sz w:val="20"/>
          <w:szCs w:val="20"/>
          <w:color w:val="auto"/>
        </w:rPr>
      </w:pPr>
    </w:p>
    <w:tbl>
      <w:tblPr>
        <w:tblLayout w:type="fixed"/>
        <w:tblInd w:w="520" w:type="dxa"/>
        <w:tblCellMar>
          <w:top w:w="0" w:type="dxa"/>
          <w:left w:w="0" w:type="dxa"/>
          <w:bottom w:w="0" w:type="dxa"/>
          <w:right w:w="0" w:type="dxa"/>
        </w:tblCellMar>
      </w:tblPr>
      <w:tr>
        <w:trPr>
          <w:trHeight w:val="241"/>
        </w:trPr>
        <w:tc>
          <w:tcPr>
            <w:tcW w:w="5540" w:type="dxa"/>
            <w:vAlign w:val="bottom"/>
          </w:tcPr>
          <w:p>
            <w:pPr>
              <w:spacing w:after="0"/>
              <w:rPr>
                <w:sz w:val="20"/>
                <w:szCs w:val="20"/>
                <w:color w:val="auto"/>
              </w:rPr>
            </w:pPr>
          </w:p>
        </w:tc>
        <w:tc>
          <w:tcPr>
            <w:tcW w:w="19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20"/>
                <w:szCs w:val="20"/>
                <w:color w:val="auto"/>
              </w:rPr>
            </w:pPr>
          </w:p>
        </w:tc>
        <w:tc>
          <w:tcPr>
            <w:tcW w:w="206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57"/>
        </w:trPr>
        <w:tc>
          <w:tcPr>
            <w:tcW w:w="5540" w:type="dxa"/>
            <w:vAlign w:val="bottom"/>
          </w:tcPr>
          <w:p>
            <w:pPr>
              <w:spacing w:after="0"/>
              <w:rPr>
                <w:sz w:val="22"/>
                <w:szCs w:val="22"/>
                <w:color w:val="auto"/>
              </w:rPr>
            </w:pPr>
          </w:p>
        </w:tc>
        <w:tc>
          <w:tcPr>
            <w:tcW w:w="2520" w:type="dxa"/>
            <w:vAlign w:val="bottom"/>
            <w:tcBorders>
              <w:top w:val="single" w:sz="8" w:color="auto"/>
            </w:tcBorders>
            <w:gridSpan w:val="2"/>
          </w:tcPr>
          <w:p>
            <w:pPr>
              <w:spacing w:after="0"/>
              <w:rPr>
                <w:sz w:val="22"/>
                <w:szCs w:val="22"/>
                <w:color w:val="auto"/>
              </w:rPr>
            </w:pPr>
          </w:p>
        </w:tc>
        <w:tc>
          <w:tcPr>
            <w:tcW w:w="200" w:type="dxa"/>
            <w:vAlign w:val="bottom"/>
          </w:tcPr>
          <w:p>
            <w:pPr>
              <w:spacing w:after="0"/>
              <w:rPr>
                <w:sz w:val="22"/>
                <w:szCs w:val="22"/>
                <w:color w:val="auto"/>
              </w:rPr>
            </w:pPr>
          </w:p>
        </w:tc>
        <w:tc>
          <w:tcPr>
            <w:tcW w:w="1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0.5 - 2.0 years</w:t>
            </w:r>
          </w:p>
        </w:tc>
        <w:tc>
          <w:tcPr>
            <w:tcW w:w="20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0.5 - 2.0 years</w:t>
            </w:r>
          </w:p>
        </w:tc>
        <w:tc>
          <w:tcPr>
            <w:tcW w:w="100" w:type="dxa"/>
            <w:vAlign w:val="bottom"/>
            <w:shd w:val="clear" w:color="auto" w:fill="CFF0FC"/>
          </w:tcPr>
          <w:p>
            <w:pPr>
              <w:spacing w:after="0"/>
              <w:rPr>
                <w:sz w:val="21"/>
                <w:szCs w:val="21"/>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1.54% - 4.62%</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0.03% - 0.54%</w:t>
            </w:r>
          </w:p>
        </w:tc>
        <w:tc>
          <w:tcPr>
            <w:tcW w:w="100" w:type="dxa"/>
            <w:vAlign w:val="bottom"/>
          </w:tcPr>
          <w:p>
            <w:pPr>
              <w:spacing w:after="0"/>
              <w:rPr>
                <w:sz w:val="20"/>
                <w:szCs w:val="20"/>
                <w:color w:val="auto"/>
              </w:rPr>
            </w:pPr>
          </w:p>
        </w:tc>
      </w:tr>
      <w:tr>
        <w:trPr>
          <w:trHeight w:val="24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9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rPr>
              <w:t>Volatility</w:t>
            </w:r>
          </w:p>
        </w:tc>
        <w:tc>
          <w:tcPr>
            <w:tcW w:w="1960" w:type="dxa"/>
            <w:vAlign w:val="bottom"/>
          </w:tcPr>
          <w:p>
            <w:pPr>
              <w:jc w:val="right"/>
              <w:spacing w:after="0"/>
              <w:rPr>
                <w:sz w:val="20"/>
                <w:szCs w:val="20"/>
                <w:color w:val="auto"/>
              </w:rPr>
            </w:pPr>
            <w:r>
              <w:rPr>
                <w:rFonts w:ascii="Arial" w:cs="Arial" w:eastAsia="Arial" w:hAnsi="Arial"/>
                <w:sz w:val="18"/>
                <w:szCs w:val="18"/>
                <w:color w:val="auto"/>
              </w:rPr>
              <w:t>57.21%</w:t>
            </w:r>
          </w:p>
        </w:tc>
        <w:tc>
          <w:tcPr>
            <w:tcW w:w="560" w:type="dxa"/>
            <w:vAlign w:val="bottom"/>
          </w:tcPr>
          <w:p>
            <w:pPr>
              <w:jc w:val="right"/>
              <w:spacing w:after="0"/>
              <w:rPr>
                <w:sz w:val="20"/>
                <w:szCs w:val="20"/>
                <w:color w:val="auto"/>
              </w:rPr>
            </w:pPr>
            <w:r>
              <w:rPr>
                <w:rFonts w:ascii="Arial" w:cs="Arial" w:eastAsia="Arial" w:hAnsi="Arial"/>
                <w:sz w:val="18"/>
                <w:szCs w:val="18"/>
                <w:color w:val="auto"/>
                <w:w w:val="92"/>
              </w:rPr>
              <w:t>- 73.67</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50.41% - 97.14%</w:t>
            </w:r>
          </w:p>
        </w:tc>
        <w:tc>
          <w:tcPr>
            <w:tcW w:w="100" w:type="dxa"/>
            <w:vAlign w:val="bottom"/>
          </w:tcPr>
          <w:p>
            <w:pPr>
              <w:spacing w:after="0"/>
              <w:rPr>
                <w:sz w:val="20"/>
                <w:szCs w:val="20"/>
                <w:color w:val="auto"/>
              </w:rPr>
            </w:pPr>
          </w:p>
        </w:tc>
      </w:tr>
      <w:tr>
        <w:trPr>
          <w:trHeight w:val="24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estimated fair value of purchase rights</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 $2.46</w:t>
            </w:r>
          </w:p>
        </w:tc>
        <w:tc>
          <w:tcPr>
            <w:tcW w:w="2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$4.13 - $13.49</w:t>
            </w:r>
          </w:p>
        </w:tc>
        <w:tc>
          <w:tcPr>
            <w:tcW w:w="100" w:type="dxa"/>
            <w:vAlign w:val="bottom"/>
            <w:shd w:val="clear" w:color="auto" w:fill="CFF0FC"/>
          </w:tcPr>
          <w:p>
            <w:pPr>
              <w:spacing w:after="0"/>
              <w:rPr>
                <w:sz w:val="21"/>
                <w:szCs w:val="2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The exercise price for incentive stock options is at least 100% of the fair market value on the date of grant for stockholders owning less than 10% of the voting power of all classes of stock, or at least 110% of the fair market value for stockholders owning more than 10% of the voting power of all classes of stock. Options generally expire in 10 years and vest over periods determined by the Board, generally 48 months. Certain stock options referred to as “early exercise stock options” permit the holders to exercise the option in whole or in part prior to the full vesting of the option in exchange for unvested shares of Restricted Stock with respect to any unvested portion of the option so exercised.</w:t>
      </w:r>
    </w:p>
    <w:p>
      <w:pPr>
        <w:spacing w:after="0" w:line="68"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During the years ended December 31, 2022 and December 31, 2021, the Company’s stock option compensation expense was approximately $13.4 million and $12.2 million, respectively, and there was no recognized tax benefit in either year. As of December 31, 2022, the unamortized expense balance was $28.3 million, to be amortized over a weighted-average period of 2.26 years.</w:t>
      </w:r>
    </w:p>
    <w:p>
      <w:pPr>
        <w:spacing w:after="0" w:line="76"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Participants were as follows, presented on a weighted-average basis: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Pr>
          <w:p>
            <w:pPr>
              <w:spacing w:after="0"/>
              <w:rPr>
                <w:sz w:val="16"/>
                <w:szCs w:val="16"/>
                <w:color w:val="auto"/>
              </w:rPr>
            </w:pPr>
          </w:p>
        </w:tc>
        <w:tc>
          <w:tcPr>
            <w:tcW w:w="7360" w:type="dxa"/>
            <w:vAlign w:val="bottom"/>
            <w:gridSpan w:val="2"/>
          </w:tcPr>
          <w:p>
            <w:pPr>
              <w:ind w:left="6700"/>
              <w:spacing w:after="0"/>
              <w:rPr>
                <w:sz w:val="20"/>
                <w:szCs w:val="20"/>
                <w:color w:val="auto"/>
              </w:rPr>
            </w:pPr>
            <w:r>
              <w:rPr>
                <w:rFonts w:ascii="Arial" w:cs="Arial" w:eastAsia="Arial" w:hAnsi="Arial"/>
                <w:sz w:val="14"/>
                <w:szCs w:val="14"/>
                <w:b w:val="1"/>
                <w:bCs w:val="1"/>
                <w:color w:val="auto"/>
              </w:rPr>
              <w:t>2022</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37"/>
        </w:trPr>
        <w:tc>
          <w:tcPr>
            <w:tcW w:w="520" w:type="dxa"/>
            <w:vAlign w:val="bottom"/>
          </w:tcPr>
          <w:p>
            <w:pPr>
              <w:spacing w:after="0"/>
              <w:rPr>
                <w:sz w:val="20"/>
                <w:szCs w:val="20"/>
                <w:color w:val="auto"/>
              </w:rPr>
            </w:pPr>
          </w:p>
        </w:tc>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82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20" w:type="dxa"/>
            <w:vAlign w:val="bottom"/>
            <w:shd w:val="clear" w:color="auto" w:fill="CFF0FC"/>
          </w:tcPr>
          <w:p>
            <w:pPr>
              <w:spacing w:after="0"/>
              <w:rPr>
                <w:sz w:val="20"/>
                <w:szCs w:val="20"/>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FF0FC"/>
          </w:tcPr>
          <w:p>
            <w:pPr>
              <w:spacing w:after="0"/>
              <w:rPr>
                <w:sz w:val="20"/>
                <w:szCs w:val="20"/>
                <w:color w:val="auto"/>
              </w:rPr>
            </w:pPr>
          </w:p>
        </w:tc>
        <w:tc>
          <w:tcPr>
            <w:tcW w:w="500" w:type="dxa"/>
            <w:vAlign w:val="bottom"/>
          </w:tcPr>
          <w:p>
            <w:pPr>
              <w:spacing w:after="0"/>
              <w:rPr>
                <w:sz w:val="20"/>
                <w:szCs w:val="20"/>
                <w:color w:val="auto"/>
              </w:rPr>
            </w:pPr>
          </w:p>
        </w:tc>
      </w:tr>
      <w:tr>
        <w:trPr>
          <w:trHeight w:val="230"/>
        </w:trPr>
        <w:tc>
          <w:tcPr>
            <w:tcW w:w="52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2.20 %</w:t>
            </w:r>
          </w:p>
        </w:tc>
        <w:tc>
          <w:tcPr>
            <w:tcW w:w="2340" w:type="dxa"/>
            <w:vAlign w:val="bottom"/>
            <w:gridSpan w:val="3"/>
          </w:tcPr>
          <w:p>
            <w:pPr>
              <w:jc w:val="right"/>
              <w:ind w:right="440"/>
              <w:spacing w:after="0"/>
              <w:rPr>
                <w:sz w:val="20"/>
                <w:szCs w:val="20"/>
                <w:color w:val="auto"/>
              </w:rPr>
            </w:pPr>
            <w:r>
              <w:rPr>
                <w:rFonts w:ascii="Arial" w:cs="Arial" w:eastAsia="Arial" w:hAnsi="Arial"/>
                <w:sz w:val="18"/>
                <w:szCs w:val="18"/>
                <w:color w:val="auto"/>
              </w:rPr>
              <w:t>0.99 %</w:t>
            </w:r>
          </w:p>
        </w:tc>
      </w:tr>
      <w:tr>
        <w:trPr>
          <w:trHeight w:val="256"/>
        </w:trPr>
        <w:tc>
          <w:tcPr>
            <w:tcW w:w="520" w:type="dxa"/>
            <w:vAlign w:val="bottom"/>
          </w:tcPr>
          <w:p>
            <w:pPr>
              <w:spacing w:after="0"/>
              <w:rPr>
                <w:sz w:val="22"/>
                <w:szCs w:val="22"/>
                <w:color w:val="auto"/>
              </w:rPr>
            </w:pPr>
          </w:p>
        </w:tc>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r>
      <w:tr>
        <w:trPr>
          <w:trHeight w:val="230"/>
        </w:trPr>
        <w:tc>
          <w:tcPr>
            <w:tcW w:w="520" w:type="dxa"/>
            <w:vAlign w:val="bottom"/>
          </w:tcPr>
          <w:p>
            <w:pPr>
              <w:spacing w:after="0"/>
              <w:rPr>
                <w:sz w:val="20"/>
                <w:szCs w:val="20"/>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80.41 %</w:t>
            </w:r>
          </w:p>
        </w:tc>
        <w:tc>
          <w:tcPr>
            <w:tcW w:w="2340" w:type="dxa"/>
            <w:vAlign w:val="bottom"/>
            <w:gridSpan w:val="3"/>
          </w:tcPr>
          <w:p>
            <w:pPr>
              <w:jc w:val="right"/>
              <w:ind w:right="440"/>
              <w:spacing w:after="0"/>
              <w:rPr>
                <w:sz w:val="20"/>
                <w:szCs w:val="20"/>
                <w:color w:val="auto"/>
              </w:rPr>
            </w:pPr>
            <w:r>
              <w:rPr>
                <w:rFonts w:ascii="Arial" w:cs="Arial" w:eastAsia="Arial" w:hAnsi="Arial"/>
                <w:sz w:val="18"/>
                <w:szCs w:val="18"/>
                <w:color w:val="auto"/>
              </w:rPr>
              <w:t>81.21 %</w:t>
            </w:r>
          </w:p>
        </w:tc>
      </w:tr>
      <w:tr>
        <w:trPr>
          <w:trHeight w:val="661"/>
        </w:trPr>
        <w:tc>
          <w:tcPr>
            <w:tcW w:w="520" w:type="dxa"/>
            <w:vAlign w:val="bottom"/>
          </w:tcPr>
          <w:p>
            <w:pPr>
              <w:spacing w:after="0"/>
              <w:rPr>
                <w:sz w:val="24"/>
                <w:szCs w:val="24"/>
                <w:color w:val="auto"/>
              </w:rPr>
            </w:pPr>
          </w:p>
        </w:tc>
        <w:tc>
          <w:tcPr>
            <w:tcW w:w="5540" w:type="dxa"/>
            <w:vAlign w:val="bottom"/>
          </w:tcPr>
          <w:p>
            <w:pPr>
              <w:ind w:left="4960"/>
              <w:spacing w:after="0"/>
              <w:rPr>
                <w:sz w:val="20"/>
                <w:szCs w:val="20"/>
                <w:color w:val="auto"/>
              </w:rPr>
            </w:pPr>
            <w:r>
              <w:rPr>
                <w:rFonts w:ascii="Arial" w:cs="Arial" w:eastAsia="Arial" w:hAnsi="Arial"/>
                <w:sz w:val="18"/>
                <w:szCs w:val="18"/>
                <w:color w:val="auto"/>
              </w:rPr>
              <w:t>121</w:t>
            </w:r>
          </w:p>
        </w:tc>
        <w:tc>
          <w:tcPr>
            <w:tcW w:w="1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55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6" w:name="page127"/>
    <w:bookmarkEnd w:id="126"/>
    <w:p>
      <w:pPr>
        <w:ind w:left="520"/>
        <w:spacing w:after="0"/>
        <w:rPr>
          <w:sz w:val="20"/>
          <w:szCs w:val="20"/>
          <w:color w:val="auto"/>
        </w:rPr>
      </w:pPr>
      <w:r>
        <w:rPr>
          <w:rFonts w:ascii="Arial" w:cs="Arial" w:eastAsia="Arial" w:hAnsi="Arial"/>
          <w:sz w:val="18"/>
          <w:szCs w:val="18"/>
          <w:color w:val="auto"/>
        </w:rPr>
        <w:t>Stock option activity during the year ended December 31, 2022 and 2021 was as follows:</w:t>
      </w:r>
    </w:p>
    <w:p>
      <w:pPr>
        <w:spacing w:after="0" w:line="245"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5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3"/>
              </w:rPr>
              <w:t>Price per</w:t>
            </w:r>
          </w:p>
        </w:tc>
        <w:tc>
          <w:tcPr>
            <w:tcW w:w="1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500" w:type="dxa"/>
            <w:vAlign w:val="bottom"/>
          </w:tcPr>
          <w:p>
            <w:pPr>
              <w:spacing w:after="0"/>
              <w:rPr>
                <w:sz w:val="16"/>
                <w:szCs w:val="16"/>
                <w:color w:val="auto"/>
              </w:rPr>
            </w:pPr>
          </w:p>
        </w:tc>
        <w:tc>
          <w:tcPr>
            <w:tcW w:w="15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Term (years)</w:t>
            </w:r>
          </w:p>
        </w:tc>
        <w:tc>
          <w:tcPr>
            <w:tcW w:w="100" w:type="dxa"/>
            <w:vAlign w:val="bottom"/>
          </w:tcPr>
          <w:p>
            <w:pPr>
              <w:spacing w:after="0"/>
              <w:rPr>
                <w:sz w:val="16"/>
                <w:szCs w:val="16"/>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 xml:space="preserve">Value (in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gridSpan w:val="2"/>
          </w:tcPr>
          <w:p>
            <w:pPr>
              <w:spacing w:after="0"/>
              <w:rPr>
                <w:sz w:val="21"/>
                <w:szCs w:val="21"/>
                <w:color w:val="auto"/>
              </w:rPr>
            </w:pPr>
          </w:p>
        </w:tc>
        <w:tc>
          <w:tcPr>
            <w:tcW w:w="220" w:type="dxa"/>
            <w:vAlign w:val="bottom"/>
            <w:gridSpan w:val="2"/>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5,488,148</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55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Granted</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482,380</w:t>
            </w:r>
          </w:p>
        </w:tc>
        <w:tc>
          <w:tcPr>
            <w:tcW w:w="240" w:type="dxa"/>
            <w:vAlign w:val="bottom"/>
            <w:tcBorders>
              <w:top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20.31</w:t>
            </w:r>
          </w:p>
        </w:tc>
        <w:tc>
          <w:tcPr>
            <w:tcW w:w="120" w:type="dxa"/>
            <w:vAlign w:val="bottom"/>
            <w:tcBorders>
              <w:top w:val="single" w:sz="8" w:color="CFF0FC"/>
            </w:tcBorders>
          </w:tcPr>
          <w:p>
            <w:pPr>
              <w:spacing w:after="0"/>
              <w:rPr>
                <w:sz w:val="24"/>
                <w:szCs w:val="24"/>
                <w:color w:val="auto"/>
              </w:rPr>
            </w:pPr>
          </w:p>
        </w:tc>
        <w:tc>
          <w:tcPr>
            <w:tcW w:w="9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(123,621 ) $</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Forfeited or expired</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(154,393 ) $</w:t>
            </w:r>
          </w:p>
        </w:tc>
        <w:tc>
          <w:tcPr>
            <w:tcW w:w="760" w:type="dxa"/>
            <w:vAlign w:val="bottom"/>
          </w:tcPr>
          <w:p>
            <w:pPr>
              <w:jc w:val="right"/>
              <w:spacing w:after="0"/>
              <w:rPr>
                <w:sz w:val="20"/>
                <w:szCs w:val="20"/>
                <w:color w:val="auto"/>
              </w:rPr>
            </w:pPr>
            <w:r>
              <w:rPr>
                <w:rFonts w:ascii="Arial" w:cs="Arial" w:eastAsia="Arial" w:hAnsi="Arial"/>
                <w:sz w:val="18"/>
                <w:szCs w:val="18"/>
                <w:color w:val="auto"/>
              </w:rPr>
              <w:t>13.66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2021</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5,692,514</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55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Granted</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5,090,824</w:t>
            </w:r>
          </w:p>
        </w:tc>
        <w:tc>
          <w:tcPr>
            <w:tcW w:w="240" w:type="dxa"/>
            <w:vAlign w:val="bottom"/>
            <w:tcBorders>
              <w:top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top w:val="single" w:sz="8" w:color="CFF0FC"/>
            </w:tcBorders>
          </w:tcPr>
          <w:p>
            <w:pPr>
              <w:spacing w:after="0"/>
              <w:rPr>
                <w:sz w:val="24"/>
                <w:szCs w:val="24"/>
                <w:color w:val="auto"/>
              </w:rPr>
            </w:pPr>
          </w:p>
        </w:tc>
        <w:tc>
          <w:tcPr>
            <w:tcW w:w="9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7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(12,896 ) $</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Forfeited or expired</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(930,315 ) $</w:t>
            </w:r>
          </w:p>
        </w:tc>
        <w:tc>
          <w:tcPr>
            <w:tcW w:w="76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2022</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9,840,127</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Options vested and expected to vest as of</w:t>
            </w:r>
          </w:p>
        </w:tc>
        <w:tc>
          <w:tcPr>
            <w:tcW w:w="15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7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9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140"/>
              <w:spacing w:after="0"/>
              <w:rPr>
                <w:sz w:val="20"/>
                <w:szCs w:val="20"/>
                <w:color w:val="auto"/>
              </w:rPr>
            </w:pPr>
            <w:r>
              <w:rPr>
                <w:rFonts w:ascii="Arial" w:cs="Arial" w:eastAsia="Arial" w:hAnsi="Arial"/>
                <w:sz w:val="18"/>
                <w:szCs w:val="18"/>
                <w:color w:val="auto"/>
              </w:rPr>
              <w:t>December 31, 2022</w:t>
            </w:r>
          </w:p>
        </w:tc>
        <w:tc>
          <w:tcPr>
            <w:tcW w:w="1500" w:type="dxa"/>
            <w:vAlign w:val="bottom"/>
          </w:tcPr>
          <w:p>
            <w:pPr>
              <w:jc w:val="right"/>
              <w:spacing w:after="0"/>
              <w:rPr>
                <w:sz w:val="20"/>
                <w:szCs w:val="20"/>
                <w:color w:val="auto"/>
              </w:rPr>
            </w:pPr>
            <w:r>
              <w:rPr>
                <w:rFonts w:ascii="Arial" w:cs="Arial" w:eastAsia="Arial" w:hAnsi="Arial"/>
                <w:sz w:val="18"/>
                <w:szCs w:val="18"/>
                <w:color w:val="auto"/>
              </w:rPr>
              <w:t>9,836,359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8.28</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Options vested and exercisable as of</w:t>
            </w: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2022</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3,730,149</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-2167890</wp:posOffset>
            </wp:positionV>
            <wp:extent cx="68580" cy="316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-2167890</wp:posOffset>
            </wp:positionV>
            <wp:extent cx="60325" cy="316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31686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-1379220</wp:posOffset>
            </wp:positionV>
            <wp:extent cx="68580" cy="316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-1379220</wp:posOffset>
            </wp:positionV>
            <wp:extent cx="60325" cy="316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31686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-591185</wp:posOffset>
            </wp:positionV>
            <wp:extent cx="68580" cy="3003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3003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-591185</wp:posOffset>
            </wp:positionV>
            <wp:extent cx="60325" cy="3003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3003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180" w:firstLine="509"/>
        <w:spacing w:after="0" w:line="341" w:lineRule="auto"/>
        <w:rPr>
          <w:sz w:val="20"/>
          <w:szCs w:val="20"/>
          <w:color w:val="auto"/>
        </w:rPr>
      </w:pPr>
      <w:r>
        <w:rPr>
          <w:rFonts w:ascii="Arial" w:cs="Arial" w:eastAsia="Arial" w:hAnsi="Arial"/>
          <w:sz w:val="17"/>
          <w:szCs w:val="17"/>
          <w:color w:val="auto"/>
        </w:rPr>
        <w:t>The weighted-average grant date fair value of stock options granted was $1.80 per share during the year ended December 31, 2022. The weighted-average grant date fair value of stock options granted was $13.76 per share during the year ended December 31, 2021.</w:t>
      </w:r>
    </w:p>
    <w:p>
      <w:pPr>
        <w:spacing w:after="0" w:line="12"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During the years ended December 31, 2022 and 2021 the Company did not issue shares for unvested stock options. As of December 31, 2022 and 2021, there were 28,711 and 163,855 shares of Common Stock, respectively, held by employees subject to repurchase at an aggregate price of $0.1 million and $0.3 million, respectively. A corresponding liability was recorded and included in accrued expenses on the consolidated balance sheet as of December 31, 2022 and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The Company may grant restricted stock purchase awards to the Participants to purchase restricted stock under the Company’s Plan, which are subject to vesting conditions. The purchase prices of the restricted stock are determined by the Board. The Company has a right to repurchase the shares if the Participant’s service period is not fulfilled or upon termination of service at the original per share issuance price. The right of repurchase lapses over a service period which is typically four years with 25% vesting on the first anniversary of the vesting commencement date and 1/48 each month thereafter.</w:t>
      </w:r>
    </w:p>
    <w:p>
      <w:pPr>
        <w:spacing w:after="0" w:line="49"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Before the adoption of the Company’s Plan, the Company granted 502,964 restricted stock awards to employees and founders. These restricted stock awards have similar characteristics to the restricted stock awards granted under the Company’s Plan, other than the right of repurchase, which typically lapses over three years with 33% vesting on the first anniversary of the vesting commencement date and 1/36 each month thereafter.</w:t>
      </w:r>
    </w:p>
    <w:p>
      <w:pPr>
        <w:spacing w:after="0" w:line="41" w:lineRule="exact"/>
        <w:rPr>
          <w:sz w:val="20"/>
          <w:szCs w:val="20"/>
          <w:color w:val="auto"/>
        </w:rPr>
      </w:pPr>
    </w:p>
    <w:p>
      <w:pPr>
        <w:ind w:right="500" w:firstLine="509"/>
        <w:spacing w:after="0" w:line="263" w:lineRule="auto"/>
        <w:rPr>
          <w:sz w:val="20"/>
          <w:szCs w:val="20"/>
          <w:color w:val="auto"/>
        </w:rPr>
      </w:pPr>
      <w:r>
        <w:rPr>
          <w:rFonts w:ascii="Arial" w:cs="Arial" w:eastAsia="Arial" w:hAnsi="Arial"/>
          <w:sz w:val="18"/>
          <w:szCs w:val="18"/>
          <w:color w:val="auto"/>
        </w:rPr>
        <w:t>During the years ended December 31, 2022 and December 31, 2021, the Company recorded a total stock-based compensation expense of $0.1 million and $0.4 million, respectively, related to the restricted stock awards. As of December 31, 2022, there was no unrecognized stock-based compensation costs related to outstanding unvested restricted stock awards that are expected to vest.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7" w:name="page128"/>
    <w:bookmarkEnd w:id="127"/>
    <w:p>
      <w:pPr>
        <w:ind w:left="520"/>
        <w:spacing w:after="0"/>
        <w:rPr>
          <w:sz w:val="20"/>
          <w:szCs w:val="20"/>
          <w:color w:val="auto"/>
        </w:rPr>
      </w:pPr>
      <w:r>
        <w:rPr>
          <w:rFonts w:ascii="Arial" w:cs="Arial" w:eastAsia="Arial" w:hAnsi="Arial"/>
          <w:sz w:val="18"/>
          <w:szCs w:val="18"/>
          <w:color w:val="auto"/>
        </w:rPr>
        <w:t>The following table summarizes the Company’s restricted common stock activity for years ended December 31, 2022 and 2021:</w:t>
      </w:r>
    </w:p>
    <w:p>
      <w:pPr>
        <w:spacing w:after="0" w:line="245"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7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122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7"/>
              </w:rPr>
              <w:t>Grant Date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15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of Awards</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2"/>
              </w:rPr>
              <w:t>per Share</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4"/>
              </w:rPr>
              <w:t>(in $000)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80" w:type="dxa"/>
            <w:vAlign w:val="bottom"/>
            <w:gridSpan w:val="2"/>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December 31, 2020</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408,411</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5220" w:type="dxa"/>
            <w:vAlign w:val="bottom"/>
          </w:tcPr>
          <w:p>
            <w:pPr>
              <w:spacing w:after="0"/>
              <w:rPr>
                <w:sz w:val="20"/>
                <w:szCs w:val="20"/>
                <w:color w:val="auto"/>
              </w:rPr>
            </w:pPr>
            <w:r>
              <w:rPr>
                <w:rFonts w:ascii="Arial" w:cs="Arial" w:eastAsia="Arial" w:hAnsi="Arial"/>
                <w:sz w:val="18"/>
                <w:szCs w:val="18"/>
                <w:color w:val="auto"/>
              </w:rPr>
              <w:t>Restricted stock awards granted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awards vested</w:t>
            </w: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(319,357 )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(356 )</w:t>
            </w:r>
          </w:p>
        </w:tc>
        <w:tc>
          <w:tcPr>
            <w:tcW w:w="0" w:type="dxa"/>
            <w:vAlign w:val="bottom"/>
          </w:tcPr>
          <w:p>
            <w:pPr>
              <w:spacing w:after="0"/>
              <w:rPr>
                <w:sz w:val="1"/>
                <w:szCs w:val="1"/>
                <w:color w:val="auto"/>
              </w:rPr>
            </w:pPr>
          </w:p>
        </w:tc>
      </w:tr>
      <w:tr>
        <w:trPr>
          <w:trHeight w:val="236"/>
        </w:trPr>
        <w:tc>
          <w:tcPr>
            <w:tcW w:w="52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Issued and unvested as of December 31, 2021</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89,054</w:t>
            </w:r>
          </w:p>
        </w:tc>
        <w:tc>
          <w:tcPr>
            <w:tcW w:w="20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20" w:type="dxa"/>
            <w:vAlign w:val="bottom"/>
          </w:tcPr>
          <w:p>
            <w:pPr>
              <w:spacing w:after="0"/>
              <w:rPr>
                <w:sz w:val="20"/>
                <w:szCs w:val="20"/>
                <w:color w:val="auto"/>
              </w:rPr>
            </w:pPr>
          </w:p>
        </w:tc>
        <w:tc>
          <w:tcPr>
            <w:tcW w:w="170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awards granted</w:t>
            </w: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20" w:type="dxa"/>
            <w:vAlign w:val="bottom"/>
          </w:tcPr>
          <w:p>
            <w:pPr>
              <w:spacing w:after="0"/>
              <w:rPr>
                <w:sz w:val="20"/>
                <w:szCs w:val="20"/>
                <w:color w:val="auto"/>
              </w:rPr>
            </w:pPr>
            <w:r>
              <w:rPr>
                <w:rFonts w:ascii="Arial" w:cs="Arial" w:eastAsia="Arial" w:hAnsi="Arial"/>
                <w:sz w:val="18"/>
                <w:szCs w:val="18"/>
                <w:color w:val="auto"/>
              </w:rPr>
              <w:t>Restricted stock awards vested</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(89,054 )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37"/>
        </w:trPr>
        <w:tc>
          <w:tcPr>
            <w:tcW w:w="522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Issued and unvested as of December 31, 2022</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-1430655</wp:posOffset>
            </wp:positionV>
            <wp:extent cx="68580" cy="3168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-1430655</wp:posOffset>
            </wp:positionV>
            <wp:extent cx="60325" cy="3168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31686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-959485</wp:posOffset>
            </wp:positionV>
            <wp:extent cx="68580" cy="3257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-959485</wp:posOffset>
            </wp:positionV>
            <wp:extent cx="60325" cy="3257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3257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allocated as follows for the years ended December 31, 2022 and December 31, 2021:</w:t>
      </w:r>
    </w:p>
    <w:p>
      <w:pPr>
        <w:spacing w:after="0" w:line="257"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69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8,006</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7,554</w:t>
            </w:r>
          </w:p>
        </w:tc>
        <w:tc>
          <w:tcPr>
            <w:tcW w:w="100" w:type="dxa"/>
            <w:vAlign w:val="bottom"/>
            <w:shd w:val="clear" w:color="auto" w:fill="CFF0FC"/>
          </w:tcPr>
          <w:p>
            <w:pPr>
              <w:spacing w:after="0"/>
              <w:rPr>
                <w:sz w:val="20"/>
                <w:szCs w:val="20"/>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6,687</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5,903</w:t>
            </w:r>
          </w:p>
        </w:tc>
        <w:tc>
          <w:tcPr>
            <w:tcW w:w="100" w:type="dxa"/>
            <w:vAlign w:val="bottom"/>
          </w:tcPr>
          <w:p>
            <w:pPr>
              <w:spacing w:after="0"/>
              <w:rPr>
                <w:sz w:val="20"/>
                <w:szCs w:val="20"/>
                <w:color w:val="auto"/>
              </w:rPr>
            </w:pPr>
          </w:p>
        </w:tc>
      </w:tr>
      <w:tr>
        <w:trPr>
          <w:trHeight w:val="236"/>
        </w:trPr>
        <w:tc>
          <w:tcPr>
            <w:tcW w:w="69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14,693</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present the fair value of the Company’s financial instruments that are measured or disclosed at fair value on a recurring basis: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10"/>
          </w:tcPr>
          <w:p>
            <w:pPr>
              <w:jc w:val="center"/>
              <w:ind w:left="557"/>
              <w:spacing w:after="0"/>
              <w:rPr>
                <w:sz w:val="20"/>
                <w:szCs w:val="20"/>
                <w:color w:val="auto"/>
              </w:rPr>
            </w:pPr>
            <w:r>
              <w:rPr>
                <w:rFonts w:ascii="Arial" w:cs="Arial" w:eastAsia="Arial" w:hAnsi="Arial"/>
                <w:sz w:val="14"/>
                <w:szCs w:val="14"/>
                <w:b w:val="1"/>
                <w:bCs w:val="1"/>
                <w:color w:val="auto"/>
                <w:w w:val="93"/>
              </w:rPr>
              <w:t>Fair Value Measurements</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5"/>
        </w:trPr>
        <w:tc>
          <w:tcPr>
            <w:tcW w:w="1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December 31, 2022</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ind w:left="12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2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306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2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81,347</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3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Certificates of deposit</w:t>
            </w:r>
          </w:p>
        </w:tc>
        <w:tc>
          <w:tcPr>
            <w:tcW w:w="2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060" w:type="dxa"/>
            <w:vAlign w:val="bottom"/>
          </w:tcPr>
          <w:p>
            <w:pPr>
              <w:ind w:left="180"/>
              <w:spacing w:after="0"/>
              <w:rPr>
                <w:sz w:val="20"/>
                <w:szCs w:val="20"/>
                <w:color w:val="auto"/>
              </w:rPr>
            </w:pPr>
            <w:r>
              <w:rPr>
                <w:rFonts w:ascii="Arial" w:cs="Arial" w:eastAsia="Arial" w:hAnsi="Arial"/>
                <w:sz w:val="18"/>
                <w:szCs w:val="18"/>
                <w:color w:val="auto"/>
              </w:rPr>
              <w:t>U.S. Treasury bonds</w:t>
            </w:r>
          </w:p>
        </w:tc>
        <w:tc>
          <w:tcPr>
            <w:tcW w:w="2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44,480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6"/>
        </w:trPr>
        <w:tc>
          <w:tcPr>
            <w:tcW w:w="1140" w:type="dxa"/>
            <w:vAlign w:val="bottom"/>
          </w:tcPr>
          <w:p>
            <w:pPr>
              <w:spacing w:after="0"/>
              <w:rPr>
                <w:sz w:val="20"/>
                <w:szCs w:val="20"/>
                <w:color w:val="auto"/>
              </w:rPr>
            </w:pPr>
          </w:p>
        </w:tc>
        <w:tc>
          <w:tcPr>
            <w:tcW w:w="3060" w:type="dxa"/>
            <w:vAlign w:val="bottom"/>
            <w:tcBorders>
              <w:bottom w:val="single" w:sz="8" w:color="CFF0FC"/>
            </w:tcBorders>
            <w:shd w:val="clear" w:color="auto" w:fill="CFF0FC"/>
          </w:tcPr>
          <w:p>
            <w:pPr>
              <w:spacing w:after="0"/>
              <w:rPr>
                <w:sz w:val="20"/>
                <w:szCs w:val="20"/>
                <w:color w:val="auto"/>
              </w:rPr>
            </w:pPr>
          </w:p>
        </w:tc>
        <w:tc>
          <w:tcPr>
            <w:tcW w:w="21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125,827</w:t>
            </w:r>
          </w:p>
        </w:tc>
        <w:tc>
          <w:tcPr>
            <w:tcW w:w="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382"/>
        </w:trPr>
        <w:tc>
          <w:tcPr>
            <w:tcW w:w="1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8"/>
          </w:tcPr>
          <w:p>
            <w:pPr>
              <w:ind w:left="800"/>
              <w:spacing w:after="0"/>
              <w:rPr>
                <w:sz w:val="20"/>
                <w:szCs w:val="20"/>
                <w:color w:val="auto"/>
              </w:rPr>
            </w:pPr>
            <w:r>
              <w:rPr>
                <w:rFonts w:ascii="Arial" w:cs="Arial" w:eastAsia="Arial" w:hAnsi="Arial"/>
                <w:sz w:val="14"/>
                <w:szCs w:val="14"/>
                <w:b w:val="1"/>
                <w:bCs w:val="1"/>
                <w:color w:val="auto"/>
                <w:w w:val="92"/>
              </w:rPr>
              <w:t>Fair Value Measurements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5"/>
        </w:trPr>
        <w:tc>
          <w:tcPr>
            <w:tcW w:w="1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8"/>
          </w:tcPr>
          <w:p>
            <w:pPr>
              <w:jc w:val="center"/>
              <w:ind w:left="737"/>
              <w:spacing w:after="0"/>
              <w:rPr>
                <w:sz w:val="20"/>
                <w:szCs w:val="20"/>
                <w:color w:val="auto"/>
              </w:rPr>
            </w:pPr>
            <w:r>
              <w:rPr>
                <w:rFonts w:ascii="Arial" w:cs="Arial" w:eastAsia="Arial" w:hAnsi="Arial"/>
                <w:sz w:val="14"/>
                <w:szCs w:val="14"/>
                <w:b w:val="1"/>
                <w:bCs w:val="1"/>
                <w:color w:val="auto"/>
                <w:w w:val="90"/>
              </w:rPr>
              <w:t>as of December 31, 2021</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6"/>
              </w:rPr>
              <w:t>Level 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7"/>
        </w:trPr>
        <w:tc>
          <w:tcPr>
            <w:tcW w:w="1140" w:type="dxa"/>
            <w:vAlign w:val="bottom"/>
          </w:tcPr>
          <w:p>
            <w:pPr>
              <w:spacing w:after="0"/>
              <w:rPr>
                <w:sz w:val="20"/>
                <w:szCs w:val="20"/>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2140" w:type="dxa"/>
            <w:vAlign w:val="bottom"/>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306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23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186,816</w:t>
            </w:r>
          </w:p>
        </w:tc>
        <w:tc>
          <w:tcPr>
            <w:tcW w:w="40" w:type="dxa"/>
            <w:vAlign w:val="bottom"/>
          </w:tcPr>
          <w:p>
            <w:pPr>
              <w:spacing w:after="0"/>
              <w:rPr>
                <w:sz w:val="20"/>
                <w:szCs w:val="20"/>
                <w:color w:val="auto"/>
              </w:rPr>
            </w:pPr>
          </w:p>
        </w:tc>
        <w:tc>
          <w:tcPr>
            <w:tcW w:w="4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3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Certificates of deposit</w:t>
            </w:r>
          </w:p>
        </w:tc>
        <w:tc>
          <w:tcPr>
            <w:tcW w:w="2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3,918</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060" w:type="dxa"/>
            <w:vAlign w:val="bottom"/>
          </w:tcPr>
          <w:p>
            <w:pPr>
              <w:ind w:left="180"/>
              <w:spacing w:after="0"/>
              <w:rPr>
                <w:sz w:val="20"/>
                <w:szCs w:val="20"/>
                <w:color w:val="auto"/>
              </w:rPr>
            </w:pPr>
            <w:r>
              <w:rPr>
                <w:rFonts w:ascii="Arial" w:cs="Arial" w:eastAsia="Arial" w:hAnsi="Arial"/>
                <w:sz w:val="18"/>
                <w:szCs w:val="18"/>
                <w:color w:val="auto"/>
              </w:rPr>
              <w:t>U.S. Treasury bonds</w:t>
            </w:r>
          </w:p>
        </w:tc>
        <w:tc>
          <w:tcPr>
            <w:tcW w:w="2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15,110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3060" w:type="dxa"/>
            <w:vAlign w:val="bottom"/>
            <w:tcBorders>
              <w:bottom w:val="single" w:sz="8" w:color="CFF0FC"/>
            </w:tcBorders>
            <w:shd w:val="clear" w:color="auto" w:fill="CFF0FC"/>
          </w:tcPr>
          <w:p>
            <w:pPr>
              <w:spacing w:after="0"/>
              <w:rPr>
                <w:sz w:val="20"/>
                <w:szCs w:val="20"/>
                <w:color w:val="auto"/>
              </w:rPr>
            </w:pPr>
          </w:p>
        </w:tc>
        <w:tc>
          <w:tcPr>
            <w:tcW w:w="2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205,844</w:t>
            </w:r>
          </w:p>
        </w:tc>
        <w:tc>
          <w:tcPr>
            <w:tcW w:w="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gridSpan w:val="2"/>
            <w:shd w:val="clear" w:color="auto" w:fill="CFF0FC"/>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688"/>
        </w:trPr>
        <w:tc>
          <w:tcPr>
            <w:tcW w:w="1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140" w:type="dxa"/>
            <w:vAlign w:val="bottom"/>
          </w:tcPr>
          <w:p>
            <w:pPr>
              <w:jc w:val="right"/>
              <w:ind w:right="490"/>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-1808480</wp:posOffset>
            </wp:positionV>
            <wp:extent cx="603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-1808480</wp:posOffset>
            </wp:positionV>
            <wp:extent cx="514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-1808480</wp:posOffset>
            </wp:positionV>
            <wp:extent cx="514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-530860</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-530860</wp:posOffset>
            </wp:positionV>
            <wp:extent cx="514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-530860</wp:posOffset>
            </wp:positionV>
            <wp:extent cx="514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10. License and 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Emory University (Emory)</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June 2018, the Company entered into a license agreement with Emory (the Emory License Agreement), pursuant to which Emory granted the Company a worldwide, sublicenseable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In June 2022, the license to such patents became non-exclusive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spacing w:after="0" w:line="71"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$0.2 million,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terminates one year from the effective date, with the Company having an option to extend for a second year. In connection with the research plan, the Company will provide Emory funding up to $0.3 million per year.</w:t>
      </w:r>
    </w:p>
    <w:p>
      <w:pPr>
        <w:spacing w:after="0" w:line="87"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The Company has agreed to pay Emory up to an aggregate of $125.0 million upon the achievement of specified development, regulatory, and commercial milestones, and all ongoing patent costs. During the year ended December 31, 2022, the Company had $0.2 million expenses related to milestone payments. During the year ended December 31, 2021, the Company made a payment of $0.2 million in relation to milestone payments. The Company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span a range of percentage rates within the mid-single digits if a Phase 1 clinical trial is initiated for the product within three years of the effective date of the Emory License Agreement, and range from a low-single digit to a mid-single digit rate if a Phase 1 clinical trial is initiated more than three years after the effective date. During the years ended December 31, 2022 and December 31, 2021, the Company made no payments associated with royalties.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Luxna Biotech Co., Ltd. (Luxna)</w:t>
      </w:r>
    </w:p>
    <w:p>
      <w:pPr>
        <w:spacing w:after="0" w:line="117"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On December 19, 2018, the Company entered into a license agreement with Luxna, pursuant to which Luxna granted the Company an exclusive, worldwide, sublicenseable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NASH, which the Company may select at any time during the first eight years of the term, to the extent not licensed to a third party, and (iii) products containing oligonucleotides targeting up to three genes which contribute to hepatocellular carcinoma, which the Company may select at any time during the first three years of the term. As consideration for this agreement, the Company paid an upfront license fee of $0.6 million.</w:t>
      </w:r>
    </w:p>
    <w:p>
      <w:pPr>
        <w:spacing w:after="0" w:line="8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In April 2020, the Company amended the license agreement with Luxna. Pursuant to the amended license agreement, Luxna granted the Company an exclusive, worldwide license under the licensed patents to research, develop, make, have made and commercialize products containing oligonucleotides targeting three families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9" w:name="page130"/>
    <w:bookmarkEnd w:id="129"/>
    <w:p>
      <w:pPr>
        <w:ind w:right="560"/>
        <w:spacing w:after="0" w:line="277" w:lineRule="auto"/>
        <w:rPr>
          <w:sz w:val="20"/>
          <w:szCs w:val="20"/>
          <w:color w:val="auto"/>
        </w:rPr>
      </w:pPr>
      <w:r>
        <w:rPr>
          <w:rFonts w:ascii="Arial" w:cs="Arial" w:eastAsia="Arial" w:hAnsi="Arial"/>
          <w:sz w:val="18"/>
          <w:szCs w:val="18"/>
          <w:color w:val="auto"/>
        </w:rPr>
        <w:t>viruses: Orthomyxoviridae, Paramyxoviridae, and Coronaviridae (a family which includes SARS-CoV-2). As consideration for the amended license agreement, the Company paid Luxna a one-time non-refundable fee of $0.2 million in April 2020.</w:t>
      </w:r>
    </w:p>
    <w:p>
      <w:pPr>
        <w:spacing w:after="0" w:line="62"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The Company is obligated to make payments to Luxna, in aggregate, totaling up to but no more than $55.5 million upon the achievement of specified development, regulatory, and commercial milestones. During the year ended December 31, 2022, the Company did not make any milestone payments, and in the year ended December 31, 2021, the Company recognized $0.5 million in milestone payments. The Company is also required to pay Luxna a low-single digit royalty percentage on net sale of applicable products, if any. During the years ended December 31, 2022 and December 31, 2021, the Company made no payments associated with royalties.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Katholieke Universiteit Leuven (KU Leuven)</w:t>
      </w:r>
    </w:p>
    <w:p>
      <w:pPr>
        <w:spacing w:after="0" w:line="117"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On June 25, 2020, the Company entered into a Research, Licensing and Commercialization Agreement (KU Leuven Agreement) with KU Leuven, under which the Company is collaborating with KU Leuven’s Rega Institute for Medical Research, as well as its Centre for Drug Design and Discovery, to research and develop potential protease inhibitors for the treatment, diagnosis or prevention of coronaviruses, including of SARS-CoV-2. Unless terminated earlier by either party in accordance with provisions in the agreement, the collaboration period will terminate at the earlier of completion of all collaboration activities or 2.5 years.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KU Leuven granted to the Company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the Company is obligated to make payments to KU Leuven, in aggregate, totaling up to but no more than $30.0 million upon the achievement of certain commercial sales milestones. For each licensed product developed through KU Leuven and the Company’s collaborative effort, the Company is obligated to make payments to KU Leuven, in aggregate, totaling up to $32.0 million upon the achievement of certain development and regulatory milestones. The Company is also required to pay KU Leuven a low-to-mid-single digit royalty percentage, subject to certain adjustments, on net sales of applicable products, if any.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 years after the first commercial sale of a licensed product. During the years ended December 31, 2022 and December 31, 2021, the Company recognized no expenses related to milestone payments.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Merck</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In December 2020, the Company and Merck Sharp &amp; Dohme Corp. (Merck), a subsidiary of Merck &amp; Co., Inc., entered into an exclusive License and Research Collaboration Agreement (Original Agreement) under which Merck and the Company agreed to apply the Company’s oligonucleotide platform technology to discover, research, optimize and develop oligonucleotides directed against a NASH target and up to one additional liver-targeted cardiometabolic and/or fibrosis target. Under the terms of the Original Agreement, the Company received an upfront payment of $12 million from Merck. With respect to the collaboration target, the Company is eligible to receive up to $458.0 million in development and commercialization milestones as well as tiered royalties on net sales of licensed products. These potential payments consist of (i) potential development milestones (such as for the first dosing of an animal specimen in a Good Laboratory Practice toxicology study, and initiation of Phase 1, 2 and 3 clinical trials), (ii) regulatory milestones (such as for marketing authorizations for a product in certain countries) and (iii) sales-based milestones. The Company is primarily responsible for designing, preparing and evaluating the oligonucleotide molecules and delivering optimized lead molecules, and Merck is responsible for subsequent research, clinical development and commercialization efforts.</w:t>
      </w:r>
    </w:p>
    <w:p>
      <w:pPr>
        <w:spacing w:after="0" w:line="77"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In January 2022, the Company and Merck entered into an amendment to the exclusive License and Research Collaboration Agreement (the First Amendment, together with the Original Agreement, the Expanded Arrangement). As a result of the First Amendment, our collaboration with Merck was expanded to include our grant of rights to Merck of an early-stage program with respect to a second undisclosed NASH target, on which the Company had previously been working independently. In addition, under this Expanded Arrangement, Merck has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0" w:name="page131"/>
    <w:bookmarkEnd w:id="130"/>
    <w:p>
      <w:pPr>
        <w:spacing w:after="0" w:line="285" w:lineRule="auto"/>
        <w:rPr>
          <w:sz w:val="20"/>
          <w:szCs w:val="20"/>
          <w:color w:val="auto"/>
        </w:rPr>
      </w:pPr>
      <w:r>
        <w:rPr>
          <w:rFonts w:ascii="Arial" w:cs="Arial" w:eastAsia="Arial" w:hAnsi="Arial"/>
          <w:sz w:val="16"/>
          <w:szCs w:val="16"/>
          <w:color w:val="auto"/>
        </w:rPr>
        <w:t>the ability to add an additional third target of interest in the cardiometabolic/fibrosis space to the collaboration. This right to add an additional third target expired in January 2023. Under the Expanded Arrangement, the Company received an upfront payment of $15 million from Merck for our grant of rights to the program directed at a second undisclosed NASH target. Moreover, the Company may receive an additional payment of $15 million from Merck if Merck elects to designate a third target for collaboration. With respect to the second target in the collaboration, the Company is eligible to receive up to approximately $460.0 million in development and commercialization milestones as well as tiered royalties on net sales. These potential payments consist of</w:t>
      </w:r>
    </w:p>
    <w:p>
      <w:pPr>
        <w:spacing w:after="0" w:line="2" w:lineRule="exact"/>
        <w:rPr>
          <w:sz w:val="20"/>
          <w:szCs w:val="20"/>
          <w:color w:val="auto"/>
        </w:rPr>
      </w:pPr>
    </w:p>
    <w:p>
      <w:pPr>
        <w:ind w:right="220" w:firstLine="8"/>
        <w:spacing w:after="0" w:line="255" w:lineRule="auto"/>
        <w:tabs>
          <w:tab w:leader="none" w:pos="2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potential development milestones (such as for the first dosing of an animal specimen in a Good Laboratory Practice toxicology study, and initiation of Phase 1, 2 and 3 clinical trials), (ii) regulatory milestones (such as for marketing authorizations for a product in certain countries) and (iii) sales-based milestones.</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February 2023, Merck provided to the Company written notice of termination for one of the targets in the collaboration.</w:t>
      </w:r>
    </w:p>
    <w:p>
      <w:pPr>
        <w:spacing w:after="0" w:line="117" w:lineRule="exact"/>
        <w:rPr>
          <w:sz w:val="20"/>
          <w:szCs w:val="20"/>
          <w:color w:val="auto"/>
        </w:rPr>
      </w:pPr>
    </w:p>
    <w:p>
      <w:pPr>
        <w:jc w:val="both"/>
        <w:ind w:right="100" w:firstLine="509"/>
        <w:spacing w:after="0" w:line="287" w:lineRule="auto"/>
        <w:rPr>
          <w:sz w:val="20"/>
          <w:szCs w:val="20"/>
          <w:color w:val="auto"/>
        </w:rPr>
      </w:pPr>
      <w:r>
        <w:rPr>
          <w:rFonts w:ascii="Arial" w:cs="Arial" w:eastAsia="Arial" w:hAnsi="Arial"/>
          <w:sz w:val="16"/>
          <w:szCs w:val="16"/>
          <w:color w:val="auto"/>
        </w:rPr>
        <w:t>The Company determined that the Original Agreement and First Amendment fall within the scope of ASC 808, Collaborative Arrangements (ASC 808), due to Merck and the Company being joint active participants, as well as both parties having significant risks and rewards. The Company analogized to ASC 606, Revenue from Contracts with Customers (ASC 606), for the accounting of payments including upfront payments and other milestones.</w:t>
      </w:r>
    </w:p>
    <w:p>
      <w:pPr>
        <w:spacing w:after="0" w:line="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Management of the Company determined that there was one performance obligation for each of the agreements given the deliverables are not distinct. The Company evaluated the performance obligation within each agreement and determined the performance obligations are satisfied over time as Merck jointly owns any collaboration intellectual property that is developed during the research term. Given the nature of the arrangements, the Company believes that the satisfaction of its performance obligations is best measured by the progress of its efforts. As such, the Company has used an input method based on costs incurred to recognize revenue associated with the upfront payments. This assessment is performed separately for each of the Original Agreement and the First Amendment,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spacing w:after="0" w:line="78"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During the years ended December 31, 2022, and 2021, the Company recognized $13.9 million and $4.4 million in revenue from collaborative arrangements related to upfront payments. During the years ended December 31, 2022, and 2021, the Company recognized no revenue from collaborative arrangements related to milestone payments. The unrecognized portion of the upfront payments received during the years ended December 31, 2022 and 2021 is recorded on the consolidated balance sheets as “Deferred revenue from collaborations”.</w:t>
      </w:r>
    </w:p>
    <w:p>
      <w:pPr>
        <w:spacing w:after="0" w:line="63"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Changes in deferred revenue balances arose as a result of the Company recognizing the following revenue from collaborative arrangements during the periods below (in thousands):</w:t>
      </w:r>
    </w:p>
    <w:p>
      <w:pPr>
        <w:spacing w:after="0" w:line="283"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5080</wp:posOffset>
            </wp:positionV>
            <wp:extent cx="196278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3520" w:type="dxa"/>
            <w:vAlign w:val="bottom"/>
            <w:gridSpan w:val="2"/>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from collaborations as of January 1</w:t>
            </w:r>
          </w:p>
        </w:tc>
        <w:tc>
          <w:tcPr>
            <w:tcW w:w="3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7,641</w:t>
            </w:r>
          </w:p>
        </w:tc>
        <w:tc>
          <w:tcPr>
            <w:tcW w:w="5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Consideration received in the year</w:t>
            </w:r>
          </w:p>
        </w:tc>
        <w:tc>
          <w:tcPr>
            <w:tcW w:w="3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15,000</w:t>
            </w:r>
          </w:p>
        </w:tc>
        <w:tc>
          <w:tcPr>
            <w:tcW w:w="5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from collaborations recognized in the year</w:t>
            </w:r>
          </w:p>
        </w:tc>
        <w:tc>
          <w:tcPr>
            <w:tcW w:w="32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(13,898 )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(4,359 )</w:t>
            </w:r>
          </w:p>
        </w:tc>
        <w:tc>
          <w:tcPr>
            <w:tcW w:w="0" w:type="dxa"/>
            <w:vAlign w:val="bottom"/>
          </w:tcPr>
          <w:p>
            <w:pPr>
              <w:spacing w:after="0"/>
              <w:rPr>
                <w:sz w:val="1"/>
                <w:szCs w:val="1"/>
                <w:color w:val="auto"/>
              </w:rPr>
            </w:pPr>
          </w:p>
        </w:tc>
      </w:tr>
      <w:tr>
        <w:trPr>
          <w:trHeight w:val="236"/>
        </w:trPr>
        <w:tc>
          <w:tcPr>
            <w:tcW w:w="48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Deferred revenue from collaborations as of December 31</w:t>
            </w:r>
          </w:p>
        </w:tc>
        <w:tc>
          <w:tcPr>
            <w:tcW w:w="322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8,743</w:t>
            </w:r>
          </w:p>
        </w:tc>
        <w:tc>
          <w:tcPr>
            <w:tcW w:w="52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20" w:type="dxa"/>
            <w:vAlign w:val="bottom"/>
            <w:vMerge w:val="restart"/>
          </w:tcPr>
          <w:p>
            <w:pPr>
              <w:jc w:val="right"/>
              <w:ind w:right="2190"/>
              <w:spacing w:after="0"/>
              <w:rPr>
                <w:sz w:val="20"/>
                <w:szCs w:val="20"/>
                <w:color w:val="auto"/>
              </w:rPr>
            </w:pPr>
            <w:r>
              <w:rPr>
                <w:rFonts w:ascii="Arial" w:cs="Arial" w:eastAsia="Arial" w:hAnsi="Arial"/>
                <w:sz w:val="18"/>
                <w:szCs w:val="18"/>
                <w:color w:val="auto"/>
              </w:rPr>
              <w:t>126</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8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-685165</wp:posOffset>
            </wp:positionV>
            <wp:extent cx="68580" cy="1885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current provision for income taxes were as follows for the years ended December 31, 2022 and 2021:</w:t>
      </w:r>
    </w:p>
    <w:p>
      <w:pPr>
        <w:spacing w:after="0" w:line="284"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36"/>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7"/>
        </w:trPr>
        <w:tc>
          <w:tcPr>
            <w:tcW w:w="5340" w:type="dxa"/>
            <w:vAlign w:val="bottom"/>
          </w:tcPr>
          <w:p>
            <w:pPr>
              <w:ind w:left="180"/>
              <w:spacing w:after="0"/>
              <w:rPr>
                <w:sz w:val="20"/>
                <w:szCs w:val="20"/>
                <w:color w:val="auto"/>
              </w:rPr>
            </w:pPr>
            <w:r>
              <w:rPr>
                <w:rFonts w:ascii="Arial" w:cs="Arial" w:eastAsia="Arial" w:hAnsi="Arial"/>
                <w:sz w:val="18"/>
                <w:szCs w:val="18"/>
                <w:color w:val="auto"/>
              </w:rPr>
              <w:t>State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9"/>
        </w:trPr>
        <w:tc>
          <w:tcPr>
            <w:tcW w:w="5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r>
      <w:tr>
        <w:trPr>
          <w:trHeight w:val="237"/>
        </w:trPr>
        <w:tc>
          <w:tcPr>
            <w:tcW w:w="5340" w:type="dxa"/>
            <w:vAlign w:val="bottom"/>
          </w:tcPr>
          <w:p>
            <w:pPr>
              <w:ind w:left="18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20"/>
                <w:szCs w:val="20"/>
                <w:color w:val="auto"/>
              </w:rPr>
            </w:pPr>
          </w:p>
        </w:tc>
      </w:tr>
      <w:tr>
        <w:trPr>
          <w:trHeight w:val="237"/>
        </w:trPr>
        <w:tc>
          <w:tcPr>
            <w:tcW w:w="53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current provision for income taxes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80" w:type="dxa"/>
            <w:vAlign w:val="bottom"/>
            <w:tcBorders>
              <w:bottom w:val="single" w:sz="8" w:color="CFF0FC"/>
            </w:tcBorders>
            <w:shd w:val="clear" w:color="auto" w:fill="CFF0FC"/>
          </w:tcPr>
          <w:p>
            <w:pPr>
              <w:spacing w:after="0"/>
              <w:rPr>
                <w:sz w:val="20"/>
                <w:szCs w:val="20"/>
                <w:color w:val="auto"/>
              </w:rPr>
            </w:pPr>
          </w:p>
        </w:tc>
      </w:tr>
      <w:tr>
        <w:trPr>
          <w:trHeight w:val="479"/>
        </w:trPr>
        <w:tc>
          <w:tcPr>
            <w:tcW w:w="5340" w:type="dxa"/>
            <w:vAlign w:val="bottom"/>
          </w:tcPr>
          <w:p>
            <w:pPr>
              <w:spacing w:after="0"/>
              <w:rPr>
                <w:sz w:val="20"/>
                <w:szCs w:val="20"/>
                <w:color w:val="auto"/>
              </w:rPr>
            </w:pPr>
            <w:r>
              <w:rPr>
                <w:rFonts w:ascii="Arial" w:cs="Arial" w:eastAsia="Arial" w:hAnsi="Arial"/>
                <w:sz w:val="18"/>
                <w:szCs w:val="18"/>
                <w:color w:val="auto"/>
              </w:rPr>
              <w:t>Deferred:</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5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r>
      <w:tr>
        <w:trPr>
          <w:trHeight w:val="237"/>
        </w:trPr>
        <w:tc>
          <w:tcPr>
            <w:tcW w:w="5340" w:type="dxa"/>
            <w:vAlign w:val="bottom"/>
          </w:tcPr>
          <w:p>
            <w:pPr>
              <w:ind w:left="180"/>
              <w:spacing w:after="0"/>
              <w:rPr>
                <w:sz w:val="20"/>
                <w:szCs w:val="20"/>
                <w:color w:val="auto"/>
              </w:rPr>
            </w:pPr>
            <w:r>
              <w:rPr>
                <w:rFonts w:ascii="Arial" w:cs="Arial" w:eastAsia="Arial" w:hAnsi="Arial"/>
                <w:sz w:val="18"/>
                <w:szCs w:val="18"/>
                <w:color w:val="auto"/>
              </w:rPr>
              <w:t>Federal</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43"/>
        </w:trPr>
        <w:tc>
          <w:tcPr>
            <w:tcW w:w="5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340" w:type="dxa"/>
            <w:vAlign w:val="bottom"/>
          </w:tcPr>
          <w:p>
            <w:pPr>
              <w:ind w:left="360"/>
              <w:spacing w:after="0"/>
              <w:rPr>
                <w:sz w:val="20"/>
                <w:szCs w:val="20"/>
                <w:color w:val="auto"/>
              </w:rPr>
            </w:pPr>
            <w:r>
              <w:rPr>
                <w:rFonts w:ascii="Arial" w:cs="Arial" w:eastAsia="Arial" w:hAnsi="Arial"/>
                <w:sz w:val="18"/>
                <w:szCs w:val="18"/>
                <w:color w:val="auto"/>
              </w:rPr>
              <w:t>Total deferred provision for income taxes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-950595</wp:posOffset>
            </wp:positionV>
            <wp:extent cx="51435" cy="316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31686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-950595</wp:posOffset>
            </wp:positionV>
            <wp:extent cx="43180" cy="3168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3180" cy="31686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51435" cy="1714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1714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did not have any deferred provision for income taxes for the years ended December 31, 2022 and 2021.</w:t>
      </w:r>
    </w:p>
    <w:p>
      <w:pPr>
        <w:spacing w:after="0" w:line="225"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A reconciliation of the expected income tax (benefit) computed using the federal statutory income tax rate to the Company’s effective income tax rate is as follows for the years ended December 31, 2022 and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4"/>
        </w:trPr>
        <w:tc>
          <w:tcPr>
            <w:tcW w:w="170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tax computed at federal statutory rate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21.00</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42"/>
        </w:trPr>
        <w:tc>
          <w:tcPr>
            <w:tcW w:w="1700" w:type="dxa"/>
            <w:vAlign w:val="bottom"/>
          </w:tcPr>
          <w:p>
            <w:pPr>
              <w:spacing w:after="0"/>
              <w:rPr>
                <w:sz w:val="21"/>
                <w:szCs w:val="21"/>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State taxes, net of federal benefit</w:t>
            </w:r>
          </w:p>
        </w:tc>
        <w:tc>
          <w:tcPr>
            <w:tcW w:w="2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6.95 %</w:t>
            </w:r>
          </w:p>
        </w:tc>
        <w:tc>
          <w:tcPr>
            <w:tcW w:w="260" w:type="dxa"/>
            <w:vAlign w:val="bottom"/>
          </w:tcPr>
          <w:p>
            <w:pPr>
              <w:spacing w:after="0"/>
              <w:rPr>
                <w:sz w:val="21"/>
                <w:szCs w:val="21"/>
                <w:color w:val="auto"/>
              </w:rPr>
            </w:pPr>
          </w:p>
        </w:tc>
        <w:tc>
          <w:tcPr>
            <w:tcW w:w="2640" w:type="dxa"/>
            <w:vAlign w:val="bottom"/>
            <w:gridSpan w:val="3"/>
          </w:tcPr>
          <w:p>
            <w:pPr>
              <w:jc w:val="right"/>
              <w:ind w:right="1600"/>
              <w:spacing w:after="0"/>
              <w:rPr>
                <w:sz w:val="20"/>
                <w:szCs w:val="20"/>
                <w:color w:val="auto"/>
              </w:rPr>
            </w:pPr>
            <w:r>
              <w:rPr>
                <w:rFonts w:ascii="Arial" w:cs="Arial" w:eastAsia="Arial" w:hAnsi="Arial"/>
                <w:sz w:val="18"/>
                <w:szCs w:val="18"/>
                <w:color w:val="auto"/>
              </w:rPr>
              <w:t>6.91 %</w:t>
            </w:r>
          </w:p>
        </w:tc>
      </w:tr>
      <w:tr>
        <w:trPr>
          <w:trHeight w:val="243"/>
        </w:trPr>
        <w:tc>
          <w:tcPr>
            <w:tcW w:w="1700" w:type="dxa"/>
            <w:vAlign w:val="bottom"/>
          </w:tcPr>
          <w:p>
            <w:pPr>
              <w:spacing w:after="0"/>
              <w:rPr>
                <w:sz w:val="21"/>
                <w:szCs w:val="21"/>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R&amp;D credit carryovers</w:t>
            </w:r>
          </w:p>
        </w:tc>
        <w:tc>
          <w:tcPr>
            <w:tcW w:w="2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1.25 %</w:t>
            </w:r>
          </w:p>
        </w:tc>
        <w:tc>
          <w:tcPr>
            <w:tcW w:w="260" w:type="dxa"/>
            <w:vAlign w:val="bottom"/>
          </w:tcPr>
          <w:p>
            <w:pPr>
              <w:spacing w:after="0"/>
              <w:rPr>
                <w:sz w:val="21"/>
                <w:szCs w:val="21"/>
                <w:color w:val="auto"/>
              </w:rPr>
            </w:pPr>
          </w:p>
        </w:tc>
        <w:tc>
          <w:tcPr>
            <w:tcW w:w="2640" w:type="dxa"/>
            <w:vAlign w:val="bottom"/>
            <w:gridSpan w:val="3"/>
          </w:tcPr>
          <w:p>
            <w:pPr>
              <w:jc w:val="right"/>
              <w:ind w:right="1600"/>
              <w:spacing w:after="0"/>
              <w:rPr>
                <w:sz w:val="20"/>
                <w:szCs w:val="20"/>
                <w:color w:val="auto"/>
              </w:rPr>
            </w:pPr>
            <w:r>
              <w:rPr>
                <w:rFonts w:ascii="Arial" w:cs="Arial" w:eastAsia="Arial" w:hAnsi="Arial"/>
                <w:sz w:val="18"/>
                <w:szCs w:val="18"/>
                <w:color w:val="auto"/>
              </w:rPr>
              <w:t>0.90 %</w:t>
            </w:r>
          </w:p>
        </w:tc>
      </w:tr>
      <w:tr>
        <w:trPr>
          <w:trHeight w:val="243"/>
        </w:trPr>
        <w:tc>
          <w:tcPr>
            <w:tcW w:w="1700" w:type="dxa"/>
            <w:vAlign w:val="bottom"/>
          </w:tcPr>
          <w:p>
            <w:pPr>
              <w:spacing w:after="0"/>
              <w:rPr>
                <w:sz w:val="21"/>
                <w:szCs w:val="21"/>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2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-26.32 %</w:t>
            </w:r>
          </w:p>
        </w:tc>
        <w:tc>
          <w:tcPr>
            <w:tcW w:w="260" w:type="dxa"/>
            <w:vAlign w:val="bottom"/>
          </w:tcPr>
          <w:p>
            <w:pPr>
              <w:spacing w:after="0"/>
              <w:rPr>
                <w:sz w:val="21"/>
                <w:szCs w:val="21"/>
                <w:color w:val="auto"/>
              </w:rPr>
            </w:pPr>
          </w:p>
        </w:tc>
        <w:tc>
          <w:tcPr>
            <w:tcW w:w="2640" w:type="dxa"/>
            <w:vAlign w:val="bottom"/>
            <w:gridSpan w:val="3"/>
          </w:tcPr>
          <w:p>
            <w:pPr>
              <w:jc w:val="right"/>
              <w:ind w:right="1600"/>
              <w:spacing w:after="0"/>
              <w:rPr>
                <w:sz w:val="20"/>
                <w:szCs w:val="20"/>
                <w:color w:val="auto"/>
              </w:rPr>
            </w:pPr>
            <w:r>
              <w:rPr>
                <w:rFonts w:ascii="Arial" w:cs="Arial" w:eastAsia="Arial" w:hAnsi="Arial"/>
                <w:sz w:val="18"/>
                <w:szCs w:val="18"/>
                <w:color w:val="auto"/>
              </w:rPr>
              <w:t>-27.42 %</w:t>
            </w:r>
          </w:p>
        </w:tc>
      </w:tr>
      <w:tr>
        <w:trPr>
          <w:trHeight w:val="243"/>
        </w:trPr>
        <w:tc>
          <w:tcPr>
            <w:tcW w:w="1700" w:type="dxa"/>
            <w:vAlign w:val="bottom"/>
          </w:tcPr>
          <w:p>
            <w:pPr>
              <w:spacing w:after="0"/>
              <w:rPr>
                <w:sz w:val="21"/>
                <w:szCs w:val="21"/>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Stock based compensation</w:t>
            </w:r>
          </w:p>
        </w:tc>
        <w:tc>
          <w:tcPr>
            <w:tcW w:w="2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-1.08 %</w:t>
            </w:r>
          </w:p>
        </w:tc>
        <w:tc>
          <w:tcPr>
            <w:tcW w:w="260" w:type="dxa"/>
            <w:vAlign w:val="bottom"/>
          </w:tcPr>
          <w:p>
            <w:pPr>
              <w:spacing w:after="0"/>
              <w:rPr>
                <w:sz w:val="21"/>
                <w:szCs w:val="21"/>
                <w:color w:val="auto"/>
              </w:rPr>
            </w:pPr>
          </w:p>
        </w:tc>
        <w:tc>
          <w:tcPr>
            <w:tcW w:w="2640" w:type="dxa"/>
            <w:vAlign w:val="bottom"/>
            <w:gridSpan w:val="3"/>
          </w:tcPr>
          <w:p>
            <w:pPr>
              <w:jc w:val="right"/>
              <w:ind w:right="1600"/>
              <w:spacing w:after="0"/>
              <w:rPr>
                <w:sz w:val="20"/>
                <w:szCs w:val="20"/>
                <w:color w:val="auto"/>
              </w:rPr>
            </w:pPr>
            <w:r>
              <w:rPr>
                <w:rFonts w:ascii="Arial" w:cs="Arial" w:eastAsia="Arial" w:hAnsi="Arial"/>
                <w:sz w:val="18"/>
                <w:szCs w:val="18"/>
                <w:color w:val="auto"/>
              </w:rPr>
              <w:t>-1.19 %</w:t>
            </w:r>
          </w:p>
        </w:tc>
      </w:tr>
      <w:tr>
        <w:trPr>
          <w:trHeight w:val="243"/>
        </w:trPr>
        <w:tc>
          <w:tcPr>
            <w:tcW w:w="1700" w:type="dxa"/>
            <w:vAlign w:val="bottom"/>
          </w:tcPr>
          <w:p>
            <w:pPr>
              <w:spacing w:after="0"/>
              <w:rPr>
                <w:sz w:val="21"/>
                <w:szCs w:val="21"/>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Permanent differences</w:t>
            </w:r>
          </w:p>
        </w:tc>
        <w:tc>
          <w:tcPr>
            <w:tcW w:w="2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-1.91 %</w:t>
            </w:r>
          </w:p>
        </w:tc>
        <w:tc>
          <w:tcPr>
            <w:tcW w:w="260" w:type="dxa"/>
            <w:vAlign w:val="bottom"/>
          </w:tcPr>
          <w:p>
            <w:pPr>
              <w:spacing w:after="0"/>
              <w:rPr>
                <w:sz w:val="21"/>
                <w:szCs w:val="21"/>
                <w:color w:val="auto"/>
              </w:rPr>
            </w:pPr>
          </w:p>
        </w:tc>
        <w:tc>
          <w:tcPr>
            <w:tcW w:w="2640" w:type="dxa"/>
            <w:vAlign w:val="bottom"/>
            <w:gridSpan w:val="3"/>
          </w:tcPr>
          <w:p>
            <w:pPr>
              <w:jc w:val="right"/>
              <w:ind w:right="1600"/>
              <w:spacing w:after="0"/>
              <w:rPr>
                <w:sz w:val="20"/>
                <w:szCs w:val="20"/>
                <w:color w:val="auto"/>
              </w:rPr>
            </w:pPr>
            <w:r>
              <w:rPr>
                <w:rFonts w:ascii="Arial" w:cs="Arial" w:eastAsia="Arial" w:hAnsi="Arial"/>
                <w:sz w:val="18"/>
                <w:szCs w:val="18"/>
                <w:color w:val="auto"/>
              </w:rPr>
              <w:t>-0.31 %</w:t>
            </w:r>
          </w:p>
        </w:tc>
      </w:tr>
      <w:tr>
        <w:trPr>
          <w:trHeight w:val="250"/>
        </w:trPr>
        <w:tc>
          <w:tcPr>
            <w:tcW w:w="170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Change in fair value of derivatives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0.00 %</w:t>
            </w:r>
          </w:p>
        </w:tc>
        <w:tc>
          <w:tcPr>
            <w:tcW w:w="260" w:type="dxa"/>
            <w:vAlign w:val="bottom"/>
          </w:tcPr>
          <w:p>
            <w:pPr>
              <w:spacing w:after="0"/>
              <w:rPr>
                <w:sz w:val="21"/>
                <w:szCs w:val="21"/>
                <w:color w:val="auto"/>
              </w:rPr>
            </w:pPr>
          </w:p>
        </w:tc>
        <w:tc>
          <w:tcPr>
            <w:tcW w:w="2640" w:type="dxa"/>
            <w:vAlign w:val="bottom"/>
            <w:gridSpan w:val="3"/>
          </w:tcPr>
          <w:p>
            <w:pPr>
              <w:jc w:val="right"/>
              <w:ind w:right="1600"/>
              <w:spacing w:after="0"/>
              <w:rPr>
                <w:sz w:val="20"/>
                <w:szCs w:val="20"/>
                <w:color w:val="auto"/>
              </w:rPr>
            </w:pPr>
            <w:r>
              <w:rPr>
                <w:rFonts w:ascii="Arial" w:cs="Arial" w:eastAsia="Arial" w:hAnsi="Arial"/>
                <w:sz w:val="18"/>
                <w:szCs w:val="18"/>
                <w:color w:val="auto"/>
              </w:rPr>
              <w:t>0.00 %</w:t>
            </w:r>
          </w:p>
        </w:tc>
      </w:tr>
      <w:tr>
        <w:trPr>
          <w:trHeight w:val="243"/>
        </w:trPr>
        <w:tc>
          <w:tcPr>
            <w:tcW w:w="170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453"/>
        </w:trPr>
        <w:tc>
          <w:tcPr>
            <w:tcW w:w="6980" w:type="dxa"/>
            <w:vAlign w:val="bottom"/>
            <w:gridSpan w:val="3"/>
          </w:tcPr>
          <w:p>
            <w:pPr>
              <w:ind w:left="520"/>
              <w:spacing w:after="0"/>
              <w:rPr>
                <w:sz w:val="20"/>
                <w:szCs w:val="20"/>
                <w:color w:val="auto"/>
              </w:rPr>
            </w:pPr>
            <w:r>
              <w:rPr>
                <w:rFonts w:ascii="Arial" w:cs="Arial" w:eastAsia="Arial" w:hAnsi="Arial"/>
                <w:sz w:val="18"/>
                <w:szCs w:val="18"/>
                <w:color w:val="auto"/>
                <w:w w:val="89"/>
              </w:rPr>
              <w:t>The components of the deferred tax assets and liabilities were as follows at December 31:</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45"/>
        </w:trPr>
        <w:tc>
          <w:tcPr>
            <w:tcW w:w="17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7"/>
        </w:trPr>
        <w:tc>
          <w:tcPr>
            <w:tcW w:w="1700" w:type="dxa"/>
            <w:vAlign w:val="bottom"/>
          </w:tcPr>
          <w:p>
            <w:pPr>
              <w:spacing w:after="0"/>
              <w:rPr>
                <w:sz w:val="20"/>
                <w:szCs w:val="20"/>
                <w:color w:val="auto"/>
              </w:rPr>
            </w:pPr>
          </w:p>
        </w:tc>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5280" w:type="dxa"/>
            <w:vAlign w:val="bottom"/>
            <w:gridSpan w:val="2"/>
          </w:tcPr>
          <w:p>
            <w:pPr>
              <w:ind w:left="180"/>
              <w:spacing w:after="0"/>
              <w:rPr>
                <w:sz w:val="20"/>
                <w:szCs w:val="20"/>
                <w:color w:val="auto"/>
              </w:rPr>
            </w:pPr>
            <w:r>
              <w:rPr>
                <w:rFonts w:ascii="Arial" w:cs="Arial" w:eastAsia="Arial" w:hAnsi="Arial"/>
                <w:sz w:val="18"/>
                <w:szCs w:val="18"/>
                <w:color w:val="auto"/>
              </w:rPr>
              <w:t>Net operating loss carryforward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82,775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72,425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52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4,057</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4,622</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5280" w:type="dxa"/>
            <w:vAlign w:val="bottom"/>
            <w:gridSpan w:val="2"/>
          </w:tcPr>
          <w:p>
            <w:pPr>
              <w:ind w:left="180"/>
              <w:spacing w:after="0"/>
              <w:rPr>
                <w:sz w:val="20"/>
                <w:szCs w:val="20"/>
                <w:color w:val="auto"/>
              </w:rPr>
            </w:pPr>
            <w:r>
              <w:rPr>
                <w:rFonts w:ascii="Arial" w:cs="Arial" w:eastAsia="Arial" w:hAnsi="Arial"/>
                <w:sz w:val="18"/>
                <w:szCs w:val="18"/>
                <w:color w:val="auto"/>
              </w:rPr>
              <w:t>Tax credits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8,025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6,177</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52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Other accruals and reserves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528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1,216</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52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5280" w:type="dxa"/>
            <w:vAlign w:val="bottom"/>
            <w:gridSpan w:val="2"/>
          </w:tcPr>
          <w:p>
            <w:pPr>
              <w:ind w:left="180"/>
              <w:spacing w:after="0"/>
              <w:rPr>
                <w:sz w:val="20"/>
                <w:szCs w:val="20"/>
                <w:color w:val="auto"/>
              </w:rPr>
            </w:pPr>
            <w:r>
              <w:rPr>
                <w:rFonts w:ascii="Arial" w:cs="Arial" w:eastAsia="Arial" w:hAnsi="Arial"/>
                <w:sz w:val="18"/>
                <w:szCs w:val="18"/>
                <w:color w:val="auto"/>
              </w:rPr>
              <w:t>Capitalized SEC 174 costs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14,138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528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0"/>
        </w:trPr>
        <w:tc>
          <w:tcPr>
            <w:tcW w:w="170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112,728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88,063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6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(109,560 )</w:t>
            </w:r>
          </w:p>
        </w:tc>
        <w:tc>
          <w:tcPr>
            <w:tcW w:w="2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(84,288 )</w:t>
            </w: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5280" w:type="dxa"/>
            <w:vAlign w:val="bottom"/>
            <w:tcBorders>
              <w:top w:val="single" w:sz="8" w:color="CFF0FC"/>
            </w:tcBorders>
            <w:gridSpan w:val="2"/>
          </w:tcPr>
          <w:p>
            <w:pPr>
              <w:ind w:left="360"/>
              <w:spacing w:after="0"/>
              <w:rPr>
                <w:sz w:val="20"/>
                <w:szCs w:val="20"/>
                <w:color w:val="auto"/>
              </w:rPr>
            </w:pPr>
            <w:r>
              <w:rPr>
                <w:rFonts w:ascii="Arial" w:cs="Arial" w:eastAsia="Arial" w:hAnsi="Arial"/>
                <w:sz w:val="18"/>
                <w:szCs w:val="18"/>
                <w:color w:val="auto"/>
              </w:rPr>
              <w:t>Net deferred tax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3,168</w:t>
            </w:r>
          </w:p>
        </w:tc>
        <w:tc>
          <w:tcPr>
            <w:tcW w:w="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0"/>
        </w:trPr>
        <w:tc>
          <w:tcPr>
            <w:tcW w:w="1700" w:type="dxa"/>
            <w:vAlign w:val="bottom"/>
          </w:tcPr>
          <w:p>
            <w:pPr>
              <w:spacing w:after="0"/>
              <w:rPr>
                <w:sz w:val="20"/>
                <w:szCs w:val="20"/>
                <w:color w:val="auto"/>
              </w:rPr>
            </w:pPr>
          </w:p>
        </w:tc>
        <w:tc>
          <w:tcPr>
            <w:tcW w:w="5280" w:type="dxa"/>
            <w:vAlign w:val="bottom"/>
            <w:gridSpan w:val="2"/>
          </w:tcPr>
          <w:p>
            <w:pPr>
              <w:ind w:left="180"/>
              <w:spacing w:after="0"/>
              <w:rPr>
                <w:sz w:val="20"/>
                <w:szCs w:val="20"/>
                <w:color w:val="auto"/>
              </w:rPr>
            </w:pPr>
            <w:r>
              <w:rPr>
                <w:rFonts w:ascii="Arial" w:cs="Arial" w:eastAsia="Arial" w:hAnsi="Arial"/>
                <w:sz w:val="18"/>
                <w:szCs w:val="18"/>
                <w:color w:val="auto"/>
              </w:rPr>
              <w:t>Right of use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30"/>
              <w:spacing w:after="0"/>
              <w:rPr>
                <w:sz w:val="20"/>
                <w:szCs w:val="20"/>
                <w:color w:val="auto"/>
              </w:rPr>
            </w:pPr>
            <w:r>
              <w:rPr>
                <w:rFonts w:ascii="Arial" w:cs="Arial" w:eastAsia="Arial" w:hAnsi="Arial"/>
                <w:sz w:val="18"/>
                <w:szCs w:val="18"/>
                <w:color w:val="auto"/>
              </w:rPr>
              <w:t>(2,803 )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(3,205 )</w:t>
            </w:r>
          </w:p>
        </w:tc>
        <w:tc>
          <w:tcPr>
            <w:tcW w:w="1680" w:type="dxa"/>
            <w:vAlign w:val="bottom"/>
          </w:tcPr>
          <w:p>
            <w:pPr>
              <w:spacing w:after="0"/>
              <w:rPr>
                <w:sz w:val="20"/>
                <w:szCs w:val="20"/>
                <w:color w:val="auto"/>
              </w:rPr>
            </w:pPr>
          </w:p>
        </w:tc>
      </w:tr>
      <w:tr>
        <w:trPr>
          <w:trHeight w:val="256"/>
        </w:trPr>
        <w:tc>
          <w:tcPr>
            <w:tcW w:w="1700" w:type="dxa"/>
            <w:vAlign w:val="bottom"/>
          </w:tcPr>
          <w:p>
            <w:pPr>
              <w:spacing w:after="0"/>
              <w:rPr>
                <w:sz w:val="22"/>
                <w:szCs w:val="22"/>
                <w:color w:val="auto"/>
              </w:rPr>
            </w:pPr>
          </w:p>
        </w:tc>
        <w:tc>
          <w:tcPr>
            <w:tcW w:w="52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FF0FC"/>
          </w:tcPr>
          <w:p>
            <w:pPr>
              <w:spacing w:after="0"/>
              <w:rPr>
                <w:sz w:val="22"/>
                <w:szCs w:val="22"/>
                <w:color w:val="auto"/>
              </w:rPr>
            </w:pPr>
          </w:p>
        </w:tc>
        <w:tc>
          <w:tcPr>
            <w:tcW w:w="110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2"/>
                <w:szCs w:val="22"/>
                <w:color w:val="auto"/>
              </w:rPr>
            </w:pPr>
          </w:p>
        </w:tc>
      </w:tr>
      <w:tr>
        <w:trPr>
          <w:trHeight w:val="237"/>
        </w:trPr>
        <w:tc>
          <w:tcPr>
            <w:tcW w:w="1700" w:type="dxa"/>
            <w:vAlign w:val="bottom"/>
          </w:tcPr>
          <w:p>
            <w:pPr>
              <w:spacing w:after="0"/>
              <w:rPr>
                <w:sz w:val="20"/>
                <w:szCs w:val="20"/>
                <w:color w:val="auto"/>
              </w:rPr>
            </w:pPr>
          </w:p>
        </w:tc>
        <w:tc>
          <w:tcPr>
            <w:tcW w:w="5280" w:type="dxa"/>
            <w:vAlign w:val="bottom"/>
            <w:gridSpan w:val="2"/>
          </w:tcPr>
          <w:p>
            <w:pPr>
              <w:ind w:left="180"/>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20"/>
                <w:szCs w:val="20"/>
                <w:color w:val="auto"/>
              </w:rPr>
            </w:pPr>
          </w:p>
        </w:tc>
        <w:tc>
          <w:tcPr>
            <w:tcW w:w="1100" w:type="dxa"/>
            <w:vAlign w:val="bottom"/>
            <w:gridSpan w:val="3"/>
          </w:tcPr>
          <w:p>
            <w:pPr>
              <w:jc w:val="right"/>
              <w:ind w:right="30"/>
              <w:spacing w:after="0"/>
              <w:rPr>
                <w:sz w:val="20"/>
                <w:szCs w:val="20"/>
                <w:color w:val="auto"/>
              </w:rPr>
            </w:pPr>
            <w:r>
              <w:rPr>
                <w:rFonts w:ascii="Arial" w:cs="Arial" w:eastAsia="Arial" w:hAnsi="Arial"/>
                <w:sz w:val="18"/>
                <w:szCs w:val="18"/>
                <w:color w:val="auto"/>
              </w:rPr>
              <w:t>(365 )</w:t>
            </w: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(570 )</w:t>
            </w:r>
          </w:p>
        </w:tc>
        <w:tc>
          <w:tcPr>
            <w:tcW w:w="16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528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Total deferred tax liabilities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(3,168</w:t>
            </w:r>
          </w:p>
        </w:tc>
        <w:tc>
          <w:tcPr>
            <w:tcW w:w="2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(3,775</w:t>
            </w:r>
          </w:p>
        </w:tc>
        <w:tc>
          <w:tcPr>
            <w:tcW w:w="80" w:type="dxa"/>
            <w:vAlign w:val="bottom"/>
            <w:shd w:val="clear" w:color="auto" w:fill="CFF0FC"/>
          </w:tcPr>
          <w:p>
            <w:pPr>
              <w:ind w:left="20"/>
              <w:spacing w:after="0"/>
              <w:rPr>
                <w:sz w:val="20"/>
                <w:szCs w:val="20"/>
                <w:color w:val="auto"/>
              </w:rPr>
            </w:pPr>
            <w:r>
              <w:rPr>
                <w:rFonts w:ascii="Arial" w:cs="Arial" w:eastAsia="Arial" w:hAnsi="Arial"/>
                <w:sz w:val="16"/>
                <w:szCs w:val="16"/>
                <w:color w:val="auto"/>
                <w:w w:val="74"/>
              </w:rPr>
              <w:t>)</w:t>
            </w:r>
          </w:p>
        </w:tc>
        <w:tc>
          <w:tcPr>
            <w:tcW w:w="1680" w:type="dxa"/>
            <w:vAlign w:val="bottom"/>
          </w:tcPr>
          <w:p>
            <w:pPr>
              <w:spacing w:after="0"/>
              <w:rPr>
                <w:sz w:val="21"/>
                <w:szCs w:val="21"/>
                <w:color w:val="auto"/>
              </w:rPr>
            </w:pPr>
          </w:p>
        </w:tc>
      </w:tr>
      <w:tr>
        <w:trPr>
          <w:trHeight w:val="236"/>
        </w:trPr>
        <w:tc>
          <w:tcPr>
            <w:tcW w:w="1700" w:type="dxa"/>
            <w:vAlign w:val="bottom"/>
          </w:tcPr>
          <w:p>
            <w:pPr>
              <w:spacing w:after="0"/>
              <w:rPr>
                <w:sz w:val="20"/>
                <w:szCs w:val="20"/>
                <w:color w:val="auto"/>
              </w:rPr>
            </w:pPr>
          </w:p>
        </w:tc>
        <w:tc>
          <w:tcPr>
            <w:tcW w:w="5280" w:type="dxa"/>
            <w:vAlign w:val="bottom"/>
            <w:gridSpan w:val="2"/>
          </w:tcPr>
          <w:p>
            <w:pPr>
              <w:ind w:left="360"/>
              <w:spacing w:after="0"/>
              <w:rPr>
                <w:sz w:val="20"/>
                <w:szCs w:val="20"/>
                <w:color w:val="auto"/>
              </w:rPr>
            </w:pPr>
            <w:r>
              <w:rPr>
                <w:rFonts w:ascii="Arial" w:cs="Arial" w:eastAsia="Arial" w:hAnsi="Arial"/>
                <w:sz w:val="18"/>
                <w:szCs w:val="18"/>
                <w:color w:val="auto"/>
              </w:rPr>
              <w:t>Total deferred income taxes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0"/>
                <w:szCs w:val="20"/>
                <w:color w:val="auto"/>
              </w:rPr>
            </w:pPr>
          </w:p>
        </w:tc>
      </w:tr>
      <w:tr>
        <w:trPr>
          <w:trHeight w:val="648"/>
        </w:trPr>
        <w:tc>
          <w:tcPr>
            <w:tcW w:w="6960" w:type="dxa"/>
            <w:vAlign w:val="bottom"/>
            <w:gridSpan w:val="2"/>
          </w:tcPr>
          <w:p>
            <w:pPr>
              <w:jc w:val="right"/>
              <w:ind w:right="1111"/>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2"/>
        </w:trPr>
        <w:tc>
          <w:tcPr>
            <w:tcW w:w="1700" w:type="dxa"/>
            <w:vAlign w:val="bottom"/>
            <w:tcBorders>
              <w:bottom w:val="single" w:sz="8" w:color="9A9A9A"/>
            </w:tcBorders>
          </w:tcPr>
          <w:p>
            <w:pPr>
              <w:spacing w:after="0"/>
              <w:rPr>
                <w:sz w:val="8"/>
                <w:szCs w:val="8"/>
                <w:color w:val="auto"/>
              </w:rPr>
            </w:pPr>
          </w:p>
        </w:tc>
        <w:tc>
          <w:tcPr>
            <w:tcW w:w="5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-5142865</wp:posOffset>
            </wp:positionV>
            <wp:extent cx="4989195"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-4834255</wp:posOffset>
            </wp:positionV>
            <wp:extent cx="4989195"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-4525645</wp:posOffset>
            </wp:positionV>
            <wp:extent cx="4989195" cy="1543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-4217035</wp:posOffset>
            </wp:positionV>
            <wp:extent cx="5001895" cy="3384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001895" cy="3384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-1919605</wp:posOffset>
            </wp:positionV>
            <wp:extent cx="43180" cy="162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3180" cy="16256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-1602740</wp:posOffset>
            </wp:positionV>
            <wp:extent cx="43180" cy="1714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-1602740</wp:posOffset>
            </wp:positionV>
            <wp:extent cx="43180" cy="171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2" w:name="page133"/>
    <w:bookmarkEnd w:id="132"/>
    <w:p>
      <w:pPr>
        <w:ind w:firstLine="509"/>
        <w:spacing w:after="0" w:line="273" w:lineRule="auto"/>
        <w:rPr>
          <w:sz w:val="20"/>
          <w:szCs w:val="20"/>
          <w:color w:val="auto"/>
        </w:rPr>
      </w:pPr>
      <w:r>
        <w:rPr>
          <w:rFonts w:ascii="Arial" w:cs="Arial" w:eastAsia="Arial" w:hAnsi="Arial"/>
          <w:sz w:val="17"/>
          <w:szCs w:val="17"/>
          <w:color w:val="auto"/>
        </w:rPr>
        <w:t>Management believes that, based on a number of factors, including the Company’s historical operating performance and accumulated deficit, it is more likely than not that the deferred tax assets will not be utilized, such that a full valuation allowance has been recorded against the Company’s deferred tax assets. In assessing the reliability of deferred tax assets, management considers whether it is more likely than not that some portion or all of the deferred tax assets will not be realized on a jurisdiction by jurisdiction basis. The ultimate realization of deferred tax assets is dependent upon the generation of future taxable income during the periods in which those temporary differences become deductible. The valuation allowance increased by $25.3 million and $35.2 million during the years ended December 31, 2022 and 2021, respectively.</w:t>
      </w:r>
    </w:p>
    <w:p>
      <w:pPr>
        <w:spacing w:after="0" w:line="178"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As of December 31, 2022, the Company had $272.4 million of federal and $352.7 million of state net operating loss (NOL) carryforwards available to offset future taxable income. The Company’s federal NOL carryforwards can be carried forward indefinitely while state NOL carryforwards, if not utilized, will begin expiring in 2038. As of December 31, 2022, the Company had $3.2 million of Australia NOL carryforwards, which carryforward indefinitely. As of December 31, 2022, the Company had research and development credit carryforwards of $7.9 million and $3.9 million available to reduce future taxable income, if any, for federal and state income tax purposes, respectively. If not utilized, the federal credit carryforwards will begin expiring in 2038. The California credit carryforwards have no expiration date. Under Sections 382 and 383 of the Code, and corresponding provisions of state law, if a corporation undergoes an “ownership change” (generally defined as a greater than 50 percentage point change (by value) in its equity ownership over a rolling three-year period), the Company’s ability to use its pre-change NOL carryforwards and other pre-change tax attributes to offset its post-change income may be limited. We performed a Code Section 382 analysis in 2021 and determined there was an ownership change that resulted in Section 382 limitations. The ownership change limited our ability to utilize NOLs against future taxable income but will not result in the expiration of any NOLs. We may in the future experience ownership changes as a result of changes in our stock ownership (some of which are not in our control). In addition, under current tax law, federal NOL carryforwards generated in periods after December 31, 2017, may be carried forward indefinitely but, in taxable years beginning after December 31, 2020, may only be used to offset 80% of our taxable income. For these reasons, our ability to utilize our NOL carryforwards and other tax attributes to reduce future tax liabilities may be limited.</w:t>
      </w:r>
    </w:p>
    <w:p>
      <w:pPr>
        <w:spacing w:after="0" w:line="184"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 xml:space="preserve">The Company adopted the provisions of FASB Accounting Standards Codification (ASC) 740-10,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upon the date of incorporation. ASC 740-10 prescribes a comprehensive model for the recognition, measurement, presentation and disclosure in financial statements of any uncertain tax positions that have been taken or expected to be taken on a tax return. It is the Company’s policy to include penalties and interest expense related to income taxes as a component of other expense and interest expense, respectively, as necessary. During the years ended December 31, 2022 and 2021, the Company had not recognized any tax-related penalties or interest. No liability related to uncertain tax positions is recorded on the financial statements related to uncertain tax positions.</w:t>
      </w:r>
    </w:p>
    <w:p>
      <w:pPr>
        <w:spacing w:after="0" w:line="23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3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the period</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2,441</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80" w:type="dxa"/>
            <w:vAlign w:val="bottom"/>
            <w:shd w:val="clear" w:color="auto" w:fill="CFF0FC"/>
          </w:tcPr>
          <w:p>
            <w:pPr>
              <w:spacing w:after="0"/>
              <w:rPr>
                <w:sz w:val="20"/>
                <w:szCs w:val="20"/>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Increase related to prior year positions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0"/>
                <w:szCs w:val="20"/>
                <w:color w:val="auto"/>
              </w:rPr>
            </w:pPr>
          </w:p>
        </w:tc>
      </w:tr>
      <w:tr>
        <w:trPr>
          <w:trHeight w:val="24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Increase / (decrease) related to current year positions</w:t>
            </w: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(28 )</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80" w:type="dxa"/>
            <w:vAlign w:val="bottom"/>
            <w:shd w:val="clear" w:color="auto" w:fill="CFF0FC"/>
          </w:tcPr>
          <w:p>
            <w:pPr>
              <w:spacing w:after="0"/>
              <w:rPr>
                <w:sz w:val="21"/>
                <w:szCs w:val="21"/>
                <w:color w:val="auto"/>
              </w:rPr>
            </w:pPr>
          </w:p>
        </w:tc>
      </w:tr>
      <w:tr>
        <w:trPr>
          <w:trHeight w:val="237"/>
        </w:trPr>
        <w:tc>
          <w:tcPr>
            <w:tcW w:w="53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ending of the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2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8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51435" cy="1714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171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209" w:lineRule="exact"/>
        <w:rPr>
          <w:sz w:val="20"/>
          <w:szCs w:val="20"/>
          <w:color w:val="auto"/>
        </w:rPr>
      </w:pPr>
    </w:p>
    <w:p>
      <w:pPr>
        <w:ind w:right="80" w:firstLine="509"/>
        <w:spacing w:after="0" w:line="342" w:lineRule="auto"/>
        <w:rPr>
          <w:sz w:val="20"/>
          <w:szCs w:val="20"/>
          <w:color w:val="auto"/>
        </w:rPr>
      </w:pPr>
      <w:r>
        <w:rPr>
          <w:rFonts w:ascii="Arial" w:cs="Arial" w:eastAsia="Arial" w:hAnsi="Arial"/>
          <w:sz w:val="16"/>
          <w:szCs w:val="16"/>
          <w:color w:val="auto"/>
        </w:rPr>
        <w:t>The Company does not expect that its uncertain tax positions will materially change in the next twelve months. The reversal of the uncertain tax benefits would not impact the Company's effective tax rate as the Company continues to maintain a full valuation allowance against its deferred tax assets.</w:t>
      </w:r>
    </w:p>
    <w:p>
      <w:pPr>
        <w:spacing w:after="0" w:line="16" w:lineRule="exact"/>
        <w:rPr>
          <w:sz w:val="20"/>
          <w:szCs w:val="20"/>
          <w:color w:val="auto"/>
        </w:rPr>
      </w:pPr>
    </w:p>
    <w:p>
      <w:pPr>
        <w:jc w:val="both"/>
        <w:ind w:right="160" w:firstLine="509"/>
        <w:spacing w:after="0" w:line="286" w:lineRule="auto"/>
        <w:rPr>
          <w:sz w:val="20"/>
          <w:szCs w:val="20"/>
          <w:color w:val="auto"/>
        </w:rPr>
      </w:pPr>
      <w:r>
        <w:rPr>
          <w:rFonts w:ascii="Arial" w:cs="Arial" w:eastAsia="Arial" w:hAnsi="Arial"/>
          <w:sz w:val="17"/>
          <w:szCs w:val="17"/>
          <w:color w:val="auto"/>
        </w:rPr>
        <w:t>The Company files income tax returns in the United States, including California, and other states, Australia, Belgium, and China. The Company is not currently under examination by income tax authorities in federal, state or other jurisdictions. All income tax returns will remain open for examination by the federal, state and foreign authorities for three or four years, from the date of utilization of any NOLs or credits.</w:t>
      </w:r>
    </w:p>
    <w:p>
      <w:pPr>
        <w:spacing w:after="0" w:line="57"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In January 2018, the FASB released guidance on the accounting for tax on the global intangible low-taxed income (GILTI) provisions of the Tax Cuts and Jobs Act of 2017. The GILTI provisions impose a tax on foreign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33" w:name="page134"/>
    <w:bookmarkEnd w:id="133"/>
    <w:p>
      <w:pPr>
        <w:ind w:right="20"/>
        <w:spacing w:after="0" w:line="259" w:lineRule="auto"/>
        <w:rPr>
          <w:sz w:val="20"/>
          <w:szCs w:val="20"/>
          <w:color w:val="auto"/>
        </w:rPr>
      </w:pPr>
      <w:r>
        <w:rPr>
          <w:rFonts w:ascii="Arial" w:cs="Arial" w:eastAsia="Arial" w:hAnsi="Arial"/>
          <w:sz w:val="18"/>
          <w:szCs w:val="18"/>
          <w:color w:val="auto"/>
        </w:rPr>
        <w:t>income in excess of a deemed return on tangible assets of foreign corporations. The guidance allows companies to make an accounting policy election to either (i) account for GILTI as a component of tax expense in the period in which they are subject to the rules (the period cost method), or (ii) account for GILTI in the Company’s measurement of deferred taxes (the deferred method). After completing the analysis of the GILTI provisions, the Company elected to account for GILTI using the period cost method.</w:t>
      </w:r>
    </w:p>
    <w:p>
      <w:pPr>
        <w:spacing w:after="0" w:line="18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On March 27, 2020, the Coronavirus Aid, Relief and Economic Security Act (the CARES Act) was signed into law. The CARES Act includes provisions relating to refundable payroll tax credits, deferment of the employer portion of certain payroll taxes, NOL carryback periods, alternative minimum tax credit refunds, modifications to the net interest deduction limitations and technical corrections to tax depreciation methods for qualified improvement property. The Company analyzed the provisions of the CARES Act and determined there was no significant impact to its income taxes for the year ended December 31, 2022.</w:t>
      </w:r>
    </w:p>
    <w:p>
      <w:pPr>
        <w:spacing w:after="0" w:line="18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On June 29, 2020, the California Governor signed into law Assembly Bill 85 (A.B. 85). A.B. 85, which includes several tax measures, provides for a three-year suspension of the use of NOLs for medium and large businesses and a three-year cap on the use of business incentive tax credits to offset no more than $5 million of tax per year. Generally, A.B. 85 suspends the use of NOLs for taxable years 2020, 2021, and 2022 for taxpayers with taxable income of $1 million or more. Since the Company did not generate California source taxable income of more than $1 million in taxable years 2020, 2021 or 2022, no impact resulted.</w:t>
      </w:r>
    </w:p>
    <w:p>
      <w:pPr>
        <w:spacing w:after="0" w:line="80"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On December 27, 2020, the Consolidated Appropriations Act, 2021 (the CAA) was signed into law. The CAA includes provisions meant to clarify and modify certain items put forth in the CARES Act, while providing aid to businesses affected by the pandemic. The CAA allows deductions for expenses paid for by the Paycheck Protection Program and Economic Injury Disaster Loan (EIDL) Program, clarifies forgiveness of EIDL advances, and includes other business provisions. The Company analyzed the provisions of the CAA and determined there was no significant impact to its 2022 tax provision.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From time to time, the Company may have certain contingent liabilities, including legal matters that arise in the ordinary course of its business activities. The Company accrues a liability for such matters when it is probable that future expenditures will be made, and such expenditures can be reasonably estimated. The Company had no contingent liabilities requiring accrual as of December 31, 2022 and 2021. The Company enters into contracts in the normal course of business that includes arrangements with clinical research organizations, vendors for preclinical research and vendors for manufacturing. These agreements generally allow for cancellation with notice. As of December 31, 2022, the Company had no material non-cancellable purchase commitments.</w:t>
      </w:r>
    </w:p>
    <w:p>
      <w:pPr>
        <w:spacing w:after="0" w:line="84"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On March 26, 2022, the Company received notice of a complaint (the Complaint) filed by Janssen Biopharma, LLC (Janssen), which generally concerned an alleged breach by certain of our employees of their obligations to Janssen as prior employees of Janssen by purporting to assign to Aligos various inventions allegedly owned by Janssen. The Complaint was filed on March 9, 2022 in the Superior Court of the State of California, County of San Mateo, against the Company, Lawrence M. Blatt, Chairman, Chief Executive Officer and Director of the Company, and Leonid Beigelman, President and Director of the Company. The Complaint alleges breach of contract by Lawrence M. Blatt and Leonid Beigelman and tortious interference with contract by the Company and seeks declaratory judgment of ownership of certain intellectual property by the Company, among other claims. The Complaint states that Janssen is seeking injunctive relief, assignment of certain intellectual property from us to Janssen and monetary damages. The Company believes the allegations in the Complaint are without merit and intends to continue to defend itself vigorously.</w:t>
      </w:r>
    </w:p>
    <w:p>
      <w:pPr>
        <w:spacing w:after="0" w:line="70"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On August 22, 2022, the Company filed its response to the Complaint and on August 4, 2022, filed counterclaims against Janssen alleging Janssen has engaged in unfair competition and promissory fraud.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17"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The Company made matching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contributions of $0.9 million and $0.7 million to the plan during the years ended December 31, 2022 and 2021,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plans—regular pension plan</w:t>
      </w:r>
    </w:p>
    <w:p>
      <w:pPr>
        <w:spacing w:after="0" w:line="117"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 xml:space="preserve">ASC Topic 715, </w:t>
      </w:r>
      <w:r>
        <w:rPr>
          <w:rFonts w:ascii="Arial" w:cs="Arial" w:eastAsia="Arial" w:hAnsi="Arial"/>
          <w:sz w:val="18"/>
          <w:szCs w:val="18"/>
          <w:i w:val="1"/>
          <w:iCs w:val="1"/>
          <w:color w:val="auto"/>
        </w:rPr>
        <w:t>Compensation—Retirement Benefits</w:t>
      </w:r>
      <w:r>
        <w:rPr>
          <w:rFonts w:ascii="Arial" w:cs="Arial" w:eastAsia="Arial" w:hAnsi="Arial"/>
          <w:sz w:val="18"/>
          <w:szCs w:val="18"/>
          <w:color w:val="auto"/>
        </w:rPr>
        <w:t>,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and (c) recognize changes in the funded status of a defined benefit post retirement plan in the year in which the changes occur. Accordingly, the Company is required to report changes in its funded status on its consolidated statement of stockholders’ deficit and consolidated statement of operations and comprehensive loss.</w:t>
      </w:r>
    </w:p>
    <w:p>
      <w:pPr>
        <w:spacing w:after="0" w:line="80" w:lineRule="exact"/>
        <w:rPr>
          <w:sz w:val="20"/>
          <w:szCs w:val="20"/>
          <w:color w:val="auto"/>
        </w:rPr>
      </w:pPr>
    </w:p>
    <w:p>
      <w:pPr>
        <w:ind w:right="100" w:firstLine="509"/>
        <w:spacing w:after="0" w:line="311" w:lineRule="auto"/>
        <w:rPr>
          <w:sz w:val="20"/>
          <w:szCs w:val="20"/>
          <w:color w:val="auto"/>
        </w:rPr>
      </w:pPr>
      <w:r>
        <w:rPr>
          <w:rFonts w:ascii="Arial" w:cs="Arial" w:eastAsia="Arial" w:hAnsi="Arial"/>
          <w:sz w:val="16"/>
          <w:szCs w:val="16"/>
          <w:color w:val="auto"/>
        </w:rPr>
        <w:t>Aligos-Belgium offers its employees a regular pension plan in the form of a defined contribution plan (the Regular Pension Plan), which contains a 1.75% legally required minimum rate of return for the participants. The Regular Pension Plan does not meet all the requirements that are needed for recognition of the plans as a defined contribution plan. The Company therefore recognizes the Regular Pension Plan as a defined benefit plan.</w:t>
      </w:r>
    </w:p>
    <w:p>
      <w:pPr>
        <w:spacing w:after="0" w:line="41" w:lineRule="exact"/>
        <w:rPr>
          <w:sz w:val="20"/>
          <w:szCs w:val="20"/>
          <w:color w:val="auto"/>
        </w:rPr>
      </w:pPr>
    </w:p>
    <w:p>
      <w:pPr>
        <w:ind w:right="440" w:firstLine="509"/>
        <w:spacing w:after="0" w:line="263" w:lineRule="auto"/>
        <w:rPr>
          <w:sz w:val="20"/>
          <w:szCs w:val="20"/>
          <w:color w:val="auto"/>
        </w:rPr>
      </w:pPr>
      <w:r>
        <w:rPr>
          <w:rFonts w:ascii="Arial" w:cs="Arial" w:eastAsia="Arial" w:hAnsi="Arial"/>
          <w:sz w:val="18"/>
          <w:szCs w:val="18"/>
          <w:color w:val="auto"/>
        </w:rPr>
        <w:t>The Company measures the fair value of the Regular Plan assets by using Level 3 inputs, unobservable inputs that are supported by little or no market activity that are significant to determining the fair value of assets, including pricing models, discounted cash flow methodologies and similar techniques.</w:t>
      </w:r>
    </w:p>
    <w:p>
      <w:pPr>
        <w:spacing w:after="0" w:line="76"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The net periodic benefit cost of the Pension Plan was $0.3 million and $0.2 million, and is recognized in accrued liabilities on the consolidated balance sheet as of December 31, 2022 and 2021, respectively. As of December 31, 2022, the projected benefit obligation was $1.1 million, the plan assets were $1.0 million and the net pension liability was $0.1 million. As of December 31, 2021, the projected benefit obligation was $1.0 million, the plan assets were $0.9 million, and the net pension liability was $0.1 million. The Company has recorded the unfunded amount as a liability in its consolidated balance sheet at December 31, 2022 and 2021, under the accrued liabilities caption. The unrealized actuarial gain and loss on pension benefits, net of tax, at December 31, 2022 and 2021 was $0.1 million and $0.1 million, respectively. These amounts were reflected in other comprehensive loss under the caption gain (loss) on pension plans. The Company expects to make contributions to the Pension Plan of approximately $0.2 million during 2023. The Company estimates future benefit payments from 2024 to 2027 to be $0.3 million, and from 2028 thereafter to be $0.9 million.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plans—Top Hat Plan</w:t>
      </w:r>
    </w:p>
    <w:p>
      <w:pPr>
        <w:spacing w:after="0" w:line="117" w:lineRule="exact"/>
        <w:rPr>
          <w:sz w:val="20"/>
          <w:szCs w:val="20"/>
          <w:color w:val="auto"/>
        </w:rPr>
      </w:pPr>
    </w:p>
    <w:p>
      <w:pPr>
        <w:ind w:right="240" w:firstLine="509"/>
        <w:spacing w:after="0" w:line="303" w:lineRule="auto"/>
        <w:rPr>
          <w:sz w:val="20"/>
          <w:szCs w:val="20"/>
          <w:color w:val="auto"/>
        </w:rPr>
      </w:pPr>
      <w:r>
        <w:rPr>
          <w:rFonts w:ascii="Arial" w:cs="Arial" w:eastAsia="Arial" w:hAnsi="Arial"/>
          <w:sz w:val="17"/>
          <w:szCs w:val="17"/>
          <w:color w:val="auto"/>
        </w:rPr>
        <w:t>In Aligos-Belgium, the Company established a pension bonus complementary plan (the Top Hat Plan), where the bonus payments to each participant are added to the Top Hat Plan. The annual contributions to this plan are based on performance and determined on a discretionary basis by the Company. The Top Hat Plan contains a legal yield guarantee of 1.75%. The Top Hat Plan became effective as of January 1, 2019.</w:t>
      </w:r>
    </w:p>
    <w:p>
      <w:pPr>
        <w:spacing w:after="0" w:line="43"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In 2019, the Company accounted for the Top Hat Plan in accordance with ASC 715—</w:t>
      </w:r>
      <w:r>
        <w:rPr>
          <w:rFonts w:ascii="Arial" w:cs="Arial" w:eastAsia="Arial" w:hAnsi="Arial"/>
          <w:sz w:val="18"/>
          <w:szCs w:val="18"/>
          <w:i w:val="1"/>
          <w:iCs w:val="1"/>
          <w:color w:val="auto"/>
        </w:rPr>
        <w:t>Compensation—Retirement Benefits</w:t>
      </w:r>
      <w:r>
        <w:rPr>
          <w:rFonts w:ascii="Arial" w:cs="Arial" w:eastAsia="Arial" w:hAnsi="Arial"/>
          <w:sz w:val="18"/>
          <w:szCs w:val="18"/>
          <w:color w:val="auto"/>
        </w:rPr>
        <w:t>, once it became effective. The Top Hat Plan does not meet all the requirements that are needed for recognition as a defined contribution plan. The Company therefore recognizes the Top Hat Plan as a defined benefit plan.</w:t>
      </w:r>
    </w:p>
    <w:p>
      <w:pPr>
        <w:spacing w:after="0" w:line="76"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The net periodic benefit cost of the Top Hat Plan was $0.2 million and $0.4 million, and is recognized in accrued liabilities on the consolidated balance sheet as of December 31, 2022 and 2021, respectively. As of December 31, 2022, the projected benefit obligation was $1.7 million, the plan assets were $1.5 million and the net pension liability was $0.2 million. As of December 31, 2021, the projected benefit obligation was $1.7 million, the plan assets were $1.2 million, and the net pension liability was $0.5 million. The Company has recorded the unfunded amount as a liability in its consolidated balance sheet at December 31, 2022 and 2021, under the accrued liabilities caption. The unrealized actuarial gain and loss on pension benefits, net of tax, at December 31, 2022 and 2021 was $0.1 million and $0.5 million, respectively. These amounts were reflected in other comprehensive loss under the caption gain (loss) on pension plans. The Company expects to make contributions to the Pension Plan of approximately $0.2 million during 2023. The Company estimates future benefit payments from 2024 to 2027 to be $0.2 million, and from 2028 thereafter to be $0.6 million.</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14. Net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computation of basic and diluted net loss per share of the Company:</w:t>
      </w:r>
    </w:p>
    <w:p>
      <w:pPr>
        <w:spacing w:after="0" w:line="311"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20" w:type="dxa"/>
            <w:vAlign w:val="bottom"/>
            <w:gridSpan w:val="5"/>
          </w:tcPr>
          <w:p>
            <w:pPr>
              <w:jc w:val="right"/>
              <w:ind w:right="770"/>
              <w:spacing w:after="0"/>
              <w:rPr>
                <w:sz w:val="20"/>
                <w:szCs w:val="20"/>
                <w:color w:val="auto"/>
              </w:rPr>
            </w:pPr>
            <w:r>
              <w:rPr>
                <w:rFonts w:ascii="Arial" w:cs="Arial" w:eastAsia="Arial" w:hAnsi="Arial"/>
                <w:sz w:val="14"/>
                <w:szCs w:val="14"/>
                <w:b w:val="1"/>
                <w:bCs w:val="1"/>
                <w:color w:val="auto"/>
              </w:rPr>
              <w:t>Year Ended December 31,</w:t>
            </w:r>
          </w:p>
        </w:tc>
      </w:tr>
      <w:tr>
        <w:trPr>
          <w:trHeight w:val="223"/>
        </w:trPr>
        <w:tc>
          <w:tcPr>
            <w:tcW w:w="68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r>
      <w:tr>
        <w:trPr>
          <w:trHeight w:val="236"/>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(96,046</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(128,332</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Weighted average common stock outstanding, basic and diluted</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42,695,227</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39,855,403</w:t>
            </w:r>
          </w:p>
        </w:tc>
        <w:tc>
          <w:tcPr>
            <w:tcW w:w="100" w:type="dxa"/>
            <w:vAlign w:val="bottom"/>
          </w:tcPr>
          <w:p>
            <w:pPr>
              <w:spacing w:after="0"/>
              <w:rPr>
                <w:sz w:val="20"/>
                <w:szCs w:val="20"/>
                <w:color w:val="auto"/>
              </w:rPr>
            </w:pPr>
          </w:p>
        </w:tc>
      </w:tr>
      <w:tr>
        <w:trPr>
          <w:trHeight w:val="237"/>
        </w:trPr>
        <w:tc>
          <w:tcPr>
            <w:tcW w:w="6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4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9"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Company’s potentially dilutive securities, which include options to purchase common stock and unvested restricted stock, have been excluded from the computation of diluted net loss per share as the effect would be to reduce the net loss per share. Therefore, the weighted-average number of shares of Common Stock outstanding used to calculate both basic and diluted net loss per share is the same. The Company excluded the following potential shares of Common Stock, presented based on amounts outstanding at each period end, from the computation of diluted net loss per share for the periods indicated because including them would have had an anti-dilutive effect:</w:t>
      </w:r>
    </w:p>
    <w:p>
      <w:pPr>
        <w:spacing w:after="0" w:line="274"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r>
      <w:tr>
        <w:trPr>
          <w:trHeight w:val="223"/>
        </w:trPr>
        <w:tc>
          <w:tcPr>
            <w:tcW w:w="6960" w:type="dxa"/>
            <w:vAlign w:val="bottom"/>
          </w:tcPr>
          <w:p>
            <w:pPr>
              <w:spacing w:after="0"/>
              <w:rPr>
                <w:sz w:val="19"/>
                <w:szCs w:val="19"/>
                <w:color w:val="auto"/>
              </w:rPr>
            </w:pPr>
          </w:p>
        </w:tc>
        <w:tc>
          <w:tcPr>
            <w:tcW w:w="1540" w:type="dxa"/>
            <w:vAlign w:val="bottom"/>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62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r>
      <w:tr>
        <w:trPr>
          <w:trHeight w:val="236"/>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9,840,127</w:t>
            </w:r>
          </w:p>
        </w:tc>
        <w:tc>
          <w:tcPr>
            <w:tcW w:w="20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5,692,514</w:t>
            </w:r>
          </w:p>
        </w:tc>
        <w:tc>
          <w:tcPr>
            <w:tcW w:w="100" w:type="dxa"/>
            <w:vAlign w:val="bottom"/>
            <w:shd w:val="clear" w:color="auto" w:fill="CFF0FC"/>
          </w:tcPr>
          <w:p>
            <w:pPr>
              <w:spacing w:after="0"/>
              <w:rPr>
                <w:sz w:val="20"/>
                <w:szCs w:val="20"/>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89,054</w:t>
            </w:r>
          </w:p>
        </w:tc>
        <w:tc>
          <w:tcPr>
            <w:tcW w:w="100" w:type="dxa"/>
            <w:vAlign w:val="bottom"/>
          </w:tcPr>
          <w:p>
            <w:pPr>
              <w:spacing w:after="0"/>
              <w:rPr>
                <w:sz w:val="20"/>
                <w:szCs w:val="20"/>
                <w:color w:val="auto"/>
              </w:rPr>
            </w:pPr>
          </w:p>
        </w:tc>
      </w:tr>
      <w:tr>
        <w:trPr>
          <w:trHeight w:val="439"/>
        </w:trPr>
        <w:tc>
          <w:tcPr>
            <w:tcW w:w="696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9,840,127</w:t>
            </w:r>
          </w:p>
        </w:tc>
        <w:tc>
          <w:tcPr>
            <w:tcW w:w="20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5,781,568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-7620</wp:posOffset>
            </wp:positionV>
            <wp:extent cx="596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Strategic reprioritization of NASH and COVID-19 programs and overall workforce reduction</w:t>
      </w:r>
    </w:p>
    <w:p>
      <w:pPr>
        <w:spacing w:after="0" w:line="252" w:lineRule="exact"/>
        <w:rPr>
          <w:sz w:val="20"/>
          <w:szCs w:val="20"/>
          <w:color w:val="auto"/>
        </w:rPr>
      </w:pPr>
    </w:p>
    <w:p>
      <w:pPr>
        <w:ind w:right="40" w:firstLine="509"/>
        <w:spacing w:after="0" w:line="220" w:lineRule="exact"/>
        <w:rPr>
          <w:sz w:val="20"/>
          <w:szCs w:val="20"/>
          <w:color w:val="auto"/>
        </w:rPr>
      </w:pPr>
      <w:r>
        <w:rPr>
          <w:rFonts w:ascii="Arial" w:cs="Arial" w:eastAsia="Arial" w:hAnsi="Arial"/>
          <w:sz w:val="18"/>
          <w:szCs w:val="18"/>
          <w:color w:val="auto"/>
        </w:rPr>
        <w:t>On February 8, 2023, the Company announced a portfolio reprioritization to prioritize its clinical NASH (ALG-055009) and COVID-19 (ALG-097558) programs as well as maintaining its ongoing NASH oligonucleotide research collaboration with Merck. This was accompanied by a workforce reduction of approximately 10%. The Company expects to record a one</w:t>
      </w:r>
      <w:r>
        <w:rPr>
          <w:rFonts w:ascii="MS PGothic" w:cs="MS PGothic" w:eastAsia="MS PGothic" w:hAnsi="MS PGothic"/>
          <w:sz w:val="18"/>
          <w:szCs w:val="18"/>
          <w:color w:val="auto"/>
        </w:rPr>
        <w:t>‑</w:t>
      </w:r>
      <w:r>
        <w:rPr>
          <w:rFonts w:ascii="Arial" w:cs="Arial" w:eastAsia="Arial" w:hAnsi="Arial"/>
          <w:sz w:val="18"/>
          <w:szCs w:val="18"/>
          <w:color w:val="auto"/>
        </w:rPr>
        <w:t>time charge of approximately $1.0 million related to the reprioritization in the first quarter of 2023.</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00" w:firstLine="509"/>
        <w:spacing w:after="0" w:line="218" w:lineRule="exact"/>
        <w:rPr>
          <w:sz w:val="20"/>
          <w:szCs w:val="20"/>
          <w:color w:val="auto"/>
        </w:rPr>
      </w:pPr>
      <w:r>
        <w:rPr>
          <w:rFonts w:ascii="Arial" w:cs="Arial" w:eastAsia="Arial" w:hAnsi="Arial"/>
          <w:sz w:val="18"/>
          <w:szCs w:val="18"/>
          <w:color w:val="auto"/>
        </w:rPr>
        <w:t>Our management has evaluated, with the participation of our Chief Executive Officer and Chief Financial Officer, our principal executive officer and principal financial officer, respectively, the effectiveness of our disclosure controls and procedures (as defined in Rules 13a-15(e) and 15d-15(e) under the Securities Exchange Act of 1934, as amended) as of the end of the period covered by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December 31, 2022, our disclosure controls and procedures were effective at the reasonable assurance level.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 13a-15(f). Our internal control over financial reporting is designed to provide reasonable assurance regarding the reliability of financial reporting and the preparation of consolidated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4" w:lineRule="exact"/>
        <w:rPr>
          <w:sz w:val="20"/>
          <w:szCs w:val="20"/>
          <w:color w:val="auto"/>
        </w:rPr>
      </w:pPr>
    </w:p>
    <w:p>
      <w:pPr>
        <w:jc w:val="both"/>
        <w:ind w:right="260" w:firstLine="509"/>
        <w:spacing w:after="0" w:line="286" w:lineRule="auto"/>
        <w:rPr>
          <w:sz w:val="20"/>
          <w:szCs w:val="20"/>
          <w:color w:val="auto"/>
        </w:rPr>
      </w:pPr>
      <w:r>
        <w:rPr>
          <w:rFonts w:ascii="Arial" w:cs="Arial" w:eastAsia="Arial" w:hAnsi="Arial"/>
          <w:sz w:val="17"/>
          <w:szCs w:val="17"/>
          <w:color w:val="auto"/>
        </w:rPr>
        <w:t>Management has assessed the effectiveness of our internal control over financial reporting based on the framework set forth by the Committee of Sponsoring Organizations of the Treadway Commission (COSO) in Internal Control-Integrated Framework (2013 framework). Based on our evaluation, management has concluded that our internal control over financial reporting was effective as of December 31, 2022.</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300" w:firstLine="509"/>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fiscal quarter ended December 31, 2022 that has materially affected, or is reasonably likely to materially affect, our internal control over financial reporting.</w:t>
      </w:r>
    </w:p>
    <w:p>
      <w:pPr>
        <w:spacing w:after="0" w:line="76"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As a result of the COVID-19 pandemic, in March 2020, substantially all of our employees began working remotely. We have not identified any material changes in our internal control over financial reporting as a result of these changes to the working environment, in part because our internal control over financial reporting was designed to operate in a remote working environment. We are continually monitoring and assessing the COVID-19 situation to determine any potential impacts on the design and operating effectiveness of our internal controls over financial reporting.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 on the effectiveness over financial reporting</w:t>
      </w:r>
    </w:p>
    <w:p>
      <w:pPr>
        <w:spacing w:after="0" w:line="121" w:lineRule="exact"/>
        <w:rPr>
          <w:sz w:val="20"/>
          <w:szCs w:val="20"/>
          <w:color w:val="auto"/>
        </w:rPr>
      </w:pPr>
    </w:p>
    <w:p>
      <w:pPr>
        <w:ind w:right="140" w:firstLine="509"/>
        <w:spacing w:after="0" w:line="272"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ectPr>
          <w:pgSz w:w="11900" w:h="16838" w:orient="portrait"/>
          <w:cols w:equalWidth="0" w:num="1">
            <w:col w:w="10139"/>
          </w:cols>
          <w:pgMar w:left="320" w:top="445" w:right="1440" w:bottom="1440" w:gutter="0" w:footer="0" w:header="0"/>
        </w:sectPr>
      </w:pP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type w:val="continuous"/>
        </w:sectPr>
      </w:pPr>
    </w:p>
    <w:bookmarkStart w:id="138" w:name="page139"/>
    <w:bookmarkEnd w:id="138"/>
    <w:p>
      <w:pPr>
        <w:jc w:val="center"/>
        <w:ind w:left="4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have adopted a code of ethics for directors, officers (including our principal executive officer, principal financial officer and principal accounting officer) and employees, known as the Code of Business Conduct and Ethics. This code is publicly available on our website at investor.aligos.com under the Governance section. If we make any amendments to this code other than technical, administrative or other non-substantive amendments, or grant any waivers, including implicit waivers, from a provision of this code we will disclose the nature of the amendment or waiver, its effective date and to whom it applies on our website at aligos.com or in a Current Report on Form 8-K filed with the SEC.</w:t>
      </w:r>
    </w:p>
    <w:p>
      <w:pPr>
        <w:spacing w:after="0" w:line="176"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The remaining information required by this item, including information about our Directors, Executive Officers and Audit Committee, is incorporated by reference to the definitive Proxy Statement for our 2023 Annual Meeting of Stockholders, which will be filed with the SEC no later than 120 days after December 31,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“Executive Compensation” in our Proxy Statement and is incorporated in this Annual Report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“Security Ownership of Certain Beneficial Owners and Management” in our Proxy Statement and is incorporated in this Annual Report by reference.</w:t>
      </w:r>
    </w:p>
    <w:p>
      <w:pPr>
        <w:spacing w:after="0" w:line="170"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Information regarding our equity compensation plans will be set forth in the section headed “Executive Compensation” in our Proxy Statement and is incorporated in this Annual Report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“Transactions with Related Persons” in our Proxy Statement and is incorporated in this Annual Report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740" w:firstLine="509"/>
        <w:spacing w:after="0" w:line="277" w:lineRule="auto"/>
        <w:rPr>
          <w:sz w:val="20"/>
          <w:szCs w:val="20"/>
          <w:color w:val="auto"/>
        </w:rPr>
      </w:pPr>
      <w:r>
        <w:rPr>
          <w:rFonts w:ascii="Arial" w:cs="Arial" w:eastAsia="Arial" w:hAnsi="Arial"/>
          <w:sz w:val="18"/>
          <w:szCs w:val="18"/>
          <w:color w:val="auto"/>
        </w:rPr>
        <w:t>The information required by this Item will be set forth in the section headed “—Ratification of Selection of Independent Registered Public Accounting Firm” in our Proxy Statement and is incorporated in this Annual Report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9" w:name="page140"/>
    <w:bookmarkEnd w:id="139"/>
    <w:p>
      <w:pPr>
        <w:ind w:left="5500"/>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Documents filed as a part of this Annual Report on Form 10-K:</w:t>
      </w:r>
    </w:p>
    <w:p>
      <w:pPr>
        <w:spacing w:after="0" w:line="329" w:lineRule="exact"/>
        <w:rPr>
          <w:sz w:val="20"/>
          <w:szCs w:val="20"/>
          <w:color w:val="auto"/>
        </w:rPr>
      </w:pPr>
    </w:p>
    <w:p>
      <w:pPr>
        <w:ind w:left="1020" w:hanging="503"/>
        <w:spacing w:after="0"/>
        <w:tabs>
          <w:tab w:leader="none" w:pos="10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financial statements are included in Part II, Item 8 of this Annual Report on Form 10-K:</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7840" w:type="dxa"/>
            <w:vAlign w:val="bottom"/>
            <w:gridSpan w:val="7"/>
          </w:tcPr>
          <w:p>
            <w:pPr>
              <w:spacing w:after="0"/>
              <w:rPr>
                <w:sz w:val="20"/>
                <w:szCs w:val="20"/>
                <w:color w:val="auto"/>
              </w:rPr>
            </w:pPr>
            <w:r>
              <w:rPr>
                <w:rFonts w:ascii="Arial" w:cs="Arial" w:eastAsia="Arial" w:hAnsi="Arial"/>
                <w:sz w:val="18"/>
                <w:szCs w:val="18"/>
                <w:color w:val="0563C1"/>
              </w:rPr>
              <w:t>Report of Independent Registered Public Accounting Firm (PCAOB ID 42)</w:t>
            </w:r>
          </w:p>
        </w:tc>
        <w:tc>
          <w:tcPr>
            <w:tcW w:w="2680" w:type="dxa"/>
            <w:vAlign w:val="bottom"/>
          </w:tcPr>
          <w:p>
            <w:pPr>
              <w:ind w:left="2400"/>
              <w:spacing w:after="0"/>
              <w:rPr>
                <w:sz w:val="20"/>
                <w:szCs w:val="20"/>
                <w:color w:val="auto"/>
              </w:rPr>
            </w:pPr>
            <w:r>
              <w:rPr>
                <w:rFonts w:ascii="Arial" w:cs="Arial" w:eastAsia="Arial" w:hAnsi="Arial"/>
                <w:sz w:val="18"/>
                <w:szCs w:val="18"/>
                <w:color w:val="auto"/>
                <w:w w:val="86"/>
              </w:rPr>
              <w:t>105</w:t>
            </w:r>
          </w:p>
        </w:tc>
      </w:tr>
      <w:tr>
        <w:trPr>
          <w:trHeight w:val="223"/>
        </w:trPr>
        <w:tc>
          <w:tcPr>
            <w:tcW w:w="2100" w:type="dxa"/>
            <w:vAlign w:val="bottom"/>
            <w:tcBorders>
              <w:top w:val="single" w:sz="8" w:color="0563C1"/>
              <w:bottom w:val="single" w:sz="8" w:color="0563C1"/>
            </w:tcBorders>
          </w:tcPr>
          <w:p>
            <w:pPr>
              <w:spacing w:after="0"/>
              <w:rPr>
                <w:sz w:val="20"/>
                <w:szCs w:val="20"/>
                <w:color w:val="auto"/>
              </w:rPr>
            </w:pPr>
            <w:r>
              <w:rPr>
                <w:rFonts w:ascii="Arial" w:cs="Arial" w:eastAsia="Arial" w:hAnsi="Arial"/>
                <w:sz w:val="18"/>
                <w:szCs w:val="18"/>
                <w:color w:val="0563C1"/>
                <w:w w:val="88"/>
              </w:rPr>
              <w:t>Consolidated Balance Sheets</w:t>
            </w:r>
          </w:p>
        </w:tc>
        <w:tc>
          <w:tcPr>
            <w:tcW w:w="3340" w:type="dxa"/>
            <w:vAlign w:val="bottom"/>
            <w:tcBorders>
              <w:top w:val="single" w:sz="8" w:color="0563C1"/>
            </w:tcBorders>
            <w:gridSpan w:val="5"/>
          </w:tcPr>
          <w:p>
            <w:pPr>
              <w:spacing w:after="0"/>
              <w:rPr>
                <w:sz w:val="19"/>
                <w:szCs w:val="19"/>
                <w:color w:val="auto"/>
              </w:rPr>
            </w:pPr>
          </w:p>
        </w:tc>
        <w:tc>
          <w:tcPr>
            <w:tcW w:w="2400" w:type="dxa"/>
            <w:vAlign w:val="bottom"/>
          </w:tcPr>
          <w:p>
            <w:pPr>
              <w:spacing w:after="0"/>
              <w:rPr>
                <w:sz w:val="19"/>
                <w:szCs w:val="19"/>
                <w:color w:val="auto"/>
              </w:rPr>
            </w:pPr>
          </w:p>
        </w:tc>
        <w:tc>
          <w:tcPr>
            <w:tcW w:w="2680" w:type="dxa"/>
            <w:vAlign w:val="bottom"/>
          </w:tcPr>
          <w:p>
            <w:pPr>
              <w:ind w:left="2400"/>
              <w:spacing w:after="0"/>
              <w:rPr>
                <w:sz w:val="20"/>
                <w:szCs w:val="20"/>
                <w:color w:val="auto"/>
              </w:rPr>
            </w:pPr>
            <w:r>
              <w:rPr>
                <w:rFonts w:ascii="Arial" w:cs="Arial" w:eastAsia="Arial" w:hAnsi="Arial"/>
                <w:sz w:val="18"/>
                <w:szCs w:val="18"/>
                <w:color w:val="auto"/>
                <w:w w:val="86"/>
              </w:rPr>
              <w:t>106</w:t>
            </w:r>
          </w:p>
        </w:tc>
      </w:tr>
      <w:tr>
        <w:trPr>
          <w:trHeight w:val="223"/>
        </w:trPr>
        <w:tc>
          <w:tcPr>
            <w:tcW w:w="4680" w:type="dxa"/>
            <w:vAlign w:val="bottom"/>
            <w:tcBorders>
              <w:bottom w:val="single" w:sz="8" w:color="0563C1"/>
            </w:tcBorders>
            <w:gridSpan w:val="5"/>
          </w:tcPr>
          <w:p>
            <w:pPr>
              <w:spacing w:after="0"/>
              <w:rPr>
                <w:sz w:val="20"/>
                <w:szCs w:val="20"/>
                <w:color w:val="auto"/>
              </w:rPr>
            </w:pPr>
            <w:r>
              <w:rPr>
                <w:rFonts w:ascii="Arial" w:cs="Arial" w:eastAsia="Arial" w:hAnsi="Arial"/>
                <w:sz w:val="18"/>
                <w:szCs w:val="18"/>
                <w:color w:val="0563C1"/>
                <w:w w:val="89"/>
              </w:rPr>
              <w:t>Consolidated Statements of Operations and Comprehensive Loss</w:t>
            </w:r>
          </w:p>
        </w:tc>
        <w:tc>
          <w:tcPr>
            <w:tcW w:w="3160" w:type="dxa"/>
            <w:vAlign w:val="bottom"/>
            <w:gridSpan w:val="2"/>
          </w:tcPr>
          <w:p>
            <w:pPr>
              <w:spacing w:after="0"/>
              <w:rPr>
                <w:sz w:val="19"/>
                <w:szCs w:val="19"/>
                <w:color w:val="auto"/>
              </w:rPr>
            </w:pPr>
          </w:p>
        </w:tc>
        <w:tc>
          <w:tcPr>
            <w:tcW w:w="2680" w:type="dxa"/>
            <w:vAlign w:val="bottom"/>
          </w:tcPr>
          <w:p>
            <w:pPr>
              <w:ind w:left="2400"/>
              <w:spacing w:after="0"/>
              <w:rPr>
                <w:sz w:val="20"/>
                <w:szCs w:val="20"/>
                <w:color w:val="auto"/>
              </w:rPr>
            </w:pPr>
            <w:r>
              <w:rPr>
                <w:rFonts w:ascii="Arial" w:cs="Arial" w:eastAsia="Arial" w:hAnsi="Arial"/>
                <w:sz w:val="18"/>
                <w:szCs w:val="18"/>
                <w:color w:val="auto"/>
                <w:w w:val="86"/>
              </w:rPr>
              <w:t>107</w:t>
            </w:r>
          </w:p>
        </w:tc>
      </w:tr>
      <w:tr>
        <w:trPr>
          <w:trHeight w:val="223"/>
        </w:trPr>
        <w:tc>
          <w:tcPr>
            <w:tcW w:w="44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563C1"/>
                <w:w w:val="91"/>
              </w:rPr>
              <w:t>Consolidated Statements of Changes in Stockholders’ Equity</w:t>
            </w:r>
          </w:p>
        </w:tc>
        <w:tc>
          <w:tcPr>
            <w:tcW w:w="3400" w:type="dxa"/>
            <w:vAlign w:val="bottom"/>
            <w:gridSpan w:val="3"/>
          </w:tcPr>
          <w:p>
            <w:pPr>
              <w:spacing w:after="0"/>
              <w:rPr>
                <w:sz w:val="19"/>
                <w:szCs w:val="19"/>
                <w:color w:val="auto"/>
              </w:rPr>
            </w:pPr>
          </w:p>
        </w:tc>
        <w:tc>
          <w:tcPr>
            <w:tcW w:w="2680" w:type="dxa"/>
            <w:vAlign w:val="bottom"/>
          </w:tcPr>
          <w:p>
            <w:pPr>
              <w:ind w:left="2400"/>
              <w:spacing w:after="0"/>
              <w:rPr>
                <w:sz w:val="20"/>
                <w:szCs w:val="20"/>
                <w:color w:val="auto"/>
              </w:rPr>
            </w:pPr>
            <w:r>
              <w:rPr>
                <w:rFonts w:ascii="Arial" w:cs="Arial" w:eastAsia="Arial" w:hAnsi="Arial"/>
                <w:sz w:val="18"/>
                <w:szCs w:val="18"/>
                <w:color w:val="auto"/>
                <w:w w:val="86"/>
              </w:rPr>
              <w:t>108</w:t>
            </w:r>
          </w:p>
        </w:tc>
      </w:tr>
      <w:tr>
        <w:trPr>
          <w:trHeight w:val="223"/>
        </w:trPr>
        <w:tc>
          <w:tcPr>
            <w:tcW w:w="2880" w:type="dxa"/>
            <w:vAlign w:val="bottom"/>
            <w:tcBorders>
              <w:bottom w:val="single" w:sz="8" w:color="0563C1"/>
            </w:tcBorders>
            <w:gridSpan w:val="2"/>
          </w:tcPr>
          <w:p>
            <w:pPr>
              <w:spacing w:after="0"/>
              <w:rPr>
                <w:sz w:val="20"/>
                <w:szCs w:val="20"/>
                <w:color w:val="auto"/>
              </w:rPr>
            </w:pPr>
            <w:r>
              <w:rPr>
                <w:rFonts w:ascii="Arial" w:cs="Arial" w:eastAsia="Arial" w:hAnsi="Arial"/>
                <w:sz w:val="18"/>
                <w:szCs w:val="18"/>
                <w:color w:val="0563C1"/>
                <w:w w:val="89"/>
              </w:rPr>
              <w:t>Consolidated Statements of Cash Flows</w:t>
            </w:r>
          </w:p>
        </w:tc>
        <w:tc>
          <w:tcPr>
            <w:tcW w:w="4960" w:type="dxa"/>
            <w:vAlign w:val="bottom"/>
            <w:gridSpan w:val="5"/>
          </w:tcPr>
          <w:p>
            <w:pPr>
              <w:spacing w:after="0"/>
              <w:rPr>
                <w:sz w:val="19"/>
                <w:szCs w:val="19"/>
                <w:color w:val="auto"/>
              </w:rPr>
            </w:pPr>
          </w:p>
        </w:tc>
        <w:tc>
          <w:tcPr>
            <w:tcW w:w="2680" w:type="dxa"/>
            <w:vAlign w:val="bottom"/>
          </w:tcPr>
          <w:p>
            <w:pPr>
              <w:ind w:left="2400"/>
              <w:spacing w:after="0"/>
              <w:rPr>
                <w:sz w:val="20"/>
                <w:szCs w:val="20"/>
                <w:color w:val="auto"/>
              </w:rPr>
            </w:pPr>
            <w:r>
              <w:rPr>
                <w:rFonts w:ascii="Arial" w:cs="Arial" w:eastAsia="Arial" w:hAnsi="Arial"/>
                <w:sz w:val="18"/>
                <w:szCs w:val="18"/>
                <w:color w:val="auto"/>
                <w:w w:val="86"/>
              </w:rPr>
              <w:t>109</w:t>
            </w:r>
          </w:p>
        </w:tc>
      </w:tr>
      <w:tr>
        <w:trPr>
          <w:trHeight w:val="223"/>
        </w:trPr>
        <w:tc>
          <w:tcPr>
            <w:tcW w:w="3160" w:type="dxa"/>
            <w:vAlign w:val="bottom"/>
            <w:tcBorders>
              <w:bottom w:val="single" w:sz="8" w:color="0563C1"/>
            </w:tcBorders>
            <w:gridSpan w:val="3"/>
          </w:tcPr>
          <w:p>
            <w:pPr>
              <w:spacing w:after="0"/>
              <w:rPr>
                <w:sz w:val="20"/>
                <w:szCs w:val="20"/>
                <w:color w:val="auto"/>
              </w:rPr>
            </w:pPr>
            <w:r>
              <w:rPr>
                <w:rFonts w:ascii="Arial" w:cs="Arial" w:eastAsia="Arial" w:hAnsi="Arial"/>
                <w:sz w:val="18"/>
                <w:szCs w:val="18"/>
                <w:color w:val="0563C1"/>
                <w:w w:val="89"/>
              </w:rPr>
              <w:t>Notes to Consolidated Financial Statements</w:t>
            </w:r>
          </w:p>
        </w:tc>
        <w:tc>
          <w:tcPr>
            <w:tcW w:w="4680" w:type="dxa"/>
            <w:vAlign w:val="bottom"/>
            <w:gridSpan w:val="4"/>
          </w:tcPr>
          <w:p>
            <w:pPr>
              <w:spacing w:after="0"/>
              <w:rPr>
                <w:sz w:val="19"/>
                <w:szCs w:val="19"/>
                <w:color w:val="auto"/>
              </w:rPr>
            </w:pPr>
          </w:p>
        </w:tc>
        <w:tc>
          <w:tcPr>
            <w:tcW w:w="2680" w:type="dxa"/>
            <w:vAlign w:val="bottom"/>
          </w:tcPr>
          <w:p>
            <w:pPr>
              <w:ind w:left="2400"/>
              <w:spacing w:after="0"/>
              <w:rPr>
                <w:sz w:val="20"/>
                <w:szCs w:val="20"/>
                <w:color w:val="auto"/>
              </w:rPr>
            </w:pPr>
            <w:r>
              <w:rPr>
                <w:rFonts w:ascii="Arial" w:cs="Arial" w:eastAsia="Arial" w:hAnsi="Arial"/>
                <w:sz w:val="18"/>
                <w:szCs w:val="18"/>
                <w:color w:val="auto"/>
                <w:w w:val="86"/>
              </w:rPr>
              <w:t>111</w:t>
            </w:r>
          </w:p>
        </w:tc>
      </w:tr>
    </w:tbl>
    <w:p>
      <w:pPr>
        <w:spacing w:after="0" w:line="148" w:lineRule="exact"/>
        <w:rPr>
          <w:sz w:val="20"/>
          <w:szCs w:val="20"/>
          <w:color w:val="auto"/>
        </w:rPr>
      </w:pPr>
    </w:p>
    <w:p>
      <w:pPr>
        <w:ind w:left="1020" w:hanging="503"/>
        <w:spacing w:after="0"/>
        <w:tabs>
          <w:tab w:leader="none" w:pos="1020" w:val="left"/>
        </w:tabs>
        <w:numPr>
          <w:ilvl w:val="0"/>
          <w:numId w:val="58"/>
        </w:numPr>
        <w:rPr>
          <w:rFonts w:ascii="Arial" w:cs="Arial" w:eastAsia="Arial" w:hAnsi="Arial"/>
          <w:sz w:val="16"/>
          <w:szCs w:val="16"/>
          <w:b w:val="1"/>
          <w:bCs w:val="1"/>
          <w:color w:val="auto"/>
        </w:rPr>
      </w:pPr>
      <w:r>
        <w:rPr>
          <w:rFonts w:ascii="Arial" w:cs="Arial" w:eastAsia="Arial" w:hAnsi="Arial"/>
          <w:sz w:val="16"/>
          <w:szCs w:val="16"/>
          <w:color w:val="auto"/>
        </w:rPr>
        <w:t>All other schedules have been omitted because they are not required, not applicable, or the required information is otherwise included.</w:t>
      </w:r>
    </w:p>
    <w:p>
      <w:pPr>
        <w:spacing w:after="0" w:line="140" w:lineRule="exact"/>
        <w:rPr>
          <w:rFonts w:ascii="Arial" w:cs="Arial" w:eastAsia="Arial" w:hAnsi="Arial"/>
          <w:sz w:val="16"/>
          <w:szCs w:val="16"/>
          <w:b w:val="1"/>
          <w:bCs w:val="1"/>
          <w:color w:val="auto"/>
        </w:rPr>
      </w:pPr>
    </w:p>
    <w:p>
      <w:pPr>
        <w:ind w:left="1020" w:hanging="503"/>
        <w:spacing w:after="0"/>
        <w:tabs>
          <w:tab w:leader="none" w:pos="102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The exhibits listed in the Exhibit Index below are filed or incorporated by reference as part of this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445" w:right="59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3"/>
              </w:rPr>
              <w:t>Incorporated by Reference</w:t>
            </w:r>
          </w:p>
        </w:tc>
        <w:tc>
          <w:tcPr>
            <w:tcW w:w="880" w:type="dxa"/>
            <w:vAlign w:val="bottom"/>
            <w:tcBorders>
              <w:bottom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60" w:type="dxa"/>
            <w:vAlign w:val="bottom"/>
          </w:tcPr>
          <w:p>
            <w:pPr>
              <w:ind w:left="340"/>
              <w:spacing w:after="0" w:line="135" w:lineRule="exact"/>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0" w:type="dxa"/>
            <w:vAlign w:val="bottom"/>
            <w:gridSpan w:val="31"/>
            <w:vMerge w:val="restart"/>
          </w:tcPr>
          <w:p>
            <w:pPr>
              <w:ind w:left="100"/>
              <w:spacing w:after="0"/>
              <w:rPr>
                <w:sz w:val="20"/>
                <w:szCs w:val="20"/>
                <w:color w:val="auto"/>
              </w:rPr>
            </w:pPr>
            <w:r>
              <w:rPr>
                <w:rFonts w:ascii="Arial" w:cs="Arial" w:eastAsia="Arial" w:hAnsi="Arial"/>
                <w:sz w:val="14"/>
                <w:szCs w:val="14"/>
                <w:b w:val="1"/>
                <w:bCs w:val="1"/>
                <w:color w:val="auto"/>
              </w:rPr>
              <w:t>Exhibit Description</w:t>
            </w:r>
          </w:p>
        </w:tc>
        <w:tc>
          <w:tcPr>
            <w:tcW w:w="820" w:type="dxa"/>
            <w:vAlign w:val="bottom"/>
            <w:vMerge w:val="restart"/>
          </w:tcPr>
          <w:p>
            <w:pPr>
              <w:jc w:val="center"/>
              <w:ind w:left="111"/>
              <w:spacing w:after="0"/>
              <w:rPr>
                <w:sz w:val="20"/>
                <w:szCs w:val="20"/>
                <w:color w:val="auto"/>
              </w:rPr>
            </w:pPr>
            <w:r>
              <w:rPr>
                <w:rFonts w:ascii="Arial" w:cs="Arial" w:eastAsia="Arial" w:hAnsi="Arial"/>
                <w:sz w:val="14"/>
                <w:szCs w:val="14"/>
                <w:b w:val="1"/>
                <w:bCs w:val="1"/>
                <w:color w:val="auto"/>
                <w:w w:val="97"/>
              </w:rPr>
              <w:t>Form</w:t>
            </w:r>
          </w:p>
        </w:tc>
        <w:tc>
          <w:tcPr>
            <w:tcW w:w="180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Date</w:t>
            </w: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Number</w:t>
            </w: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9"/>
        </w:trPr>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31"/>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3740" w:type="dxa"/>
            <w:vAlign w:val="bottom"/>
            <w:tcBorders>
              <w:bottom w:val="single" w:sz="8" w:color="0563C1"/>
            </w:tcBorders>
            <w:gridSpan w:val="17"/>
          </w:tcPr>
          <w:p>
            <w:pPr>
              <w:spacing w:after="0" w:line="182" w:lineRule="exact"/>
              <w:rPr>
                <w:rFonts w:ascii="Arial" w:cs="Arial" w:eastAsia="Arial" w:hAnsi="Arial"/>
                <w:sz w:val="18"/>
                <w:szCs w:val="18"/>
                <w:color w:val="0563C1"/>
                <w:w w:val="90"/>
              </w:rPr>
            </w:pPr>
            <w:hyperlink r:id="rId282">
              <w:r>
                <w:rPr>
                  <w:rFonts w:ascii="Arial" w:cs="Arial" w:eastAsia="Arial" w:hAnsi="Arial"/>
                  <w:sz w:val="18"/>
                  <w:szCs w:val="18"/>
                  <w:color w:val="0563C1"/>
                  <w:w w:val="90"/>
                </w:rPr>
                <w:t>Amended and Restated Certificate of Incorporation.</w:t>
              </w:r>
            </w:hyperlink>
          </w:p>
        </w:tc>
        <w:tc>
          <w:tcPr>
            <w:tcW w:w="1660" w:type="dxa"/>
            <w:vAlign w:val="bottom"/>
            <w:gridSpan w:val="20"/>
          </w:tcPr>
          <w:p>
            <w:pPr>
              <w:spacing w:after="0"/>
              <w:rPr>
                <w:sz w:val="15"/>
                <w:szCs w:val="15"/>
                <w:color w:val="auto"/>
              </w:rPr>
            </w:pPr>
          </w:p>
        </w:tc>
        <w:tc>
          <w:tcPr>
            <w:tcW w:w="820" w:type="dxa"/>
            <w:vAlign w:val="bottom"/>
          </w:tcPr>
          <w:p>
            <w:pPr>
              <w:jc w:val="center"/>
              <w:ind w:left="91"/>
              <w:spacing w:after="0" w:line="182" w:lineRule="exact"/>
              <w:rPr>
                <w:sz w:val="20"/>
                <w:szCs w:val="20"/>
                <w:color w:val="auto"/>
              </w:rPr>
            </w:pPr>
            <w:r>
              <w:rPr>
                <w:rFonts w:ascii="Arial" w:cs="Arial" w:eastAsia="Arial" w:hAnsi="Arial"/>
                <w:sz w:val="18"/>
                <w:szCs w:val="18"/>
                <w:color w:val="auto"/>
                <w:w w:val="99"/>
              </w:rPr>
              <w:t>8-K</w:t>
            </w:r>
          </w:p>
        </w:tc>
        <w:tc>
          <w:tcPr>
            <w:tcW w:w="1800" w:type="dxa"/>
            <w:vAlign w:val="bottom"/>
          </w:tcPr>
          <w:p>
            <w:pPr>
              <w:jc w:val="center"/>
              <w:spacing w:after="0" w:line="182" w:lineRule="exact"/>
              <w:rPr>
                <w:sz w:val="20"/>
                <w:szCs w:val="20"/>
                <w:color w:val="auto"/>
              </w:rPr>
            </w:pPr>
            <w:r>
              <w:rPr>
                <w:rFonts w:ascii="Arial" w:cs="Arial" w:eastAsia="Arial" w:hAnsi="Arial"/>
                <w:sz w:val="18"/>
                <w:szCs w:val="18"/>
                <w:color w:val="auto"/>
                <w:w w:val="90"/>
              </w:rPr>
              <w:t>10/20/2020</w:t>
            </w:r>
          </w:p>
        </w:tc>
        <w:tc>
          <w:tcPr>
            <w:tcW w:w="880" w:type="dxa"/>
            <w:vAlign w:val="bottom"/>
          </w:tcPr>
          <w:p>
            <w:pPr>
              <w:jc w:val="center"/>
              <w:ind w:right="151"/>
              <w:spacing w:after="0" w:line="182" w:lineRule="exact"/>
              <w:rPr>
                <w:sz w:val="20"/>
                <w:szCs w:val="20"/>
                <w:color w:val="auto"/>
              </w:rPr>
            </w:pPr>
            <w:r>
              <w:rPr>
                <w:rFonts w:ascii="Arial" w:cs="Arial" w:eastAsia="Arial" w:hAnsi="Arial"/>
                <w:sz w:val="18"/>
                <w:szCs w:val="18"/>
                <w:color w:val="auto"/>
                <w:w w:val="95"/>
              </w:rPr>
              <w:t>3.1</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3.2</w:t>
            </w:r>
          </w:p>
        </w:tc>
        <w:tc>
          <w:tcPr>
            <w:tcW w:w="2300" w:type="dxa"/>
            <w:vAlign w:val="bottom"/>
            <w:tcBorders>
              <w:bottom w:val="single" w:sz="8" w:color="0563C1"/>
            </w:tcBorders>
            <w:gridSpan w:val="8"/>
          </w:tcPr>
          <w:p>
            <w:pPr>
              <w:spacing w:after="0"/>
              <w:rPr>
                <w:rFonts w:ascii="Arial" w:cs="Arial" w:eastAsia="Arial" w:hAnsi="Arial"/>
                <w:sz w:val="18"/>
                <w:szCs w:val="18"/>
                <w:color w:val="0563C1"/>
                <w:w w:val="88"/>
              </w:rPr>
            </w:pPr>
            <w:hyperlink r:id="rId283">
              <w:r>
                <w:rPr>
                  <w:rFonts w:ascii="Arial" w:cs="Arial" w:eastAsia="Arial" w:hAnsi="Arial"/>
                  <w:sz w:val="18"/>
                  <w:szCs w:val="18"/>
                  <w:color w:val="0563C1"/>
                  <w:w w:val="88"/>
                </w:rPr>
                <w:t>Amended and Restated Bylaws.</w:t>
              </w:r>
            </w:hyperlink>
          </w:p>
        </w:tc>
        <w:tc>
          <w:tcPr>
            <w:tcW w:w="3100" w:type="dxa"/>
            <w:vAlign w:val="bottom"/>
            <w:gridSpan w:val="29"/>
          </w:tcPr>
          <w:p>
            <w:pPr>
              <w:spacing w:after="0"/>
              <w:rPr>
                <w:sz w:val="19"/>
                <w:szCs w:val="19"/>
                <w:color w:val="auto"/>
              </w:rPr>
            </w:pPr>
          </w:p>
        </w:tc>
        <w:tc>
          <w:tcPr>
            <w:tcW w:w="820" w:type="dxa"/>
            <w:vAlign w:val="bottom"/>
          </w:tcPr>
          <w:p>
            <w:pPr>
              <w:jc w:val="center"/>
              <w:ind w:left="91"/>
              <w:spacing w:after="0"/>
              <w:rPr>
                <w:sz w:val="20"/>
                <w:szCs w:val="20"/>
                <w:color w:val="auto"/>
              </w:rPr>
            </w:pPr>
            <w:r>
              <w:rPr>
                <w:rFonts w:ascii="Arial" w:cs="Arial" w:eastAsia="Arial" w:hAnsi="Arial"/>
                <w:sz w:val="18"/>
                <w:szCs w:val="18"/>
                <w:color w:val="auto"/>
                <w:w w:val="99"/>
              </w:rPr>
              <w:t>8-K</w:t>
            </w:r>
          </w:p>
        </w:tc>
        <w:tc>
          <w:tcPr>
            <w:tcW w:w="1800" w:type="dxa"/>
            <w:vAlign w:val="bottom"/>
          </w:tcPr>
          <w:p>
            <w:pPr>
              <w:jc w:val="center"/>
              <w:spacing w:after="0"/>
              <w:rPr>
                <w:sz w:val="20"/>
                <w:szCs w:val="20"/>
                <w:color w:val="auto"/>
              </w:rPr>
            </w:pPr>
            <w:r>
              <w:rPr>
                <w:rFonts w:ascii="Arial" w:cs="Arial" w:eastAsia="Arial" w:hAnsi="Arial"/>
                <w:sz w:val="18"/>
                <w:szCs w:val="18"/>
                <w:color w:val="auto"/>
                <w:w w:val="90"/>
              </w:rPr>
              <w:t>10/20/2020</w:t>
            </w:r>
          </w:p>
        </w:tc>
        <w:tc>
          <w:tcPr>
            <w:tcW w:w="880" w:type="dxa"/>
            <w:vAlign w:val="bottom"/>
          </w:tcPr>
          <w:p>
            <w:pPr>
              <w:jc w:val="center"/>
              <w:ind w:right="151"/>
              <w:spacing w:after="0"/>
              <w:rPr>
                <w:sz w:val="20"/>
                <w:szCs w:val="20"/>
                <w:color w:val="auto"/>
              </w:rPr>
            </w:pPr>
            <w:r>
              <w:rPr>
                <w:rFonts w:ascii="Arial" w:cs="Arial" w:eastAsia="Arial" w:hAnsi="Arial"/>
                <w:sz w:val="18"/>
                <w:szCs w:val="18"/>
                <w:color w:val="auto"/>
                <w:w w:val="95"/>
              </w:rPr>
              <w:t>3.2</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4.1</w:t>
            </w:r>
          </w:p>
        </w:tc>
        <w:tc>
          <w:tcPr>
            <w:tcW w:w="5400" w:type="dxa"/>
            <w:vAlign w:val="bottom"/>
            <w:gridSpan w:val="37"/>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282">
              <w:r>
                <w:rPr>
                  <w:rFonts w:ascii="Arial" w:cs="Arial" w:eastAsia="Arial" w:hAnsi="Arial"/>
                  <w:sz w:val="18"/>
                  <w:szCs w:val="18"/>
                  <w:color w:val="0563C1"/>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283">
              <w:r>
                <w:rPr>
                  <w:rFonts w:ascii="Arial" w:cs="Arial" w:eastAsia="Arial" w:hAnsi="Arial"/>
                  <w:sz w:val="18"/>
                  <w:szCs w:val="18"/>
                  <w:color w:val="0563C1"/>
                </w:rPr>
                <w:t>3.2</w:t>
              </w:r>
            </w:hyperlink>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right w:val="single" w:sz="8" w:color="0563C1"/>
            </w:tcBorders>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563C1"/>
            </w:tcBorders>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4.2</w:t>
            </w:r>
          </w:p>
        </w:tc>
        <w:tc>
          <w:tcPr>
            <w:tcW w:w="2600" w:type="dxa"/>
            <w:vAlign w:val="bottom"/>
            <w:tcBorders>
              <w:bottom w:val="single" w:sz="8" w:color="0563C1"/>
            </w:tcBorders>
            <w:gridSpan w:val="10"/>
          </w:tcPr>
          <w:p>
            <w:pPr>
              <w:spacing w:after="0"/>
              <w:rPr>
                <w:rFonts w:ascii="Arial" w:cs="Arial" w:eastAsia="Arial" w:hAnsi="Arial"/>
                <w:sz w:val="18"/>
                <w:szCs w:val="18"/>
                <w:color w:val="0563C1"/>
                <w:w w:val="91"/>
              </w:rPr>
            </w:pPr>
            <w:hyperlink r:id="rId284">
              <w:r>
                <w:rPr>
                  <w:rFonts w:ascii="Arial" w:cs="Arial" w:eastAsia="Arial" w:hAnsi="Arial"/>
                  <w:sz w:val="18"/>
                  <w:szCs w:val="18"/>
                  <w:color w:val="0563C1"/>
                  <w:w w:val="91"/>
                </w:rPr>
                <w:t>Form of Common Stock Certificate.</w:t>
              </w:r>
            </w:hyperlink>
          </w:p>
        </w:tc>
        <w:tc>
          <w:tcPr>
            <w:tcW w:w="2800" w:type="dxa"/>
            <w:vAlign w:val="bottom"/>
            <w:gridSpan w:val="27"/>
          </w:tcPr>
          <w:p>
            <w:pPr>
              <w:spacing w:after="0"/>
              <w:rPr>
                <w:sz w:val="19"/>
                <w:szCs w:val="19"/>
                <w:color w:val="auto"/>
              </w:rPr>
            </w:pPr>
          </w:p>
        </w:tc>
        <w:tc>
          <w:tcPr>
            <w:tcW w:w="820" w:type="dxa"/>
            <w:vAlign w:val="bottom"/>
          </w:tcPr>
          <w:p>
            <w:pPr>
              <w:jc w:val="center"/>
              <w:ind w:left="111"/>
              <w:spacing w:after="0"/>
              <w:rPr>
                <w:sz w:val="20"/>
                <w:szCs w:val="20"/>
                <w:color w:val="auto"/>
              </w:rPr>
            </w:pPr>
            <w:r>
              <w:rPr>
                <w:rFonts w:ascii="Arial" w:cs="Arial" w:eastAsia="Arial" w:hAnsi="Arial"/>
                <w:sz w:val="18"/>
                <w:szCs w:val="18"/>
                <w:color w:val="auto"/>
                <w:w w:val="93"/>
              </w:rPr>
              <w:t>S-1/A</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10/9/2020</w:t>
            </w:r>
          </w:p>
        </w:tc>
        <w:tc>
          <w:tcPr>
            <w:tcW w:w="880" w:type="dxa"/>
            <w:vAlign w:val="bottom"/>
          </w:tcPr>
          <w:p>
            <w:pPr>
              <w:jc w:val="center"/>
              <w:ind w:right="151"/>
              <w:spacing w:after="0"/>
              <w:rPr>
                <w:sz w:val="20"/>
                <w:szCs w:val="20"/>
                <w:color w:val="auto"/>
              </w:rPr>
            </w:pPr>
            <w:r>
              <w:rPr>
                <w:rFonts w:ascii="Arial" w:cs="Arial" w:eastAsia="Arial" w:hAnsi="Arial"/>
                <w:sz w:val="18"/>
                <w:szCs w:val="18"/>
                <w:color w:val="auto"/>
                <w:w w:val="95"/>
              </w:rPr>
              <w:t>4.2</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4.3</w:t>
            </w:r>
          </w:p>
        </w:tc>
        <w:tc>
          <w:tcPr>
            <w:tcW w:w="5400" w:type="dxa"/>
            <w:vAlign w:val="bottom"/>
            <w:gridSpan w:val="37"/>
          </w:tcPr>
          <w:p>
            <w:pPr>
              <w:spacing w:after="0"/>
              <w:rPr>
                <w:rFonts w:ascii="Arial" w:cs="Arial" w:eastAsia="Arial" w:hAnsi="Arial"/>
                <w:sz w:val="18"/>
                <w:szCs w:val="18"/>
                <w:color w:val="0563C1"/>
              </w:rPr>
            </w:pPr>
            <w:hyperlink r:id="rId285">
              <w:r>
                <w:rPr>
                  <w:rFonts w:ascii="Arial" w:cs="Arial" w:eastAsia="Arial" w:hAnsi="Arial"/>
                  <w:sz w:val="18"/>
                  <w:szCs w:val="18"/>
                  <w:color w:val="0563C1"/>
                </w:rPr>
                <w:t>Description of Securities.</w:t>
              </w:r>
            </w:hyperlink>
          </w:p>
        </w:tc>
        <w:tc>
          <w:tcPr>
            <w:tcW w:w="820" w:type="dxa"/>
            <w:vAlign w:val="bottom"/>
          </w:tcPr>
          <w:p>
            <w:pPr>
              <w:jc w:val="center"/>
              <w:ind w:left="111"/>
              <w:spacing w:after="0"/>
              <w:rPr>
                <w:sz w:val="20"/>
                <w:szCs w:val="20"/>
                <w:color w:val="auto"/>
              </w:rPr>
            </w:pPr>
            <w:r>
              <w:rPr>
                <w:rFonts w:ascii="Arial" w:cs="Arial" w:eastAsia="Arial" w:hAnsi="Arial"/>
                <w:sz w:val="18"/>
                <w:szCs w:val="18"/>
                <w:color w:val="auto"/>
                <w:w w:val="99"/>
              </w:rPr>
              <w:t>10-K</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3/23/2021</w:t>
            </w:r>
          </w:p>
        </w:tc>
        <w:tc>
          <w:tcPr>
            <w:tcW w:w="880" w:type="dxa"/>
            <w:vAlign w:val="bottom"/>
          </w:tcPr>
          <w:p>
            <w:pPr>
              <w:jc w:val="center"/>
              <w:ind w:right="151"/>
              <w:spacing w:after="0"/>
              <w:rPr>
                <w:sz w:val="20"/>
                <w:szCs w:val="20"/>
                <w:color w:val="auto"/>
              </w:rPr>
            </w:pPr>
            <w:r>
              <w:rPr>
                <w:rFonts w:ascii="Arial" w:cs="Arial" w:eastAsia="Arial" w:hAnsi="Arial"/>
                <w:sz w:val="18"/>
                <w:szCs w:val="18"/>
                <w:color w:val="auto"/>
                <w:w w:val="95"/>
              </w:rPr>
              <w:t>4.3</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10.1(a)†</w:t>
            </w:r>
          </w:p>
        </w:tc>
        <w:tc>
          <w:tcPr>
            <w:tcW w:w="4820" w:type="dxa"/>
            <w:vAlign w:val="bottom"/>
            <w:tcBorders>
              <w:bottom w:val="single" w:sz="8" w:color="0563C1"/>
            </w:tcBorders>
            <w:gridSpan w:val="25"/>
          </w:tcPr>
          <w:p>
            <w:pPr>
              <w:spacing w:after="0"/>
              <w:rPr>
                <w:rFonts w:ascii="Arial" w:cs="Arial" w:eastAsia="Arial" w:hAnsi="Arial"/>
                <w:sz w:val="18"/>
                <w:szCs w:val="18"/>
                <w:color w:val="0563C1"/>
                <w:w w:val="92"/>
              </w:rPr>
            </w:pPr>
            <w:hyperlink r:id="rId286">
              <w:r>
                <w:rPr>
                  <w:rFonts w:ascii="Arial" w:cs="Arial" w:eastAsia="Arial" w:hAnsi="Arial"/>
                  <w:sz w:val="18"/>
                  <w:szCs w:val="18"/>
                  <w:color w:val="0563C1"/>
                  <w:w w:val="92"/>
                </w:rPr>
                <w:t>Aligos Therapeutics/Emory University License Agreement by and</w:t>
              </w:r>
            </w:hyperlink>
          </w:p>
        </w:tc>
        <w:tc>
          <w:tcPr>
            <w:tcW w:w="580" w:type="dxa"/>
            <w:vAlign w:val="bottom"/>
            <w:gridSpan w:val="12"/>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400" w:type="dxa"/>
            <w:vAlign w:val="bottom"/>
            <w:gridSpan w:val="37"/>
          </w:tcPr>
          <w:p>
            <w:pPr>
              <w:spacing w:after="0" w:line="196" w:lineRule="exact"/>
              <w:rPr>
                <w:rFonts w:ascii="Arial" w:cs="Arial" w:eastAsia="Arial" w:hAnsi="Arial"/>
                <w:sz w:val="18"/>
                <w:szCs w:val="18"/>
                <w:color w:val="0563C1"/>
                <w:w w:val="93"/>
              </w:rPr>
            </w:pPr>
            <w:hyperlink r:id="rId286">
              <w:r>
                <w:rPr>
                  <w:rFonts w:ascii="Arial" w:cs="Arial" w:eastAsia="Arial" w:hAnsi="Arial"/>
                  <w:sz w:val="18"/>
                  <w:szCs w:val="18"/>
                  <w:color w:val="0563C1"/>
                  <w:w w:val="93"/>
                </w:rPr>
                <w:t>between Aligos Therapeutics, Inc. and Emory University, dated June 26,</w:t>
              </w:r>
            </w:hyperlink>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00" w:type="dxa"/>
            <w:vAlign w:val="bottom"/>
            <w:tcBorders>
              <w:top w:val="single" w:sz="8" w:color="0563C1"/>
              <w:bottom w:val="single" w:sz="8" w:color="0563C1"/>
            </w:tcBorders>
          </w:tcPr>
          <w:p>
            <w:pPr>
              <w:spacing w:after="0" w:line="196" w:lineRule="exact"/>
              <w:rPr>
                <w:rFonts w:ascii="Arial" w:cs="Arial" w:eastAsia="Arial" w:hAnsi="Arial"/>
                <w:sz w:val="18"/>
                <w:szCs w:val="18"/>
                <w:color w:val="0563C1"/>
                <w:w w:val="84"/>
              </w:rPr>
            </w:pPr>
            <w:hyperlink r:id="rId286">
              <w:r>
                <w:rPr>
                  <w:rFonts w:ascii="Arial" w:cs="Arial" w:eastAsia="Arial" w:hAnsi="Arial"/>
                  <w:sz w:val="18"/>
                  <w:szCs w:val="18"/>
                  <w:color w:val="0563C1"/>
                  <w:w w:val="84"/>
                </w:rPr>
                <w:t>2018.</w:t>
              </w:r>
            </w:hyperlink>
          </w:p>
        </w:tc>
        <w:tc>
          <w:tcPr>
            <w:tcW w:w="20" w:type="dxa"/>
            <w:vAlign w:val="bottom"/>
            <w:tcBorders>
              <w:top w:val="single" w:sz="8" w:color="0563C1"/>
              <w:bottom w:val="single" w:sz="8" w:color="0000EE"/>
            </w:tcBorders>
          </w:tcPr>
          <w:p>
            <w:pPr>
              <w:spacing w:after="0"/>
              <w:rPr>
                <w:sz w:val="17"/>
                <w:szCs w:val="17"/>
                <w:color w:val="auto"/>
              </w:rPr>
            </w:pPr>
          </w:p>
        </w:tc>
        <w:tc>
          <w:tcPr>
            <w:tcW w:w="460" w:type="dxa"/>
            <w:vAlign w:val="bottom"/>
            <w:tcBorders>
              <w:top w:val="single" w:sz="8" w:color="0563C1"/>
            </w:tcBorders>
          </w:tcPr>
          <w:p>
            <w:pPr>
              <w:spacing w:after="0"/>
              <w:rPr>
                <w:sz w:val="17"/>
                <w:szCs w:val="17"/>
                <w:color w:val="auto"/>
              </w:rPr>
            </w:pPr>
          </w:p>
        </w:tc>
        <w:tc>
          <w:tcPr>
            <w:tcW w:w="72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180" w:type="dxa"/>
            <w:vAlign w:val="bottom"/>
            <w:tcBorders>
              <w:top w:val="single" w:sz="8" w:color="0563C1"/>
            </w:tcBorders>
          </w:tcPr>
          <w:p>
            <w:pPr>
              <w:spacing w:after="0"/>
              <w:rPr>
                <w:sz w:val="17"/>
                <w:szCs w:val="17"/>
                <w:color w:val="auto"/>
              </w:rPr>
            </w:pPr>
          </w:p>
        </w:tc>
        <w:tc>
          <w:tcPr>
            <w:tcW w:w="26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18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320" w:type="dxa"/>
            <w:vAlign w:val="bottom"/>
            <w:tcBorders>
              <w:top w:val="single" w:sz="8" w:color="0563C1"/>
            </w:tcBorders>
          </w:tcPr>
          <w:p>
            <w:pPr>
              <w:spacing w:after="0"/>
              <w:rPr>
                <w:sz w:val="17"/>
                <w:szCs w:val="17"/>
                <w:color w:val="auto"/>
              </w:rPr>
            </w:pPr>
          </w:p>
        </w:tc>
        <w:tc>
          <w:tcPr>
            <w:tcW w:w="60" w:type="dxa"/>
            <w:vAlign w:val="bottom"/>
            <w:tcBorders>
              <w:top w:val="single" w:sz="8" w:color="0563C1"/>
            </w:tcBorders>
          </w:tcPr>
          <w:p>
            <w:pPr>
              <w:spacing w:after="0"/>
              <w:rPr>
                <w:sz w:val="17"/>
                <w:szCs w:val="17"/>
                <w:color w:val="auto"/>
              </w:rPr>
            </w:pPr>
          </w:p>
        </w:tc>
        <w:tc>
          <w:tcPr>
            <w:tcW w:w="140" w:type="dxa"/>
            <w:vAlign w:val="bottom"/>
            <w:tcBorders>
              <w:top w:val="single" w:sz="8" w:color="0563C1"/>
            </w:tcBorders>
          </w:tcPr>
          <w:p>
            <w:pPr>
              <w:spacing w:after="0"/>
              <w:rPr>
                <w:sz w:val="17"/>
                <w:szCs w:val="17"/>
                <w:color w:val="auto"/>
              </w:rPr>
            </w:pPr>
          </w:p>
        </w:tc>
        <w:tc>
          <w:tcPr>
            <w:tcW w:w="160" w:type="dxa"/>
            <w:vAlign w:val="bottom"/>
            <w:tcBorders>
              <w:top w:val="single" w:sz="8" w:color="0563C1"/>
            </w:tcBorders>
          </w:tcPr>
          <w:p>
            <w:pPr>
              <w:spacing w:after="0"/>
              <w:rPr>
                <w:sz w:val="17"/>
                <w:szCs w:val="17"/>
                <w:color w:val="auto"/>
              </w:rPr>
            </w:pPr>
          </w:p>
        </w:tc>
        <w:tc>
          <w:tcPr>
            <w:tcW w:w="34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60" w:type="dxa"/>
            <w:vAlign w:val="bottom"/>
            <w:tcBorders>
              <w:top w:val="single" w:sz="8" w:color="0563C1"/>
            </w:tcBorders>
          </w:tcPr>
          <w:p>
            <w:pPr>
              <w:spacing w:after="0"/>
              <w:rPr>
                <w:sz w:val="17"/>
                <w:szCs w:val="17"/>
                <w:color w:val="auto"/>
              </w:rPr>
            </w:pPr>
          </w:p>
        </w:tc>
        <w:tc>
          <w:tcPr>
            <w:tcW w:w="18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6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60" w:type="dxa"/>
            <w:vAlign w:val="bottom"/>
            <w:tcBorders>
              <w:top w:val="single" w:sz="8" w:color="0563C1"/>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2"/>
              </w:rPr>
              <w:t>S-1</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9/25/2020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10.1(a)</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10.1(b)†</w:t>
            </w:r>
          </w:p>
        </w:tc>
        <w:tc>
          <w:tcPr>
            <w:tcW w:w="4640" w:type="dxa"/>
            <w:vAlign w:val="bottom"/>
            <w:tcBorders>
              <w:bottom w:val="single" w:sz="8" w:color="0563C1"/>
            </w:tcBorders>
            <w:gridSpan w:val="24"/>
          </w:tcPr>
          <w:p>
            <w:pPr>
              <w:spacing w:after="0"/>
              <w:rPr>
                <w:rFonts w:ascii="Arial" w:cs="Arial" w:eastAsia="Arial" w:hAnsi="Arial"/>
                <w:sz w:val="18"/>
                <w:szCs w:val="18"/>
                <w:color w:val="0563C1"/>
                <w:w w:val="91"/>
              </w:rPr>
            </w:pPr>
            <w:hyperlink r:id="rId287">
              <w:r>
                <w:rPr>
                  <w:rFonts w:ascii="Arial" w:cs="Arial" w:eastAsia="Arial" w:hAnsi="Arial"/>
                  <w:sz w:val="18"/>
                  <w:szCs w:val="18"/>
                  <w:color w:val="0563C1"/>
                  <w:w w:val="91"/>
                </w:rPr>
                <w:t>First Amendment to License Agreement by and between Aligos</w:t>
              </w:r>
            </w:hyperlink>
          </w:p>
        </w:tc>
        <w:tc>
          <w:tcPr>
            <w:tcW w:w="760" w:type="dxa"/>
            <w:vAlign w:val="bottom"/>
            <w:gridSpan w:val="13"/>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500" w:type="dxa"/>
            <w:vAlign w:val="bottom"/>
            <w:tcBorders>
              <w:bottom w:val="single" w:sz="8" w:color="0563C1"/>
            </w:tcBorders>
            <w:gridSpan w:val="22"/>
          </w:tcPr>
          <w:p>
            <w:pPr>
              <w:spacing w:after="0" w:line="196" w:lineRule="exact"/>
              <w:rPr>
                <w:rFonts w:ascii="Arial" w:cs="Arial" w:eastAsia="Arial" w:hAnsi="Arial"/>
                <w:sz w:val="18"/>
                <w:szCs w:val="18"/>
                <w:color w:val="0563C1"/>
                <w:w w:val="89"/>
              </w:rPr>
            </w:pPr>
            <w:hyperlink r:id="rId287">
              <w:r>
                <w:rPr>
                  <w:rFonts w:ascii="Arial" w:cs="Arial" w:eastAsia="Arial" w:hAnsi="Arial"/>
                  <w:sz w:val="18"/>
                  <w:szCs w:val="18"/>
                  <w:color w:val="0563C1"/>
                  <w:w w:val="89"/>
                </w:rPr>
                <w:t>Therapeutics, Inc. and Emory University, dated June 18, 2020.</w:t>
              </w:r>
            </w:hyperlink>
          </w:p>
        </w:tc>
        <w:tc>
          <w:tcPr>
            <w:tcW w:w="900" w:type="dxa"/>
            <w:vAlign w:val="bottom"/>
            <w:gridSpan w:val="15"/>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2"/>
              </w:rPr>
              <w:t>S-1</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9/25/2020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10.1(b)</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10.2(a)†</w:t>
            </w:r>
          </w:p>
        </w:tc>
        <w:tc>
          <w:tcPr>
            <w:tcW w:w="5320" w:type="dxa"/>
            <w:vAlign w:val="bottom"/>
            <w:tcBorders>
              <w:bottom w:val="single" w:sz="8" w:color="0563C1"/>
            </w:tcBorders>
            <w:gridSpan w:val="36"/>
          </w:tcPr>
          <w:p>
            <w:pPr>
              <w:spacing w:after="0"/>
              <w:rPr>
                <w:rFonts w:ascii="Arial" w:cs="Arial" w:eastAsia="Arial" w:hAnsi="Arial"/>
                <w:sz w:val="18"/>
                <w:szCs w:val="18"/>
                <w:color w:val="0563C1"/>
                <w:w w:val="91"/>
              </w:rPr>
            </w:pPr>
            <w:hyperlink r:id="rId288">
              <w:r>
                <w:rPr>
                  <w:rFonts w:ascii="Arial" w:cs="Arial" w:eastAsia="Arial" w:hAnsi="Arial"/>
                  <w:sz w:val="18"/>
                  <w:szCs w:val="18"/>
                  <w:color w:val="0563C1"/>
                  <w:w w:val="91"/>
                </w:rPr>
                <w:t>License Agreement by and between Aligos Therapeutics, Inc. and Luxna</w:t>
              </w:r>
            </w:hyperlink>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400" w:type="dxa"/>
            <w:vAlign w:val="bottom"/>
            <w:gridSpan w:val="37"/>
          </w:tcPr>
          <w:p>
            <w:pPr>
              <w:spacing w:after="0" w:line="196" w:lineRule="exact"/>
              <w:rPr>
                <w:rFonts w:ascii="Arial" w:cs="Arial" w:eastAsia="Arial" w:hAnsi="Arial"/>
                <w:sz w:val="18"/>
                <w:szCs w:val="18"/>
                <w:color w:val="0563C1"/>
              </w:rPr>
            </w:pPr>
            <w:hyperlink r:id="rId288">
              <w:r>
                <w:rPr>
                  <w:rFonts w:ascii="Arial" w:cs="Arial" w:eastAsia="Arial" w:hAnsi="Arial"/>
                  <w:sz w:val="18"/>
                  <w:szCs w:val="18"/>
                  <w:color w:val="0563C1"/>
                </w:rPr>
                <w:t>Biotech Co., Ltd., dated December 19, 2018.</w:t>
              </w:r>
            </w:hyperlink>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2"/>
              </w:rPr>
              <w:t>S-1</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9/25/2020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10.2(a)</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6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320" w:type="dxa"/>
            <w:vAlign w:val="bottom"/>
            <w:tcBorders>
              <w:right w:val="single" w:sz="8" w:color="0563C1"/>
            </w:tcBorders>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10.2(b)†</w:t>
            </w:r>
          </w:p>
        </w:tc>
        <w:tc>
          <w:tcPr>
            <w:tcW w:w="5300" w:type="dxa"/>
            <w:vAlign w:val="bottom"/>
            <w:tcBorders>
              <w:bottom w:val="single" w:sz="8" w:color="0563C1"/>
            </w:tcBorders>
            <w:gridSpan w:val="35"/>
          </w:tcPr>
          <w:p>
            <w:pPr>
              <w:spacing w:after="0"/>
              <w:rPr>
                <w:rFonts w:ascii="Arial" w:cs="Arial" w:eastAsia="Arial" w:hAnsi="Arial"/>
                <w:sz w:val="18"/>
                <w:szCs w:val="18"/>
                <w:color w:val="0563C1"/>
                <w:w w:val="91"/>
              </w:rPr>
            </w:pPr>
            <w:hyperlink r:id="rId289">
              <w:r>
                <w:rPr>
                  <w:rFonts w:ascii="Arial" w:cs="Arial" w:eastAsia="Arial" w:hAnsi="Arial"/>
                  <w:sz w:val="18"/>
                  <w:szCs w:val="18"/>
                  <w:color w:val="0563C1"/>
                  <w:w w:val="91"/>
                </w:rPr>
                <w:t>Amendment to License Agreement by and between Aligos Therapeutics,</w:t>
              </w:r>
            </w:hyperlink>
          </w:p>
        </w:tc>
        <w:tc>
          <w:tcPr>
            <w:tcW w:w="100" w:type="dxa"/>
            <w:vAlign w:val="bottom"/>
            <w:gridSpan w:val="2"/>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400" w:type="dxa"/>
            <w:vAlign w:val="bottom"/>
            <w:gridSpan w:val="37"/>
          </w:tcPr>
          <w:p>
            <w:pPr>
              <w:spacing w:after="0" w:line="196" w:lineRule="exact"/>
              <w:rPr>
                <w:rFonts w:ascii="Arial" w:cs="Arial" w:eastAsia="Arial" w:hAnsi="Arial"/>
                <w:sz w:val="18"/>
                <w:szCs w:val="18"/>
                <w:color w:val="0563C1"/>
              </w:rPr>
            </w:pPr>
            <w:hyperlink r:id="rId289">
              <w:r>
                <w:rPr>
                  <w:rFonts w:ascii="Arial" w:cs="Arial" w:eastAsia="Arial" w:hAnsi="Arial"/>
                  <w:sz w:val="18"/>
                  <w:szCs w:val="18"/>
                  <w:color w:val="0563C1"/>
                </w:rPr>
                <w:t>Inc. and Luxna Biotech Co., Ltd., dated April 8, 2020.</w:t>
              </w:r>
            </w:hyperlink>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2"/>
              </w:rPr>
              <w:t>S-1</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9/25/2020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10.2(b)</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6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320" w:type="dxa"/>
            <w:vAlign w:val="bottom"/>
            <w:tcBorders>
              <w:right w:val="single" w:sz="8" w:color="0563C1"/>
            </w:tcBorders>
            <w:gridSpan w:val="2"/>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300" w:type="dxa"/>
            <w:vAlign w:val="bottom"/>
            <w:gridSpan w:val="2"/>
            <w:shd w:val="clear" w:color="auto" w:fill="0563C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10.3</w:t>
            </w:r>
          </w:p>
        </w:tc>
        <w:tc>
          <w:tcPr>
            <w:tcW w:w="5280" w:type="dxa"/>
            <w:vAlign w:val="bottom"/>
            <w:tcBorders>
              <w:bottom w:val="single" w:sz="8" w:color="0563C1"/>
            </w:tcBorders>
            <w:gridSpan w:val="34"/>
          </w:tcPr>
          <w:p>
            <w:pPr>
              <w:spacing w:after="0"/>
              <w:rPr>
                <w:rFonts w:ascii="Arial" w:cs="Arial" w:eastAsia="Arial" w:hAnsi="Arial"/>
                <w:sz w:val="18"/>
                <w:szCs w:val="18"/>
                <w:color w:val="0563C1"/>
                <w:w w:val="91"/>
              </w:rPr>
            </w:pPr>
            <w:hyperlink r:id="rId290">
              <w:r>
                <w:rPr>
                  <w:rFonts w:ascii="Arial" w:cs="Arial" w:eastAsia="Arial" w:hAnsi="Arial"/>
                  <w:sz w:val="18"/>
                  <w:szCs w:val="18"/>
                  <w:color w:val="0563C1"/>
                  <w:w w:val="91"/>
                </w:rPr>
                <w:t>Lease between Aligos Therapeutics, Inc. and Britannia Biotech Gateway</w:t>
              </w:r>
            </w:hyperlink>
          </w:p>
        </w:tc>
        <w:tc>
          <w:tcPr>
            <w:tcW w:w="120" w:type="dxa"/>
            <w:vAlign w:val="bottom"/>
            <w:gridSpan w:val="3"/>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400" w:type="dxa"/>
            <w:vAlign w:val="bottom"/>
            <w:gridSpan w:val="37"/>
          </w:tcPr>
          <w:p>
            <w:pPr>
              <w:spacing w:after="0" w:line="196" w:lineRule="exact"/>
              <w:rPr>
                <w:rFonts w:ascii="Arial" w:cs="Arial" w:eastAsia="Arial" w:hAnsi="Arial"/>
                <w:sz w:val="18"/>
                <w:szCs w:val="18"/>
                <w:color w:val="0563C1"/>
              </w:rPr>
            </w:pPr>
            <w:hyperlink r:id="rId290">
              <w:r>
                <w:rPr>
                  <w:rFonts w:ascii="Arial" w:cs="Arial" w:eastAsia="Arial" w:hAnsi="Arial"/>
                  <w:sz w:val="18"/>
                  <w:szCs w:val="18"/>
                  <w:color w:val="0563C1"/>
                </w:rPr>
                <w:t>Limited Partnership, dated June 21, 2018.</w:t>
              </w:r>
            </w:hyperlink>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2"/>
              </w:rPr>
              <w:t>S-1</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9/25/2020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10.3</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260" w:type="dxa"/>
            <w:vAlign w:val="bottom"/>
            <w:tcBorders>
              <w:right w:val="single" w:sz="8" w:color="0563C1"/>
            </w:tcBorders>
            <w:shd w:val="clear" w:color="auto" w:fill="0563C1"/>
          </w:tcPr>
          <w:p>
            <w:pPr>
              <w:spacing w:after="0" w:line="20" w:lineRule="exact"/>
              <w:rPr>
                <w:sz w:val="1"/>
                <w:szCs w:val="1"/>
                <w:color w:val="auto"/>
              </w:rPr>
            </w:pPr>
          </w:p>
        </w:tc>
        <w:tc>
          <w:tcPr>
            <w:tcW w:w="420" w:type="dxa"/>
            <w:vAlign w:val="bottom"/>
            <w:gridSpan w:val="4"/>
            <w:shd w:val="clear" w:color="auto" w:fill="0563C1"/>
          </w:tcPr>
          <w:p>
            <w:pPr>
              <w:spacing w:after="0" w:line="20" w:lineRule="exact"/>
              <w:rPr>
                <w:sz w:val="1"/>
                <w:szCs w:val="1"/>
                <w:color w:val="auto"/>
              </w:rPr>
            </w:pPr>
          </w:p>
        </w:tc>
        <w:tc>
          <w:tcPr>
            <w:tcW w:w="320" w:type="dxa"/>
            <w:vAlign w:val="bottom"/>
            <w:tcBorders>
              <w:right w:val="single" w:sz="8" w:color="0563C1"/>
            </w:tcBorders>
            <w:gridSpan w:val="2"/>
            <w:shd w:val="clear" w:color="auto" w:fill="0563C1"/>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10.4</w:t>
            </w:r>
          </w:p>
        </w:tc>
        <w:tc>
          <w:tcPr>
            <w:tcW w:w="5400" w:type="dxa"/>
            <w:vAlign w:val="bottom"/>
            <w:gridSpan w:val="37"/>
          </w:tcPr>
          <w:p>
            <w:pPr>
              <w:spacing w:after="0"/>
              <w:rPr>
                <w:rFonts w:ascii="Arial" w:cs="Arial" w:eastAsia="Arial" w:hAnsi="Arial"/>
                <w:sz w:val="18"/>
                <w:szCs w:val="18"/>
                <w:color w:val="0563C1"/>
                <w:w w:val="96"/>
              </w:rPr>
            </w:pPr>
            <w:hyperlink r:id="rId291">
              <w:r>
                <w:rPr>
                  <w:rFonts w:ascii="Arial" w:cs="Arial" w:eastAsia="Arial" w:hAnsi="Arial"/>
                  <w:sz w:val="18"/>
                  <w:szCs w:val="18"/>
                  <w:color w:val="0563C1"/>
                  <w:w w:val="96"/>
                </w:rPr>
                <w:t>Amended and Restated Investors’ Rights Agreement dated October 9,</w:t>
              </w:r>
            </w:hyperlink>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00" w:type="dxa"/>
            <w:vAlign w:val="bottom"/>
            <w:tcBorders>
              <w:top w:val="single" w:sz="8" w:color="0563C1"/>
              <w:bottom w:val="single" w:sz="8" w:color="0563C1"/>
            </w:tcBorders>
          </w:tcPr>
          <w:p>
            <w:pPr>
              <w:spacing w:after="0" w:line="196" w:lineRule="exact"/>
              <w:rPr>
                <w:rFonts w:ascii="Arial" w:cs="Arial" w:eastAsia="Arial" w:hAnsi="Arial"/>
                <w:sz w:val="18"/>
                <w:szCs w:val="18"/>
                <w:color w:val="0563C1"/>
                <w:w w:val="84"/>
              </w:rPr>
            </w:pPr>
            <w:hyperlink r:id="rId291">
              <w:r>
                <w:rPr>
                  <w:rFonts w:ascii="Arial" w:cs="Arial" w:eastAsia="Arial" w:hAnsi="Arial"/>
                  <w:sz w:val="18"/>
                  <w:szCs w:val="18"/>
                  <w:color w:val="0563C1"/>
                  <w:w w:val="84"/>
                </w:rPr>
                <w:t>2020.</w:t>
              </w:r>
            </w:hyperlink>
          </w:p>
        </w:tc>
        <w:tc>
          <w:tcPr>
            <w:tcW w:w="20" w:type="dxa"/>
            <w:vAlign w:val="bottom"/>
            <w:tcBorders>
              <w:top w:val="single" w:sz="8" w:color="0563C1"/>
            </w:tcBorders>
          </w:tcPr>
          <w:p>
            <w:pPr>
              <w:spacing w:after="0"/>
              <w:rPr>
                <w:sz w:val="17"/>
                <w:szCs w:val="17"/>
                <w:color w:val="auto"/>
              </w:rPr>
            </w:pPr>
          </w:p>
        </w:tc>
        <w:tc>
          <w:tcPr>
            <w:tcW w:w="460" w:type="dxa"/>
            <w:vAlign w:val="bottom"/>
            <w:tcBorders>
              <w:top w:val="single" w:sz="8" w:color="0563C1"/>
            </w:tcBorders>
          </w:tcPr>
          <w:p>
            <w:pPr>
              <w:spacing w:after="0"/>
              <w:rPr>
                <w:sz w:val="17"/>
                <w:szCs w:val="17"/>
                <w:color w:val="auto"/>
              </w:rPr>
            </w:pPr>
          </w:p>
        </w:tc>
        <w:tc>
          <w:tcPr>
            <w:tcW w:w="72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180" w:type="dxa"/>
            <w:vAlign w:val="bottom"/>
            <w:tcBorders>
              <w:top w:val="single" w:sz="8" w:color="0563C1"/>
            </w:tcBorders>
          </w:tcPr>
          <w:p>
            <w:pPr>
              <w:spacing w:after="0"/>
              <w:rPr>
                <w:sz w:val="17"/>
                <w:szCs w:val="17"/>
                <w:color w:val="auto"/>
              </w:rPr>
            </w:pPr>
          </w:p>
        </w:tc>
        <w:tc>
          <w:tcPr>
            <w:tcW w:w="26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18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320" w:type="dxa"/>
            <w:vAlign w:val="bottom"/>
            <w:tcBorders>
              <w:top w:val="single" w:sz="8" w:color="0563C1"/>
            </w:tcBorders>
          </w:tcPr>
          <w:p>
            <w:pPr>
              <w:spacing w:after="0"/>
              <w:rPr>
                <w:sz w:val="17"/>
                <w:szCs w:val="17"/>
                <w:color w:val="auto"/>
              </w:rPr>
            </w:pPr>
          </w:p>
        </w:tc>
        <w:tc>
          <w:tcPr>
            <w:tcW w:w="60" w:type="dxa"/>
            <w:vAlign w:val="bottom"/>
            <w:tcBorders>
              <w:top w:val="single" w:sz="8" w:color="0563C1"/>
            </w:tcBorders>
          </w:tcPr>
          <w:p>
            <w:pPr>
              <w:spacing w:after="0"/>
              <w:rPr>
                <w:sz w:val="17"/>
                <w:szCs w:val="17"/>
                <w:color w:val="auto"/>
              </w:rPr>
            </w:pPr>
          </w:p>
        </w:tc>
        <w:tc>
          <w:tcPr>
            <w:tcW w:w="140" w:type="dxa"/>
            <w:vAlign w:val="bottom"/>
            <w:tcBorders>
              <w:top w:val="single" w:sz="8" w:color="0563C1"/>
            </w:tcBorders>
          </w:tcPr>
          <w:p>
            <w:pPr>
              <w:spacing w:after="0"/>
              <w:rPr>
                <w:sz w:val="17"/>
                <w:szCs w:val="17"/>
                <w:color w:val="auto"/>
              </w:rPr>
            </w:pPr>
          </w:p>
        </w:tc>
        <w:tc>
          <w:tcPr>
            <w:tcW w:w="160" w:type="dxa"/>
            <w:vAlign w:val="bottom"/>
            <w:tcBorders>
              <w:top w:val="single" w:sz="8" w:color="0563C1"/>
            </w:tcBorders>
          </w:tcPr>
          <w:p>
            <w:pPr>
              <w:spacing w:after="0"/>
              <w:rPr>
                <w:sz w:val="17"/>
                <w:szCs w:val="17"/>
                <w:color w:val="auto"/>
              </w:rPr>
            </w:pPr>
          </w:p>
        </w:tc>
        <w:tc>
          <w:tcPr>
            <w:tcW w:w="34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60" w:type="dxa"/>
            <w:vAlign w:val="bottom"/>
            <w:tcBorders>
              <w:top w:val="single" w:sz="8" w:color="0563C1"/>
            </w:tcBorders>
          </w:tcPr>
          <w:p>
            <w:pPr>
              <w:spacing w:after="0"/>
              <w:rPr>
                <w:sz w:val="17"/>
                <w:szCs w:val="17"/>
                <w:color w:val="auto"/>
              </w:rPr>
            </w:pPr>
          </w:p>
        </w:tc>
        <w:tc>
          <w:tcPr>
            <w:tcW w:w="18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6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3"/>
              </w:rPr>
              <w:t>S-1/A</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10/9/2020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10.4</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10.5(a)#</w:t>
            </w:r>
          </w:p>
        </w:tc>
        <w:tc>
          <w:tcPr>
            <w:tcW w:w="3000" w:type="dxa"/>
            <w:vAlign w:val="bottom"/>
            <w:tcBorders>
              <w:bottom w:val="single" w:sz="8" w:color="0563C1"/>
            </w:tcBorders>
            <w:gridSpan w:val="13"/>
          </w:tcPr>
          <w:p>
            <w:pPr>
              <w:spacing w:after="0"/>
              <w:rPr>
                <w:rFonts w:ascii="Arial" w:cs="Arial" w:eastAsia="Arial" w:hAnsi="Arial"/>
                <w:sz w:val="18"/>
                <w:szCs w:val="18"/>
                <w:color w:val="0563C1"/>
                <w:w w:val="90"/>
              </w:rPr>
            </w:pPr>
            <w:hyperlink r:id="rId292">
              <w:r>
                <w:rPr>
                  <w:rFonts w:ascii="Arial" w:cs="Arial" w:eastAsia="Arial" w:hAnsi="Arial"/>
                  <w:sz w:val="18"/>
                  <w:szCs w:val="18"/>
                  <w:color w:val="0563C1"/>
                  <w:w w:val="90"/>
                </w:rPr>
                <w:t>2018 Equity Incentive Plan, as amended.</w:t>
              </w:r>
            </w:hyperlink>
          </w:p>
        </w:tc>
        <w:tc>
          <w:tcPr>
            <w:tcW w:w="2400" w:type="dxa"/>
            <w:vAlign w:val="bottom"/>
            <w:gridSpan w:val="24"/>
          </w:tcPr>
          <w:p>
            <w:pPr>
              <w:spacing w:after="0"/>
              <w:rPr>
                <w:sz w:val="19"/>
                <w:szCs w:val="19"/>
                <w:color w:val="auto"/>
              </w:rPr>
            </w:pPr>
          </w:p>
        </w:tc>
        <w:tc>
          <w:tcPr>
            <w:tcW w:w="820" w:type="dxa"/>
            <w:vAlign w:val="bottom"/>
          </w:tcPr>
          <w:p>
            <w:pPr>
              <w:jc w:val="center"/>
              <w:ind w:left="111"/>
              <w:spacing w:after="0"/>
              <w:rPr>
                <w:sz w:val="20"/>
                <w:szCs w:val="20"/>
                <w:color w:val="auto"/>
              </w:rPr>
            </w:pPr>
            <w:r>
              <w:rPr>
                <w:rFonts w:ascii="Arial" w:cs="Arial" w:eastAsia="Arial" w:hAnsi="Arial"/>
                <w:sz w:val="18"/>
                <w:szCs w:val="18"/>
                <w:color w:val="auto"/>
                <w:w w:val="92"/>
              </w:rPr>
              <w:t>S-1</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9/25/2020</w:t>
            </w:r>
          </w:p>
        </w:tc>
        <w:tc>
          <w:tcPr>
            <w:tcW w:w="880" w:type="dxa"/>
            <w:vAlign w:val="bottom"/>
          </w:tcPr>
          <w:p>
            <w:pPr>
              <w:jc w:val="center"/>
              <w:ind w:right="151"/>
              <w:spacing w:after="0"/>
              <w:rPr>
                <w:sz w:val="20"/>
                <w:szCs w:val="20"/>
                <w:color w:val="auto"/>
              </w:rPr>
            </w:pPr>
            <w:r>
              <w:rPr>
                <w:rFonts w:ascii="Arial" w:cs="Arial" w:eastAsia="Arial" w:hAnsi="Arial"/>
                <w:sz w:val="18"/>
                <w:szCs w:val="18"/>
                <w:color w:val="auto"/>
                <w:w w:val="91"/>
              </w:rPr>
              <w:t>10.5(a)</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10.5(b)#</w:t>
            </w:r>
          </w:p>
        </w:tc>
        <w:tc>
          <w:tcPr>
            <w:tcW w:w="5200" w:type="dxa"/>
            <w:vAlign w:val="bottom"/>
            <w:tcBorders>
              <w:bottom w:val="single" w:sz="8" w:color="0563C1"/>
            </w:tcBorders>
            <w:gridSpan w:val="32"/>
          </w:tcPr>
          <w:p>
            <w:pPr>
              <w:spacing w:after="0"/>
              <w:rPr>
                <w:rFonts w:ascii="Arial" w:cs="Arial" w:eastAsia="Arial" w:hAnsi="Arial"/>
                <w:sz w:val="18"/>
                <w:szCs w:val="18"/>
                <w:color w:val="0563C1"/>
                <w:w w:val="91"/>
              </w:rPr>
            </w:pPr>
            <w:hyperlink r:id="rId293">
              <w:r>
                <w:rPr>
                  <w:rFonts w:ascii="Arial" w:cs="Arial" w:eastAsia="Arial" w:hAnsi="Arial"/>
                  <w:sz w:val="18"/>
                  <w:szCs w:val="18"/>
                  <w:color w:val="0563C1"/>
                  <w:w w:val="91"/>
                </w:rPr>
                <w:t>Form of Stock Option Grant Notice and Stock Option Agreement under</w:t>
              </w:r>
            </w:hyperlink>
          </w:p>
        </w:tc>
        <w:tc>
          <w:tcPr>
            <w:tcW w:w="200" w:type="dxa"/>
            <w:vAlign w:val="bottom"/>
            <w:gridSpan w:val="5"/>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000" w:type="dxa"/>
            <w:vAlign w:val="bottom"/>
            <w:tcBorders>
              <w:bottom w:val="single" w:sz="8" w:color="0563C1"/>
            </w:tcBorders>
            <w:gridSpan w:val="13"/>
          </w:tcPr>
          <w:p>
            <w:pPr>
              <w:spacing w:after="0" w:line="196" w:lineRule="exact"/>
              <w:rPr>
                <w:rFonts w:ascii="Arial" w:cs="Arial" w:eastAsia="Arial" w:hAnsi="Arial"/>
                <w:sz w:val="18"/>
                <w:szCs w:val="18"/>
                <w:color w:val="0563C1"/>
                <w:w w:val="90"/>
              </w:rPr>
            </w:pPr>
            <w:hyperlink r:id="rId293">
              <w:r>
                <w:rPr>
                  <w:rFonts w:ascii="Arial" w:cs="Arial" w:eastAsia="Arial" w:hAnsi="Arial"/>
                  <w:sz w:val="18"/>
                  <w:szCs w:val="18"/>
                  <w:color w:val="0563C1"/>
                  <w:w w:val="90"/>
                </w:rPr>
                <w:t>2018 Equity Incentive Plan, as amended.</w:t>
              </w:r>
            </w:hyperlink>
          </w:p>
        </w:tc>
        <w:tc>
          <w:tcPr>
            <w:tcW w:w="2400" w:type="dxa"/>
            <w:vAlign w:val="bottom"/>
            <w:gridSpan w:val="24"/>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2"/>
              </w:rPr>
              <w:t>S-1</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9/25/2020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10.5(b)</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10.5(c)#</w:t>
            </w:r>
          </w:p>
        </w:tc>
        <w:tc>
          <w:tcPr>
            <w:tcW w:w="5000" w:type="dxa"/>
            <w:vAlign w:val="bottom"/>
            <w:tcBorders>
              <w:bottom w:val="single" w:sz="8" w:color="0563C1"/>
            </w:tcBorders>
            <w:gridSpan w:val="28"/>
          </w:tcPr>
          <w:p>
            <w:pPr>
              <w:spacing w:after="0"/>
              <w:rPr>
                <w:rFonts w:ascii="Arial" w:cs="Arial" w:eastAsia="Arial" w:hAnsi="Arial"/>
                <w:sz w:val="18"/>
                <w:szCs w:val="18"/>
                <w:color w:val="0563C1"/>
                <w:w w:val="92"/>
              </w:rPr>
            </w:pPr>
            <w:hyperlink r:id="rId294">
              <w:r>
                <w:rPr>
                  <w:rFonts w:ascii="Arial" w:cs="Arial" w:eastAsia="Arial" w:hAnsi="Arial"/>
                  <w:sz w:val="18"/>
                  <w:szCs w:val="18"/>
                  <w:color w:val="0563C1"/>
                  <w:w w:val="92"/>
                </w:rPr>
                <w:t>Form of Early Exercise Stock Option Grant Notice and Stock Option</w:t>
              </w:r>
            </w:hyperlink>
          </w:p>
        </w:tc>
        <w:tc>
          <w:tcPr>
            <w:tcW w:w="400" w:type="dxa"/>
            <w:vAlign w:val="bottom"/>
            <w:gridSpan w:val="9"/>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240" w:type="dxa"/>
            <w:vAlign w:val="bottom"/>
            <w:tcBorders>
              <w:bottom w:val="single" w:sz="8" w:color="0563C1"/>
            </w:tcBorders>
            <w:gridSpan w:val="19"/>
          </w:tcPr>
          <w:p>
            <w:pPr>
              <w:spacing w:after="0" w:line="196" w:lineRule="exact"/>
              <w:rPr>
                <w:rFonts w:ascii="Arial" w:cs="Arial" w:eastAsia="Arial" w:hAnsi="Arial"/>
                <w:sz w:val="18"/>
                <w:szCs w:val="18"/>
                <w:color w:val="0563C1"/>
                <w:w w:val="89"/>
              </w:rPr>
            </w:pPr>
            <w:hyperlink r:id="rId294">
              <w:r>
                <w:rPr>
                  <w:rFonts w:ascii="Arial" w:cs="Arial" w:eastAsia="Arial" w:hAnsi="Arial"/>
                  <w:sz w:val="18"/>
                  <w:szCs w:val="18"/>
                  <w:color w:val="0563C1"/>
                  <w:w w:val="89"/>
                </w:rPr>
                <w:t>Agreement under 2018 Equity Incentive Plan, as amended.</w:t>
              </w:r>
            </w:hyperlink>
          </w:p>
        </w:tc>
        <w:tc>
          <w:tcPr>
            <w:tcW w:w="20" w:type="dxa"/>
            <w:vAlign w:val="bottom"/>
            <w:tcBorders>
              <w:bottom w:val="single" w:sz="8" w:color="0000EE"/>
            </w:tcBorders>
          </w:tcPr>
          <w:p>
            <w:pPr>
              <w:spacing w:after="0"/>
              <w:rPr>
                <w:sz w:val="17"/>
                <w:szCs w:val="17"/>
                <w:color w:val="auto"/>
              </w:rPr>
            </w:pPr>
          </w:p>
        </w:tc>
        <w:tc>
          <w:tcPr>
            <w:tcW w:w="1140" w:type="dxa"/>
            <w:vAlign w:val="bottom"/>
            <w:gridSpan w:val="17"/>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2"/>
              </w:rPr>
              <w:t>S-1</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9/25/2020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2"/>
              </w:rPr>
              <w:t>10.5(c)</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10.5(d)#</w:t>
            </w:r>
          </w:p>
        </w:tc>
        <w:tc>
          <w:tcPr>
            <w:tcW w:w="4880" w:type="dxa"/>
            <w:vAlign w:val="bottom"/>
            <w:tcBorders>
              <w:bottom w:val="single" w:sz="8" w:color="0563C1"/>
            </w:tcBorders>
            <w:gridSpan w:val="27"/>
          </w:tcPr>
          <w:p>
            <w:pPr>
              <w:spacing w:after="0"/>
              <w:rPr>
                <w:rFonts w:ascii="Arial" w:cs="Arial" w:eastAsia="Arial" w:hAnsi="Arial"/>
                <w:sz w:val="18"/>
                <w:szCs w:val="18"/>
                <w:color w:val="0563C1"/>
                <w:w w:val="92"/>
              </w:rPr>
            </w:pPr>
            <w:hyperlink r:id="rId295">
              <w:r>
                <w:rPr>
                  <w:rFonts w:ascii="Arial" w:cs="Arial" w:eastAsia="Arial" w:hAnsi="Arial"/>
                  <w:sz w:val="18"/>
                  <w:szCs w:val="18"/>
                  <w:color w:val="0563C1"/>
                  <w:w w:val="92"/>
                </w:rPr>
                <w:t>Form of International Stock Option Grant Notice and Stock Option</w:t>
              </w:r>
            </w:hyperlink>
          </w:p>
        </w:tc>
        <w:tc>
          <w:tcPr>
            <w:tcW w:w="520" w:type="dxa"/>
            <w:vAlign w:val="bottom"/>
            <w:gridSpan w:val="10"/>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240" w:type="dxa"/>
            <w:vAlign w:val="bottom"/>
            <w:tcBorders>
              <w:bottom w:val="single" w:sz="8" w:color="0563C1"/>
            </w:tcBorders>
            <w:gridSpan w:val="19"/>
          </w:tcPr>
          <w:p>
            <w:pPr>
              <w:spacing w:after="0" w:line="196" w:lineRule="exact"/>
              <w:rPr>
                <w:rFonts w:ascii="Arial" w:cs="Arial" w:eastAsia="Arial" w:hAnsi="Arial"/>
                <w:sz w:val="18"/>
                <w:szCs w:val="18"/>
                <w:color w:val="0563C1"/>
                <w:w w:val="89"/>
              </w:rPr>
            </w:pPr>
            <w:hyperlink r:id="rId295">
              <w:r>
                <w:rPr>
                  <w:rFonts w:ascii="Arial" w:cs="Arial" w:eastAsia="Arial" w:hAnsi="Arial"/>
                  <w:sz w:val="18"/>
                  <w:szCs w:val="18"/>
                  <w:color w:val="0563C1"/>
                  <w:w w:val="89"/>
                </w:rPr>
                <w:t>Agreement under 2018 Equity Incentive Plan, as amended.</w:t>
              </w:r>
            </w:hyperlink>
          </w:p>
        </w:tc>
        <w:tc>
          <w:tcPr>
            <w:tcW w:w="1160" w:type="dxa"/>
            <w:vAlign w:val="bottom"/>
            <w:gridSpan w:val="18"/>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2"/>
              </w:rPr>
              <w:t>S-1</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9/25/2020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10.5(d)</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10.6(a)#</w:t>
            </w:r>
          </w:p>
        </w:tc>
        <w:tc>
          <w:tcPr>
            <w:tcW w:w="2000" w:type="dxa"/>
            <w:vAlign w:val="bottom"/>
            <w:tcBorders>
              <w:bottom w:val="single" w:sz="8" w:color="0563C1"/>
            </w:tcBorders>
            <w:gridSpan w:val="6"/>
          </w:tcPr>
          <w:p>
            <w:pPr>
              <w:spacing w:after="0"/>
              <w:rPr>
                <w:rFonts w:ascii="Arial" w:cs="Arial" w:eastAsia="Arial" w:hAnsi="Arial"/>
                <w:sz w:val="18"/>
                <w:szCs w:val="18"/>
                <w:color w:val="0563C1"/>
                <w:w w:val="90"/>
              </w:rPr>
            </w:pPr>
            <w:hyperlink r:id="rId296">
              <w:r>
                <w:rPr>
                  <w:rFonts w:ascii="Arial" w:cs="Arial" w:eastAsia="Arial" w:hAnsi="Arial"/>
                  <w:sz w:val="18"/>
                  <w:szCs w:val="18"/>
                  <w:color w:val="0563C1"/>
                  <w:w w:val="90"/>
                </w:rPr>
                <w:t>2020 Incentive Award Plan.</w:t>
              </w:r>
            </w:hyperlink>
          </w:p>
        </w:tc>
        <w:tc>
          <w:tcPr>
            <w:tcW w:w="3400" w:type="dxa"/>
            <w:vAlign w:val="bottom"/>
            <w:gridSpan w:val="31"/>
          </w:tcPr>
          <w:p>
            <w:pPr>
              <w:spacing w:after="0"/>
              <w:rPr>
                <w:sz w:val="19"/>
                <w:szCs w:val="19"/>
                <w:color w:val="auto"/>
              </w:rPr>
            </w:pPr>
          </w:p>
        </w:tc>
        <w:tc>
          <w:tcPr>
            <w:tcW w:w="820" w:type="dxa"/>
            <w:vAlign w:val="bottom"/>
          </w:tcPr>
          <w:p>
            <w:pPr>
              <w:jc w:val="center"/>
              <w:ind w:left="111"/>
              <w:spacing w:after="0"/>
              <w:rPr>
                <w:sz w:val="20"/>
                <w:szCs w:val="20"/>
                <w:color w:val="auto"/>
              </w:rPr>
            </w:pPr>
            <w:r>
              <w:rPr>
                <w:rFonts w:ascii="Arial" w:cs="Arial" w:eastAsia="Arial" w:hAnsi="Arial"/>
                <w:sz w:val="18"/>
                <w:szCs w:val="18"/>
                <w:color w:val="auto"/>
                <w:w w:val="93"/>
              </w:rPr>
              <w:t>S-1/A</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10/9/2020</w:t>
            </w:r>
          </w:p>
        </w:tc>
        <w:tc>
          <w:tcPr>
            <w:tcW w:w="880" w:type="dxa"/>
            <w:vAlign w:val="bottom"/>
          </w:tcPr>
          <w:p>
            <w:pPr>
              <w:jc w:val="center"/>
              <w:ind w:right="151"/>
              <w:spacing w:after="0"/>
              <w:rPr>
                <w:sz w:val="20"/>
                <w:szCs w:val="20"/>
                <w:color w:val="auto"/>
              </w:rPr>
            </w:pPr>
            <w:r>
              <w:rPr>
                <w:rFonts w:ascii="Arial" w:cs="Arial" w:eastAsia="Arial" w:hAnsi="Arial"/>
                <w:sz w:val="18"/>
                <w:szCs w:val="18"/>
                <w:color w:val="auto"/>
                <w:w w:val="91"/>
              </w:rPr>
              <w:t>10.6(a)</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10.6(b)#</w:t>
            </w:r>
          </w:p>
        </w:tc>
        <w:tc>
          <w:tcPr>
            <w:tcW w:w="5200" w:type="dxa"/>
            <w:vAlign w:val="bottom"/>
            <w:tcBorders>
              <w:bottom w:val="single" w:sz="8" w:color="0563C1"/>
            </w:tcBorders>
            <w:gridSpan w:val="32"/>
          </w:tcPr>
          <w:p>
            <w:pPr>
              <w:spacing w:after="0"/>
              <w:rPr>
                <w:rFonts w:ascii="Arial" w:cs="Arial" w:eastAsia="Arial" w:hAnsi="Arial"/>
                <w:sz w:val="18"/>
                <w:szCs w:val="18"/>
                <w:color w:val="0563C1"/>
                <w:w w:val="91"/>
              </w:rPr>
            </w:pPr>
            <w:hyperlink r:id="rId297">
              <w:r>
                <w:rPr>
                  <w:rFonts w:ascii="Arial" w:cs="Arial" w:eastAsia="Arial" w:hAnsi="Arial"/>
                  <w:sz w:val="18"/>
                  <w:szCs w:val="18"/>
                  <w:color w:val="0563C1"/>
                  <w:w w:val="91"/>
                </w:rPr>
                <w:t>Form of Stock Option Grant Notice and Stock Option Agreement under</w:t>
              </w:r>
            </w:hyperlink>
          </w:p>
        </w:tc>
        <w:tc>
          <w:tcPr>
            <w:tcW w:w="200" w:type="dxa"/>
            <w:vAlign w:val="bottom"/>
            <w:gridSpan w:val="5"/>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400" w:type="dxa"/>
            <w:vAlign w:val="bottom"/>
            <w:gridSpan w:val="37"/>
          </w:tcPr>
          <w:p>
            <w:pPr>
              <w:spacing w:after="0" w:line="196" w:lineRule="exact"/>
              <w:rPr>
                <w:rFonts w:ascii="Arial" w:cs="Arial" w:eastAsia="Arial" w:hAnsi="Arial"/>
                <w:sz w:val="18"/>
                <w:szCs w:val="18"/>
                <w:color w:val="0563C1"/>
              </w:rPr>
            </w:pPr>
            <w:hyperlink r:id="rId297">
              <w:r>
                <w:rPr>
                  <w:rFonts w:ascii="Arial" w:cs="Arial" w:eastAsia="Arial" w:hAnsi="Arial"/>
                  <w:sz w:val="18"/>
                  <w:szCs w:val="18"/>
                  <w:color w:val="0563C1"/>
                </w:rPr>
                <w:t>the 2020 Incentive Award Plan.</w:t>
              </w:r>
            </w:hyperlink>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3"/>
              </w:rPr>
              <w:t>S-1/A</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10/9/2020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10.6(b)</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660" w:type="dxa"/>
            <w:vAlign w:val="bottom"/>
            <w:tcBorders>
              <w:right w:val="single" w:sz="8" w:color="0563C1"/>
            </w:tcBorders>
            <w:gridSpan w:val="3"/>
            <w:shd w:val="clear" w:color="auto" w:fill="0563C1"/>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10.6(c)#</w:t>
            </w:r>
          </w:p>
        </w:tc>
        <w:tc>
          <w:tcPr>
            <w:tcW w:w="5060" w:type="dxa"/>
            <w:vAlign w:val="bottom"/>
            <w:tcBorders>
              <w:bottom w:val="single" w:sz="8" w:color="0563C1"/>
            </w:tcBorders>
            <w:gridSpan w:val="29"/>
          </w:tcPr>
          <w:p>
            <w:pPr>
              <w:spacing w:after="0"/>
              <w:rPr>
                <w:rFonts w:ascii="Arial" w:cs="Arial" w:eastAsia="Arial" w:hAnsi="Arial"/>
                <w:sz w:val="18"/>
                <w:szCs w:val="18"/>
                <w:color w:val="0563C1"/>
                <w:w w:val="91"/>
              </w:rPr>
            </w:pPr>
            <w:hyperlink r:id="rId298">
              <w:r>
                <w:rPr>
                  <w:rFonts w:ascii="Arial" w:cs="Arial" w:eastAsia="Arial" w:hAnsi="Arial"/>
                  <w:sz w:val="18"/>
                  <w:szCs w:val="18"/>
                  <w:color w:val="0563C1"/>
                  <w:w w:val="91"/>
                </w:rPr>
                <w:t>Form of Restricted Stock Award Agreement under the 2020 Incentive</w:t>
              </w:r>
            </w:hyperlink>
          </w:p>
        </w:tc>
        <w:tc>
          <w:tcPr>
            <w:tcW w:w="340" w:type="dxa"/>
            <w:vAlign w:val="bottom"/>
            <w:gridSpan w:val="8"/>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80" w:type="dxa"/>
            <w:vAlign w:val="bottom"/>
            <w:tcBorders>
              <w:bottom w:val="single" w:sz="8" w:color="0563C1"/>
            </w:tcBorders>
            <w:gridSpan w:val="3"/>
          </w:tcPr>
          <w:p>
            <w:pPr>
              <w:spacing w:after="0" w:line="196" w:lineRule="exact"/>
              <w:rPr>
                <w:rFonts w:ascii="Arial" w:cs="Arial" w:eastAsia="Arial" w:hAnsi="Arial"/>
                <w:sz w:val="18"/>
                <w:szCs w:val="18"/>
                <w:color w:val="0563C1"/>
                <w:w w:val="88"/>
              </w:rPr>
            </w:pPr>
            <w:hyperlink r:id="rId298">
              <w:r>
                <w:rPr>
                  <w:rFonts w:ascii="Arial" w:cs="Arial" w:eastAsia="Arial" w:hAnsi="Arial"/>
                  <w:sz w:val="18"/>
                  <w:szCs w:val="18"/>
                  <w:color w:val="0563C1"/>
                  <w:w w:val="88"/>
                </w:rPr>
                <w:t>Award Plan.</w:t>
              </w:r>
            </w:hyperlink>
          </w:p>
        </w:tc>
        <w:tc>
          <w:tcPr>
            <w:tcW w:w="4520" w:type="dxa"/>
            <w:vAlign w:val="bottom"/>
            <w:gridSpan w:val="34"/>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3"/>
              </w:rPr>
              <w:t>S-1/A</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10/9/2020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2"/>
              </w:rPr>
              <w:t>10.6(c)</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10.6(d)#</w:t>
            </w:r>
          </w:p>
        </w:tc>
        <w:tc>
          <w:tcPr>
            <w:tcW w:w="4840" w:type="dxa"/>
            <w:vAlign w:val="bottom"/>
            <w:tcBorders>
              <w:bottom w:val="single" w:sz="8" w:color="0563C1"/>
            </w:tcBorders>
            <w:gridSpan w:val="26"/>
          </w:tcPr>
          <w:p>
            <w:pPr>
              <w:spacing w:after="0"/>
              <w:rPr>
                <w:rFonts w:ascii="Arial" w:cs="Arial" w:eastAsia="Arial" w:hAnsi="Arial"/>
                <w:sz w:val="18"/>
                <w:szCs w:val="18"/>
                <w:color w:val="0563C1"/>
                <w:w w:val="92"/>
              </w:rPr>
            </w:pPr>
            <w:hyperlink r:id="rId299">
              <w:r>
                <w:rPr>
                  <w:rFonts w:ascii="Arial" w:cs="Arial" w:eastAsia="Arial" w:hAnsi="Arial"/>
                  <w:sz w:val="18"/>
                  <w:szCs w:val="18"/>
                  <w:color w:val="0563C1"/>
                  <w:w w:val="92"/>
                </w:rPr>
                <w:t>Form of Restricted Stock Unit Award Grant Notice under the 2020</w:t>
              </w:r>
            </w:hyperlink>
          </w:p>
        </w:tc>
        <w:tc>
          <w:tcPr>
            <w:tcW w:w="560" w:type="dxa"/>
            <w:vAlign w:val="bottom"/>
            <w:gridSpan w:val="11"/>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0" w:type="dxa"/>
            <w:vAlign w:val="bottom"/>
            <w:tcBorders>
              <w:bottom w:val="single" w:sz="8" w:color="0563C1"/>
            </w:tcBorders>
            <w:gridSpan w:val="4"/>
          </w:tcPr>
          <w:p>
            <w:pPr>
              <w:spacing w:after="0" w:line="196" w:lineRule="exact"/>
              <w:rPr>
                <w:rFonts w:ascii="Arial" w:cs="Arial" w:eastAsia="Arial" w:hAnsi="Arial"/>
                <w:sz w:val="18"/>
                <w:szCs w:val="18"/>
                <w:color w:val="0563C1"/>
                <w:w w:val="90"/>
              </w:rPr>
            </w:pPr>
            <w:hyperlink r:id="rId299">
              <w:r>
                <w:rPr>
                  <w:rFonts w:ascii="Arial" w:cs="Arial" w:eastAsia="Arial" w:hAnsi="Arial"/>
                  <w:sz w:val="18"/>
                  <w:szCs w:val="18"/>
                  <w:color w:val="0563C1"/>
                  <w:w w:val="90"/>
                </w:rPr>
                <w:t>Incentive Award Plan.</w:t>
              </w:r>
            </w:hyperlink>
          </w:p>
        </w:tc>
        <w:tc>
          <w:tcPr>
            <w:tcW w:w="3800" w:type="dxa"/>
            <w:vAlign w:val="bottom"/>
            <w:gridSpan w:val="33"/>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3"/>
              </w:rPr>
              <w:t>S-1/A</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10/9/2020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10.6(d)</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10.7#</w:t>
            </w:r>
          </w:p>
        </w:tc>
        <w:tc>
          <w:tcPr>
            <w:tcW w:w="5400" w:type="dxa"/>
            <w:vAlign w:val="bottom"/>
            <w:gridSpan w:val="37"/>
          </w:tcPr>
          <w:p>
            <w:pPr>
              <w:spacing w:after="0"/>
              <w:rPr>
                <w:rFonts w:ascii="Arial" w:cs="Arial" w:eastAsia="Arial" w:hAnsi="Arial"/>
                <w:sz w:val="18"/>
                <w:szCs w:val="18"/>
                <w:color w:val="0563C1"/>
              </w:rPr>
            </w:pPr>
            <w:hyperlink r:id="rId300">
              <w:r>
                <w:rPr>
                  <w:rFonts w:ascii="Arial" w:cs="Arial" w:eastAsia="Arial" w:hAnsi="Arial"/>
                  <w:sz w:val="18"/>
                  <w:szCs w:val="18"/>
                  <w:color w:val="0563C1"/>
                </w:rPr>
                <w:t>2020 Employee Stock Purchase Plan.</w:t>
              </w:r>
            </w:hyperlink>
          </w:p>
        </w:tc>
        <w:tc>
          <w:tcPr>
            <w:tcW w:w="820" w:type="dxa"/>
            <w:vAlign w:val="bottom"/>
          </w:tcPr>
          <w:p>
            <w:pPr>
              <w:jc w:val="center"/>
              <w:ind w:left="111"/>
              <w:spacing w:after="0"/>
              <w:rPr>
                <w:sz w:val="20"/>
                <w:szCs w:val="20"/>
                <w:color w:val="auto"/>
              </w:rPr>
            </w:pPr>
            <w:r>
              <w:rPr>
                <w:rFonts w:ascii="Arial" w:cs="Arial" w:eastAsia="Arial" w:hAnsi="Arial"/>
                <w:sz w:val="18"/>
                <w:szCs w:val="18"/>
                <w:color w:val="auto"/>
                <w:w w:val="93"/>
              </w:rPr>
              <w:t>S-1/A</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10/9/2020</w:t>
            </w:r>
          </w:p>
        </w:tc>
        <w:tc>
          <w:tcPr>
            <w:tcW w:w="880" w:type="dxa"/>
            <w:vAlign w:val="bottom"/>
          </w:tcPr>
          <w:p>
            <w:pPr>
              <w:jc w:val="center"/>
              <w:ind w:right="151"/>
              <w:spacing w:after="0"/>
              <w:rPr>
                <w:sz w:val="20"/>
                <w:szCs w:val="20"/>
                <w:color w:val="auto"/>
              </w:rPr>
            </w:pPr>
            <w:r>
              <w:rPr>
                <w:rFonts w:ascii="Arial" w:cs="Arial" w:eastAsia="Arial" w:hAnsi="Arial"/>
                <w:sz w:val="18"/>
                <w:szCs w:val="18"/>
                <w:color w:val="auto"/>
                <w:w w:val="91"/>
              </w:rPr>
              <w:t>10.7</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80" w:type="dxa"/>
            <w:vAlign w:val="bottom"/>
            <w:gridSpan w:val="11"/>
            <w:shd w:val="clear" w:color="auto" w:fill="0563C1"/>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10.8#</w:t>
            </w:r>
          </w:p>
        </w:tc>
        <w:tc>
          <w:tcPr>
            <w:tcW w:w="5180" w:type="dxa"/>
            <w:vAlign w:val="bottom"/>
            <w:tcBorders>
              <w:bottom w:val="single" w:sz="8" w:color="0563C1"/>
            </w:tcBorders>
            <w:gridSpan w:val="31"/>
          </w:tcPr>
          <w:p>
            <w:pPr>
              <w:spacing w:after="0"/>
              <w:rPr>
                <w:rFonts w:ascii="Arial" w:cs="Arial" w:eastAsia="Arial" w:hAnsi="Arial"/>
                <w:sz w:val="18"/>
                <w:szCs w:val="18"/>
                <w:color w:val="0563C1"/>
                <w:w w:val="92"/>
              </w:rPr>
            </w:pPr>
            <w:hyperlink r:id="rId301">
              <w:r>
                <w:rPr>
                  <w:rFonts w:ascii="Arial" w:cs="Arial" w:eastAsia="Arial" w:hAnsi="Arial"/>
                  <w:sz w:val="18"/>
                  <w:szCs w:val="18"/>
                  <w:color w:val="0563C1"/>
                  <w:w w:val="92"/>
                </w:rPr>
                <w:t>Confirmatory Employment Letter by and between Aligos Therapeutics,</w:t>
              </w:r>
            </w:hyperlink>
          </w:p>
        </w:tc>
        <w:tc>
          <w:tcPr>
            <w:tcW w:w="220" w:type="dxa"/>
            <w:vAlign w:val="bottom"/>
            <w:gridSpan w:val="6"/>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600" w:type="dxa"/>
            <w:vAlign w:val="bottom"/>
            <w:tcBorders>
              <w:bottom w:val="single" w:sz="8" w:color="0563C1"/>
            </w:tcBorders>
            <w:gridSpan w:val="16"/>
          </w:tcPr>
          <w:p>
            <w:pPr>
              <w:spacing w:after="0" w:line="196" w:lineRule="exact"/>
              <w:rPr>
                <w:rFonts w:ascii="Arial" w:cs="Arial" w:eastAsia="Arial" w:hAnsi="Arial"/>
                <w:sz w:val="18"/>
                <w:szCs w:val="18"/>
                <w:color w:val="0563C1"/>
                <w:w w:val="90"/>
              </w:rPr>
            </w:pPr>
            <w:hyperlink r:id="rId301">
              <w:r>
                <w:rPr>
                  <w:rFonts w:ascii="Arial" w:cs="Arial" w:eastAsia="Arial" w:hAnsi="Arial"/>
                  <w:sz w:val="18"/>
                  <w:szCs w:val="18"/>
                  <w:color w:val="0563C1"/>
                  <w:w w:val="90"/>
                </w:rPr>
                <w:t>Inc. and Lucinda Quan, J.D., dated May 14, 2019.</w:t>
              </w:r>
            </w:hyperlink>
          </w:p>
        </w:tc>
        <w:tc>
          <w:tcPr>
            <w:tcW w:w="1800" w:type="dxa"/>
            <w:vAlign w:val="bottom"/>
            <w:gridSpan w:val="21"/>
          </w:tcPr>
          <w:p>
            <w:pPr>
              <w:spacing w:after="0"/>
              <w:rPr>
                <w:sz w:val="17"/>
                <w:szCs w:val="17"/>
                <w:color w:val="auto"/>
              </w:rPr>
            </w:pPr>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3"/>
              </w:rPr>
              <w:t>S-1/A</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10/9/2020</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88"/>
              </w:rPr>
              <w:t>10.10</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10.9#</w:t>
            </w:r>
          </w:p>
        </w:tc>
        <w:tc>
          <w:tcPr>
            <w:tcW w:w="3540" w:type="dxa"/>
            <w:vAlign w:val="bottom"/>
            <w:tcBorders>
              <w:bottom w:val="single" w:sz="8" w:color="0563C1"/>
            </w:tcBorders>
            <w:gridSpan w:val="15"/>
          </w:tcPr>
          <w:p>
            <w:pPr>
              <w:spacing w:after="0"/>
              <w:rPr>
                <w:rFonts w:ascii="Arial" w:cs="Arial" w:eastAsia="Arial" w:hAnsi="Arial"/>
                <w:sz w:val="18"/>
                <w:szCs w:val="18"/>
                <w:color w:val="0563C1"/>
                <w:w w:val="90"/>
              </w:rPr>
            </w:pPr>
            <w:hyperlink r:id="rId302">
              <w:r>
                <w:rPr>
                  <w:rFonts w:ascii="Arial" w:cs="Arial" w:eastAsia="Arial" w:hAnsi="Arial"/>
                  <w:sz w:val="18"/>
                  <w:szCs w:val="18"/>
                  <w:color w:val="0563C1"/>
                  <w:w w:val="90"/>
                </w:rPr>
                <w:t>Non-Employee Director Compensation Program.</w:t>
              </w:r>
            </w:hyperlink>
          </w:p>
        </w:tc>
        <w:tc>
          <w:tcPr>
            <w:tcW w:w="1860" w:type="dxa"/>
            <w:vAlign w:val="bottom"/>
            <w:gridSpan w:val="22"/>
          </w:tcPr>
          <w:p>
            <w:pPr>
              <w:spacing w:after="0"/>
              <w:rPr>
                <w:sz w:val="19"/>
                <w:szCs w:val="19"/>
                <w:color w:val="auto"/>
              </w:rPr>
            </w:pPr>
          </w:p>
        </w:tc>
        <w:tc>
          <w:tcPr>
            <w:tcW w:w="820" w:type="dxa"/>
            <w:vAlign w:val="bottom"/>
          </w:tcPr>
          <w:p>
            <w:pPr>
              <w:jc w:val="center"/>
              <w:ind w:left="111"/>
              <w:spacing w:after="0"/>
              <w:rPr>
                <w:sz w:val="20"/>
                <w:szCs w:val="20"/>
                <w:color w:val="auto"/>
              </w:rPr>
            </w:pPr>
            <w:r>
              <w:rPr>
                <w:rFonts w:ascii="Arial" w:cs="Arial" w:eastAsia="Arial" w:hAnsi="Arial"/>
                <w:sz w:val="18"/>
                <w:szCs w:val="18"/>
                <w:color w:val="auto"/>
                <w:w w:val="93"/>
              </w:rPr>
              <w:t>S-1/A</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10/9/2020</w:t>
            </w:r>
          </w:p>
        </w:tc>
        <w:tc>
          <w:tcPr>
            <w:tcW w:w="880" w:type="dxa"/>
            <w:vAlign w:val="bottom"/>
          </w:tcPr>
          <w:p>
            <w:pPr>
              <w:jc w:val="center"/>
              <w:ind w:right="151"/>
              <w:spacing w:after="0"/>
              <w:rPr>
                <w:sz w:val="20"/>
                <w:szCs w:val="20"/>
                <w:color w:val="auto"/>
              </w:rPr>
            </w:pPr>
            <w:r>
              <w:rPr>
                <w:rFonts w:ascii="Arial" w:cs="Arial" w:eastAsia="Arial" w:hAnsi="Arial"/>
                <w:sz w:val="18"/>
                <w:szCs w:val="18"/>
                <w:color w:val="auto"/>
                <w:w w:val="88"/>
              </w:rPr>
              <w:t>10.11</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10.10</w:t>
            </w:r>
          </w:p>
        </w:tc>
        <w:tc>
          <w:tcPr>
            <w:tcW w:w="5400" w:type="dxa"/>
            <w:vAlign w:val="bottom"/>
            <w:gridSpan w:val="37"/>
          </w:tcPr>
          <w:p>
            <w:pPr>
              <w:spacing w:after="0"/>
              <w:rPr>
                <w:rFonts w:ascii="Arial" w:cs="Arial" w:eastAsia="Arial" w:hAnsi="Arial"/>
                <w:sz w:val="18"/>
                <w:szCs w:val="18"/>
                <w:color w:val="0563C1"/>
              </w:rPr>
            </w:pPr>
            <w:hyperlink r:id="rId303">
              <w:r>
                <w:rPr>
                  <w:rFonts w:ascii="Arial" w:cs="Arial" w:eastAsia="Arial" w:hAnsi="Arial"/>
                  <w:sz w:val="18"/>
                  <w:szCs w:val="18"/>
                  <w:color w:val="0563C1"/>
                </w:rPr>
                <w:t>Form of Indemnification Agreement for directors and officers.</w:t>
              </w:r>
            </w:hyperlink>
          </w:p>
        </w:tc>
        <w:tc>
          <w:tcPr>
            <w:tcW w:w="820" w:type="dxa"/>
            <w:vAlign w:val="bottom"/>
          </w:tcPr>
          <w:p>
            <w:pPr>
              <w:jc w:val="center"/>
              <w:ind w:left="111"/>
              <w:spacing w:after="0"/>
              <w:rPr>
                <w:sz w:val="20"/>
                <w:szCs w:val="20"/>
                <w:color w:val="auto"/>
              </w:rPr>
            </w:pPr>
            <w:r>
              <w:rPr>
                <w:rFonts w:ascii="Arial" w:cs="Arial" w:eastAsia="Arial" w:hAnsi="Arial"/>
                <w:sz w:val="18"/>
                <w:szCs w:val="18"/>
                <w:color w:val="auto"/>
                <w:w w:val="93"/>
              </w:rPr>
              <w:t>S-1/A</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10/9/2020</w:t>
            </w:r>
          </w:p>
        </w:tc>
        <w:tc>
          <w:tcPr>
            <w:tcW w:w="880" w:type="dxa"/>
            <w:vAlign w:val="bottom"/>
          </w:tcPr>
          <w:p>
            <w:pPr>
              <w:jc w:val="center"/>
              <w:ind w:right="151"/>
              <w:spacing w:after="0"/>
              <w:rPr>
                <w:sz w:val="20"/>
                <w:szCs w:val="20"/>
                <w:color w:val="auto"/>
              </w:rPr>
            </w:pPr>
            <w:r>
              <w:rPr>
                <w:rFonts w:ascii="Arial" w:cs="Arial" w:eastAsia="Arial" w:hAnsi="Arial"/>
                <w:sz w:val="18"/>
                <w:szCs w:val="18"/>
                <w:color w:val="auto"/>
                <w:w w:val="88"/>
              </w:rPr>
              <w:t>10.12</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80" w:type="dxa"/>
            <w:vAlign w:val="bottom"/>
            <w:gridSpan w:val="21"/>
            <w:shd w:val="clear" w:color="auto" w:fill="0563C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gridSpan w:val="1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10.11#</w:t>
            </w:r>
          </w:p>
        </w:tc>
        <w:tc>
          <w:tcPr>
            <w:tcW w:w="5320" w:type="dxa"/>
            <w:vAlign w:val="bottom"/>
            <w:tcBorders>
              <w:bottom w:val="single" w:sz="8" w:color="0563C1"/>
            </w:tcBorders>
            <w:gridSpan w:val="36"/>
          </w:tcPr>
          <w:p>
            <w:pPr>
              <w:spacing w:after="0"/>
              <w:rPr>
                <w:rFonts w:ascii="Arial" w:cs="Arial" w:eastAsia="Arial" w:hAnsi="Arial"/>
                <w:sz w:val="18"/>
                <w:szCs w:val="18"/>
                <w:color w:val="0563C1"/>
                <w:w w:val="90"/>
              </w:rPr>
            </w:pPr>
            <w:hyperlink r:id="rId304">
              <w:r>
                <w:rPr>
                  <w:rFonts w:ascii="Arial" w:cs="Arial" w:eastAsia="Arial" w:hAnsi="Arial"/>
                  <w:sz w:val="18"/>
                  <w:szCs w:val="18"/>
                  <w:color w:val="0563C1"/>
                  <w:w w:val="90"/>
                </w:rPr>
                <w:t>Amended and Restated Employment Agreement, effective as of February</w:t>
              </w:r>
            </w:hyperlink>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400" w:type="dxa"/>
            <w:vAlign w:val="bottom"/>
            <w:gridSpan w:val="37"/>
          </w:tcPr>
          <w:p>
            <w:pPr>
              <w:spacing w:after="0" w:line="196" w:lineRule="exact"/>
              <w:rPr>
                <w:rFonts w:ascii="Arial" w:cs="Arial" w:eastAsia="Arial" w:hAnsi="Arial"/>
                <w:sz w:val="18"/>
                <w:szCs w:val="18"/>
                <w:color w:val="0563C1"/>
              </w:rPr>
            </w:pPr>
            <w:hyperlink r:id="rId304">
              <w:r>
                <w:rPr>
                  <w:rFonts w:ascii="Arial" w:cs="Arial" w:eastAsia="Arial" w:hAnsi="Arial"/>
                  <w:sz w:val="18"/>
                  <w:szCs w:val="18"/>
                  <w:color w:val="0563C1"/>
                </w:rPr>
                <w:t>10, 2021, by and between the Company and Leonid Beigelman.</w:t>
              </w:r>
            </w:hyperlink>
          </w:p>
        </w:tc>
        <w:tc>
          <w:tcPr>
            <w:tcW w:w="820" w:type="dxa"/>
            <w:vAlign w:val="bottom"/>
          </w:tcPr>
          <w:p>
            <w:pPr>
              <w:jc w:val="center"/>
              <w:ind w:left="111"/>
              <w:spacing w:after="0" w:line="196" w:lineRule="exact"/>
              <w:rPr>
                <w:sz w:val="20"/>
                <w:szCs w:val="20"/>
                <w:color w:val="auto"/>
              </w:rPr>
            </w:pPr>
            <w:r>
              <w:rPr>
                <w:rFonts w:ascii="Arial" w:cs="Arial" w:eastAsia="Arial" w:hAnsi="Arial"/>
                <w:sz w:val="18"/>
                <w:szCs w:val="18"/>
                <w:color w:val="auto"/>
                <w:w w:val="94"/>
              </w:rPr>
              <w:t>10-Q</w:t>
            </w:r>
          </w:p>
        </w:tc>
        <w:tc>
          <w:tcPr>
            <w:tcW w:w="1800" w:type="dxa"/>
            <w:vAlign w:val="bottom"/>
          </w:tcPr>
          <w:p>
            <w:pPr>
              <w:jc w:val="center"/>
              <w:spacing w:after="0" w:line="196" w:lineRule="exact"/>
              <w:rPr>
                <w:sz w:val="20"/>
                <w:szCs w:val="20"/>
                <w:color w:val="auto"/>
              </w:rPr>
            </w:pPr>
            <w:r>
              <w:rPr>
                <w:rFonts w:ascii="Arial" w:cs="Arial" w:eastAsia="Arial" w:hAnsi="Arial"/>
                <w:sz w:val="18"/>
                <w:szCs w:val="18"/>
                <w:color w:val="auto"/>
                <w:w w:val="92"/>
              </w:rPr>
              <w:t>5/10/2021</w:t>
            </w:r>
          </w:p>
        </w:tc>
        <w:tc>
          <w:tcPr>
            <w:tcW w:w="880" w:type="dxa"/>
            <w:vAlign w:val="bottom"/>
          </w:tcPr>
          <w:p>
            <w:pPr>
              <w:jc w:val="center"/>
              <w:ind w:right="151"/>
              <w:spacing w:after="0" w:line="196" w:lineRule="exact"/>
              <w:rPr>
                <w:sz w:val="20"/>
                <w:szCs w:val="20"/>
                <w:color w:val="auto"/>
              </w:rPr>
            </w:pPr>
            <w:r>
              <w:rPr>
                <w:rFonts w:ascii="Arial" w:cs="Arial" w:eastAsia="Arial" w:hAnsi="Arial"/>
                <w:sz w:val="18"/>
                <w:szCs w:val="18"/>
                <w:color w:val="auto"/>
                <w:w w:val="91"/>
              </w:rPr>
              <w:t>10.1</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80" w:type="dxa"/>
            <w:vAlign w:val="bottom"/>
            <w:gridSpan w:val="23"/>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60" w:type="dxa"/>
            <w:vAlign w:val="bottom"/>
          </w:tcPr>
          <w:p>
            <w:pPr>
              <w:spacing w:after="0"/>
              <w:rPr>
                <w:sz w:val="24"/>
                <w:szCs w:val="24"/>
                <w:color w:val="auto"/>
              </w:rPr>
            </w:pPr>
          </w:p>
        </w:tc>
        <w:tc>
          <w:tcPr>
            <w:tcW w:w="4640" w:type="dxa"/>
            <w:vAlign w:val="bottom"/>
            <w:gridSpan w:val="24"/>
          </w:tcPr>
          <w:p>
            <w:pPr>
              <w:ind w:left="4320"/>
              <w:spacing w:after="0"/>
              <w:rPr>
                <w:sz w:val="20"/>
                <w:szCs w:val="20"/>
                <w:color w:val="auto"/>
              </w:rPr>
            </w:pPr>
            <w:r>
              <w:rPr>
                <w:rFonts w:ascii="Arial" w:cs="Arial" w:eastAsia="Arial" w:hAnsi="Arial"/>
                <w:sz w:val="18"/>
                <w:szCs w:val="18"/>
                <w:color w:val="auto"/>
                <w:w w:val="99"/>
              </w:rPr>
              <w:t>136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1" w:name="page142"/>
    <w:bookmarkEnd w:id="141"/>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10.12#</w:t>
            </w:r>
          </w:p>
        </w:tc>
        <w:tc>
          <w:tcPr>
            <w:tcW w:w="5300" w:type="dxa"/>
            <w:vAlign w:val="bottom"/>
            <w:gridSpan w:val="11"/>
          </w:tcPr>
          <w:p>
            <w:pPr>
              <w:spacing w:after="0"/>
              <w:rPr>
                <w:rFonts w:ascii="Arial" w:cs="Arial" w:eastAsia="Arial" w:hAnsi="Arial"/>
                <w:sz w:val="18"/>
                <w:szCs w:val="18"/>
                <w:color w:val="0563C1"/>
                <w:w w:val="89"/>
              </w:rPr>
            </w:pPr>
            <w:hyperlink r:id="rId307">
              <w:r>
                <w:rPr>
                  <w:rFonts w:ascii="Arial" w:cs="Arial" w:eastAsia="Arial" w:hAnsi="Arial"/>
                  <w:sz w:val="18"/>
                  <w:szCs w:val="18"/>
                  <w:color w:val="0563C1"/>
                  <w:w w:val="89"/>
                </w:rPr>
                <w:t>Amended and Restated Employment Agreement, effective as of February</w:t>
              </w:r>
            </w:hyperlink>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500" w:type="dxa"/>
            <w:vAlign w:val="bottom"/>
            <w:shd w:val="clear" w:color="auto" w:fill="0563C1"/>
          </w:tcPr>
          <w:p>
            <w:pPr>
              <w:spacing w:after="0" w:line="20" w:lineRule="exact"/>
              <w:rPr>
                <w:sz w:val="1"/>
                <w:szCs w:val="1"/>
                <w:color w:val="auto"/>
              </w:rPr>
            </w:pPr>
          </w:p>
        </w:tc>
        <w:tc>
          <w:tcPr>
            <w:tcW w:w="19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1"/>
          </w:tcPr>
          <w:p>
            <w:pPr>
              <w:spacing w:after="0" w:line="196" w:lineRule="exact"/>
              <w:rPr>
                <w:rFonts w:ascii="Arial" w:cs="Arial" w:eastAsia="Arial" w:hAnsi="Arial"/>
                <w:sz w:val="18"/>
                <w:szCs w:val="18"/>
                <w:color w:val="0563C1"/>
              </w:rPr>
            </w:pPr>
            <w:hyperlink r:id="rId307">
              <w:r>
                <w:rPr>
                  <w:rFonts w:ascii="Arial" w:cs="Arial" w:eastAsia="Arial" w:hAnsi="Arial"/>
                  <w:sz w:val="18"/>
                  <w:szCs w:val="18"/>
                  <w:color w:val="0563C1"/>
                </w:rPr>
                <w:t>10, 2021, by and between the Company and Lawrence M. Blatt.</w:t>
              </w:r>
            </w:hyperlink>
          </w:p>
        </w:tc>
        <w:tc>
          <w:tcPr>
            <w:tcW w:w="1080" w:type="dxa"/>
            <w:vAlign w:val="bottom"/>
          </w:tcPr>
          <w:p>
            <w:pPr>
              <w:ind w:left="400"/>
              <w:spacing w:after="0" w:line="196" w:lineRule="exact"/>
              <w:rPr>
                <w:sz w:val="20"/>
                <w:szCs w:val="20"/>
                <w:color w:val="auto"/>
              </w:rPr>
            </w:pPr>
            <w:r>
              <w:rPr>
                <w:rFonts w:ascii="Arial" w:cs="Arial" w:eastAsia="Arial" w:hAnsi="Arial"/>
                <w:sz w:val="18"/>
                <w:szCs w:val="18"/>
                <w:color w:val="auto"/>
              </w:rPr>
              <w:t>10-Q</w:t>
            </w:r>
          </w:p>
        </w:tc>
        <w:tc>
          <w:tcPr>
            <w:tcW w:w="14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5/10/2021</w:t>
            </w:r>
          </w:p>
        </w:tc>
        <w:tc>
          <w:tcPr>
            <w:tcW w:w="1760" w:type="dxa"/>
            <w:vAlign w:val="bottom"/>
          </w:tcPr>
          <w:p>
            <w:pPr>
              <w:jc w:val="center"/>
              <w:ind w:right="590"/>
              <w:spacing w:after="0" w:line="196" w:lineRule="exact"/>
              <w:rPr>
                <w:sz w:val="20"/>
                <w:szCs w:val="20"/>
                <w:color w:val="auto"/>
              </w:rPr>
            </w:pPr>
            <w:r>
              <w:rPr>
                <w:rFonts w:ascii="Arial" w:cs="Arial" w:eastAsia="Arial" w:hAnsi="Arial"/>
                <w:sz w:val="18"/>
                <w:szCs w:val="18"/>
                <w:color w:val="auto"/>
                <w:w w:val="91"/>
              </w:rPr>
              <w:t>10.2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500" w:type="dxa"/>
            <w:vAlign w:val="bottom"/>
            <w:shd w:val="clear" w:color="auto" w:fill="0563C1"/>
          </w:tcPr>
          <w:p>
            <w:pPr>
              <w:spacing w:after="0" w:line="20" w:lineRule="exact"/>
              <w:rPr>
                <w:sz w:val="1"/>
                <w:szCs w:val="1"/>
                <w:color w:val="auto"/>
              </w:rPr>
            </w:pPr>
          </w:p>
        </w:tc>
        <w:tc>
          <w:tcPr>
            <w:tcW w:w="19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10.13#</w:t>
            </w:r>
          </w:p>
        </w:tc>
        <w:tc>
          <w:tcPr>
            <w:tcW w:w="5300" w:type="dxa"/>
            <w:vAlign w:val="bottom"/>
            <w:gridSpan w:val="11"/>
          </w:tcPr>
          <w:p>
            <w:pPr>
              <w:spacing w:after="0"/>
              <w:rPr>
                <w:rFonts w:ascii="Arial" w:cs="Arial" w:eastAsia="Arial" w:hAnsi="Arial"/>
                <w:sz w:val="18"/>
                <w:szCs w:val="18"/>
                <w:color w:val="0563C1"/>
                <w:w w:val="93"/>
              </w:rPr>
            </w:pPr>
            <w:hyperlink r:id="rId308">
              <w:r>
                <w:rPr>
                  <w:rFonts w:ascii="Arial" w:cs="Arial" w:eastAsia="Arial" w:hAnsi="Arial"/>
                  <w:sz w:val="18"/>
                  <w:szCs w:val="18"/>
                  <w:color w:val="0563C1"/>
                  <w:w w:val="93"/>
                </w:rPr>
                <w:t>Employment Agreement by and between Aligos Therapeutics, Inc. and</w:t>
              </w:r>
            </w:hyperlink>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500" w:type="dxa"/>
            <w:vAlign w:val="bottom"/>
            <w:shd w:val="clear" w:color="auto" w:fill="0563C1"/>
          </w:tcPr>
          <w:p>
            <w:pPr>
              <w:spacing w:after="0" w:line="20" w:lineRule="exact"/>
              <w:rPr>
                <w:sz w:val="1"/>
                <w:szCs w:val="1"/>
                <w:color w:val="auto"/>
              </w:rPr>
            </w:pPr>
          </w:p>
        </w:tc>
        <w:tc>
          <w:tcPr>
            <w:tcW w:w="19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50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1"/>
          </w:tcPr>
          <w:p>
            <w:pPr>
              <w:spacing w:after="0" w:line="196" w:lineRule="exact"/>
              <w:rPr>
                <w:rFonts w:ascii="Arial" w:cs="Arial" w:eastAsia="Arial" w:hAnsi="Arial"/>
                <w:sz w:val="18"/>
                <w:szCs w:val="18"/>
                <w:color w:val="0563C1"/>
              </w:rPr>
            </w:pPr>
            <w:hyperlink r:id="rId308">
              <w:r>
                <w:rPr>
                  <w:rFonts w:ascii="Arial" w:cs="Arial" w:eastAsia="Arial" w:hAnsi="Arial"/>
                  <w:sz w:val="18"/>
                  <w:szCs w:val="18"/>
                  <w:color w:val="0563C1"/>
                </w:rPr>
                <w:t>Julian Symons, D.Phil., effective as of May 14, 2019</w:t>
              </w:r>
              <w:r>
                <w:rPr>
                  <w:rFonts w:ascii="Arial" w:cs="Arial" w:eastAsia="Arial" w:hAnsi="Arial"/>
                  <w:sz w:val="18"/>
                  <w:szCs w:val="18"/>
                  <w:u w:val="single" w:color="auto"/>
                  <w:color w:val="008FFF"/>
                </w:rPr>
                <w:t>.</w:t>
              </w:r>
            </w:hyperlink>
          </w:p>
        </w:tc>
        <w:tc>
          <w:tcPr>
            <w:tcW w:w="1080" w:type="dxa"/>
            <w:vAlign w:val="bottom"/>
          </w:tcPr>
          <w:p>
            <w:pPr>
              <w:ind w:left="400"/>
              <w:spacing w:after="0" w:line="196" w:lineRule="exact"/>
              <w:rPr>
                <w:sz w:val="20"/>
                <w:szCs w:val="20"/>
                <w:color w:val="auto"/>
              </w:rPr>
            </w:pPr>
            <w:r>
              <w:rPr>
                <w:rFonts w:ascii="Arial" w:cs="Arial" w:eastAsia="Arial" w:hAnsi="Arial"/>
                <w:sz w:val="18"/>
                <w:szCs w:val="18"/>
                <w:color w:val="auto"/>
              </w:rPr>
              <w:t>10-Q</w:t>
            </w:r>
          </w:p>
        </w:tc>
        <w:tc>
          <w:tcPr>
            <w:tcW w:w="14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5/10/2021</w:t>
            </w:r>
          </w:p>
        </w:tc>
        <w:tc>
          <w:tcPr>
            <w:tcW w:w="1760" w:type="dxa"/>
            <w:vAlign w:val="bottom"/>
          </w:tcPr>
          <w:p>
            <w:pPr>
              <w:jc w:val="center"/>
              <w:ind w:right="590"/>
              <w:spacing w:after="0" w:line="196" w:lineRule="exact"/>
              <w:rPr>
                <w:sz w:val="20"/>
                <w:szCs w:val="20"/>
                <w:color w:val="auto"/>
              </w:rPr>
            </w:pPr>
            <w:r>
              <w:rPr>
                <w:rFonts w:ascii="Arial" w:cs="Arial" w:eastAsia="Arial" w:hAnsi="Arial"/>
                <w:sz w:val="18"/>
                <w:szCs w:val="18"/>
                <w:color w:val="auto"/>
                <w:w w:val="91"/>
              </w:rPr>
              <w:t>10.3</w:t>
            </w:r>
          </w:p>
        </w:tc>
      </w:tr>
      <w:tr>
        <w:trPr>
          <w:trHeight w:val="20"/>
        </w:trPr>
        <w:tc>
          <w:tcPr>
            <w:tcW w:w="1160" w:type="dxa"/>
            <w:vAlign w:val="bottom"/>
            <w:tcBorders>
              <w:right w:val="single" w:sz="8" w:color="0563C1"/>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10.14#</w:t>
            </w:r>
          </w:p>
        </w:tc>
        <w:tc>
          <w:tcPr>
            <w:tcW w:w="5300" w:type="dxa"/>
            <w:vAlign w:val="bottom"/>
            <w:gridSpan w:val="11"/>
          </w:tcPr>
          <w:p>
            <w:pPr>
              <w:spacing w:after="0"/>
              <w:rPr>
                <w:rFonts w:ascii="Arial" w:cs="Arial" w:eastAsia="Arial" w:hAnsi="Arial"/>
                <w:sz w:val="18"/>
                <w:szCs w:val="18"/>
                <w:color w:val="0563C1"/>
              </w:rPr>
            </w:pPr>
            <w:hyperlink r:id="rId309">
              <w:r>
                <w:rPr>
                  <w:rFonts w:ascii="Arial" w:cs="Arial" w:eastAsia="Arial" w:hAnsi="Arial"/>
                  <w:sz w:val="18"/>
                  <w:szCs w:val="18"/>
                  <w:color w:val="0563C1"/>
                </w:rPr>
                <w:t>Form of Change in Control and Severance Agreement.</w:t>
              </w:r>
            </w:hyperlink>
          </w:p>
        </w:tc>
        <w:tc>
          <w:tcPr>
            <w:tcW w:w="1080" w:type="dxa"/>
            <w:vAlign w:val="bottom"/>
          </w:tcPr>
          <w:p>
            <w:pPr>
              <w:ind w:left="400"/>
              <w:spacing w:after="0"/>
              <w:rPr>
                <w:sz w:val="20"/>
                <w:szCs w:val="20"/>
                <w:color w:val="auto"/>
              </w:rPr>
            </w:pPr>
            <w:r>
              <w:rPr>
                <w:rFonts w:ascii="Arial" w:cs="Arial" w:eastAsia="Arial" w:hAnsi="Arial"/>
                <w:sz w:val="18"/>
                <w:szCs w:val="18"/>
                <w:color w:val="auto"/>
              </w:rPr>
              <w:t>10-Q</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5/10/2021</w:t>
            </w:r>
          </w:p>
        </w:tc>
        <w:tc>
          <w:tcPr>
            <w:tcW w:w="1760" w:type="dxa"/>
            <w:vAlign w:val="bottom"/>
          </w:tcPr>
          <w:p>
            <w:pPr>
              <w:jc w:val="center"/>
              <w:ind w:right="590"/>
              <w:spacing w:after="0"/>
              <w:rPr>
                <w:sz w:val="20"/>
                <w:szCs w:val="20"/>
                <w:color w:val="auto"/>
              </w:rPr>
            </w:pPr>
            <w:r>
              <w:rPr>
                <w:rFonts w:ascii="Arial" w:cs="Arial" w:eastAsia="Arial" w:hAnsi="Arial"/>
                <w:sz w:val="18"/>
                <w:szCs w:val="18"/>
                <w:color w:val="auto"/>
                <w:w w:val="91"/>
              </w:rPr>
              <w:t>10.4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500" w:type="dxa"/>
            <w:vAlign w:val="bottom"/>
            <w:shd w:val="clear" w:color="auto" w:fill="0563C1"/>
          </w:tcPr>
          <w:p>
            <w:pPr>
              <w:spacing w:after="0" w:line="20" w:lineRule="exact"/>
              <w:rPr>
                <w:sz w:val="1"/>
                <w:szCs w:val="1"/>
                <w:color w:val="auto"/>
              </w:rPr>
            </w:pPr>
          </w:p>
        </w:tc>
        <w:tc>
          <w:tcPr>
            <w:tcW w:w="2040" w:type="dxa"/>
            <w:vAlign w:val="bottom"/>
            <w:gridSpan w:val="2"/>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10.16</w:t>
            </w:r>
          </w:p>
        </w:tc>
        <w:tc>
          <w:tcPr>
            <w:tcW w:w="5300" w:type="dxa"/>
            <w:vAlign w:val="bottom"/>
            <w:gridSpan w:val="11"/>
          </w:tcPr>
          <w:p>
            <w:pPr>
              <w:spacing w:after="0"/>
              <w:rPr>
                <w:rFonts w:ascii="Arial" w:cs="Arial" w:eastAsia="Arial" w:hAnsi="Arial"/>
                <w:sz w:val="18"/>
                <w:szCs w:val="18"/>
                <w:color w:val="0563C1"/>
                <w:w w:val="97"/>
              </w:rPr>
            </w:pPr>
            <w:hyperlink r:id="rId310">
              <w:r>
                <w:rPr>
                  <w:rFonts w:ascii="Arial" w:cs="Arial" w:eastAsia="Arial" w:hAnsi="Arial"/>
                  <w:sz w:val="18"/>
                  <w:szCs w:val="18"/>
                  <w:color w:val="0563C1"/>
                  <w:w w:val="97"/>
                </w:rPr>
                <w:t>Lease Agreement between 601 &amp; 651 GATEWAY CENTER LP and</w:t>
              </w:r>
            </w:hyperlink>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500" w:type="dxa"/>
            <w:vAlign w:val="bottom"/>
            <w:shd w:val="clear" w:color="auto" w:fill="0563C1"/>
          </w:tcPr>
          <w:p>
            <w:pPr>
              <w:spacing w:after="0" w:line="20" w:lineRule="exact"/>
              <w:rPr>
                <w:sz w:val="1"/>
                <w:szCs w:val="1"/>
                <w:color w:val="auto"/>
              </w:rPr>
            </w:pPr>
          </w:p>
        </w:tc>
        <w:tc>
          <w:tcPr>
            <w:tcW w:w="2420" w:type="dxa"/>
            <w:vAlign w:val="bottom"/>
            <w:gridSpan w:val="3"/>
            <w:shd w:val="clear" w:color="auto" w:fill="0563C1"/>
          </w:tcPr>
          <w:p>
            <w:pPr>
              <w:spacing w:after="0" w:line="20" w:lineRule="exact"/>
              <w:rPr>
                <w:sz w:val="1"/>
                <w:szCs w:val="1"/>
                <w:color w:val="auto"/>
              </w:rPr>
            </w:pPr>
          </w:p>
        </w:tc>
        <w:tc>
          <w:tcPr>
            <w:tcW w:w="50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1"/>
          </w:tcPr>
          <w:p>
            <w:pPr>
              <w:spacing w:after="0" w:line="196" w:lineRule="exact"/>
              <w:rPr>
                <w:rFonts w:ascii="Arial" w:cs="Arial" w:eastAsia="Arial" w:hAnsi="Arial"/>
                <w:sz w:val="18"/>
                <w:szCs w:val="18"/>
                <w:color w:val="0563C1"/>
              </w:rPr>
            </w:pPr>
            <w:hyperlink r:id="rId310">
              <w:r>
                <w:rPr>
                  <w:rFonts w:ascii="Arial" w:cs="Arial" w:eastAsia="Arial" w:hAnsi="Arial"/>
                  <w:sz w:val="18"/>
                  <w:szCs w:val="18"/>
                  <w:color w:val="0563C1"/>
                </w:rPr>
                <w:t>ALIGOS THERAPEUTICS, INC., dated December 9, 2021</w:t>
              </w:r>
            </w:hyperlink>
          </w:p>
        </w:tc>
        <w:tc>
          <w:tcPr>
            <w:tcW w:w="1080" w:type="dxa"/>
            <w:vAlign w:val="bottom"/>
          </w:tcPr>
          <w:p>
            <w:pPr>
              <w:ind w:left="400"/>
              <w:spacing w:after="0" w:line="196" w:lineRule="exact"/>
              <w:rPr>
                <w:sz w:val="20"/>
                <w:szCs w:val="20"/>
                <w:color w:val="auto"/>
              </w:rPr>
            </w:pPr>
            <w:r>
              <w:rPr>
                <w:rFonts w:ascii="Arial" w:cs="Arial" w:eastAsia="Arial" w:hAnsi="Arial"/>
                <w:sz w:val="18"/>
                <w:szCs w:val="18"/>
                <w:color w:val="auto"/>
              </w:rPr>
              <w:t>10-K</w:t>
            </w:r>
          </w:p>
        </w:tc>
        <w:tc>
          <w:tcPr>
            <w:tcW w:w="140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3/10/2022</w:t>
            </w:r>
          </w:p>
        </w:tc>
        <w:tc>
          <w:tcPr>
            <w:tcW w:w="1760" w:type="dxa"/>
            <w:vAlign w:val="bottom"/>
          </w:tcPr>
          <w:p>
            <w:pPr>
              <w:jc w:val="center"/>
              <w:ind w:right="590"/>
              <w:spacing w:after="0" w:line="196" w:lineRule="exact"/>
              <w:rPr>
                <w:sz w:val="20"/>
                <w:szCs w:val="20"/>
                <w:color w:val="auto"/>
              </w:rPr>
            </w:pPr>
            <w:r>
              <w:rPr>
                <w:rFonts w:ascii="Arial" w:cs="Arial" w:eastAsia="Arial" w:hAnsi="Arial"/>
                <w:sz w:val="18"/>
                <w:szCs w:val="18"/>
                <w:color w:val="auto"/>
                <w:w w:val="88"/>
              </w:rPr>
              <w:t>10.16</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500" w:type="dxa"/>
            <w:vAlign w:val="bottom"/>
            <w:shd w:val="clear" w:color="auto" w:fill="0563C1"/>
          </w:tcPr>
          <w:p>
            <w:pPr>
              <w:spacing w:after="0" w:line="20" w:lineRule="exact"/>
              <w:rPr>
                <w:sz w:val="1"/>
                <w:szCs w:val="1"/>
                <w:color w:val="auto"/>
              </w:rPr>
            </w:pPr>
          </w:p>
        </w:tc>
        <w:tc>
          <w:tcPr>
            <w:tcW w:w="2420" w:type="dxa"/>
            <w:vAlign w:val="bottom"/>
            <w:gridSpan w:val="3"/>
            <w:shd w:val="clear" w:color="auto" w:fill="0563C1"/>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21.1</w:t>
            </w:r>
          </w:p>
        </w:tc>
        <w:tc>
          <w:tcPr>
            <w:tcW w:w="5300" w:type="dxa"/>
            <w:vAlign w:val="bottom"/>
            <w:gridSpan w:val="11"/>
          </w:tcPr>
          <w:p>
            <w:pPr>
              <w:spacing w:after="0"/>
              <w:rPr>
                <w:sz w:val="20"/>
                <w:szCs w:val="20"/>
                <w:color w:val="auto"/>
              </w:rPr>
            </w:pPr>
            <w:r>
              <w:rPr>
                <w:rFonts w:ascii="Arial" w:cs="Arial" w:eastAsia="Arial" w:hAnsi="Arial"/>
                <w:sz w:val="18"/>
                <w:szCs w:val="18"/>
                <w:color w:val="0563C1"/>
              </w:rPr>
              <w:t>Subsidiaries of Registrant.</w:t>
            </w: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60" w:type="dxa"/>
            <w:vAlign w:val="bottom"/>
          </w:tcPr>
          <w:p>
            <w:pPr>
              <w:ind w:left="1620"/>
              <w:spacing w:after="0"/>
              <w:rPr>
                <w:sz w:val="20"/>
                <w:szCs w:val="20"/>
                <w:color w:val="auto"/>
              </w:rPr>
            </w:pPr>
            <w:r>
              <w:rPr>
                <w:rFonts w:ascii="Arial" w:cs="Arial" w:eastAsia="Arial" w:hAnsi="Arial"/>
                <w:sz w:val="18"/>
                <w:szCs w:val="18"/>
                <w:color w:val="auto"/>
                <w:w w:val="99"/>
              </w:rPr>
              <w:t>X</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500" w:type="dxa"/>
            <w:vAlign w:val="bottom"/>
            <w:shd w:val="clear" w:color="auto" w:fill="0563C1"/>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23.1</w:t>
            </w:r>
          </w:p>
        </w:tc>
        <w:tc>
          <w:tcPr>
            <w:tcW w:w="5300" w:type="dxa"/>
            <w:vAlign w:val="bottom"/>
            <w:gridSpan w:val="11"/>
          </w:tcPr>
          <w:p>
            <w:pPr>
              <w:spacing w:after="0"/>
              <w:rPr>
                <w:sz w:val="20"/>
                <w:szCs w:val="20"/>
                <w:color w:val="auto"/>
              </w:rPr>
            </w:pPr>
            <w:r>
              <w:rPr>
                <w:rFonts w:ascii="Arial" w:cs="Arial" w:eastAsia="Arial" w:hAnsi="Arial"/>
                <w:sz w:val="18"/>
                <w:szCs w:val="18"/>
                <w:color w:val="0563C1"/>
              </w:rPr>
              <w:t>Consent of Independent Registered Public Accounting Firm.</w:t>
            </w: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60" w:type="dxa"/>
            <w:vAlign w:val="bottom"/>
          </w:tcPr>
          <w:p>
            <w:pPr>
              <w:ind w:left="1620"/>
              <w:spacing w:after="0"/>
              <w:rPr>
                <w:sz w:val="20"/>
                <w:szCs w:val="20"/>
                <w:color w:val="auto"/>
              </w:rPr>
            </w:pPr>
            <w:r>
              <w:rPr>
                <w:rFonts w:ascii="Arial" w:cs="Arial" w:eastAsia="Arial" w:hAnsi="Arial"/>
                <w:sz w:val="18"/>
                <w:szCs w:val="18"/>
                <w:color w:val="auto"/>
                <w:w w:val="99"/>
              </w:rPr>
              <w:t>X</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920" w:type="dxa"/>
            <w:vAlign w:val="bottom"/>
            <w:gridSpan w:val="4"/>
            <w:shd w:val="clear" w:color="auto" w:fill="0563C1"/>
          </w:tcPr>
          <w:p>
            <w:pPr>
              <w:spacing w:after="0" w:line="20" w:lineRule="exact"/>
              <w:rPr>
                <w:sz w:val="1"/>
                <w:szCs w:val="1"/>
                <w:color w:val="auto"/>
              </w:rPr>
            </w:pPr>
          </w:p>
        </w:tc>
        <w:tc>
          <w:tcPr>
            <w:tcW w:w="500" w:type="dxa"/>
            <w:vAlign w:val="bottom"/>
            <w:tcBorders>
              <w:left w:val="single" w:sz="8" w:color="0563C1"/>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24.1</w:t>
            </w:r>
          </w:p>
        </w:tc>
        <w:tc>
          <w:tcPr>
            <w:tcW w:w="5300" w:type="dxa"/>
            <w:vAlign w:val="bottom"/>
            <w:gridSpan w:val="11"/>
          </w:tcPr>
          <w:p>
            <w:pPr>
              <w:spacing w:after="0"/>
              <w:rPr>
                <w:sz w:val="20"/>
                <w:szCs w:val="20"/>
                <w:color w:val="auto"/>
              </w:rPr>
            </w:pPr>
            <w:r>
              <w:rPr>
                <w:rFonts w:ascii="Arial" w:cs="Arial" w:eastAsia="Arial" w:hAnsi="Arial"/>
                <w:sz w:val="18"/>
                <w:szCs w:val="18"/>
                <w:color w:val="0563C1"/>
              </w:rPr>
              <w:t>Power of Attorney (included on signature page to this Form 10-K).</w:t>
            </w: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60" w:type="dxa"/>
            <w:vAlign w:val="bottom"/>
          </w:tcPr>
          <w:p>
            <w:pPr>
              <w:ind w:left="1620"/>
              <w:spacing w:after="0"/>
              <w:rPr>
                <w:sz w:val="20"/>
                <w:szCs w:val="20"/>
                <w:color w:val="auto"/>
              </w:rPr>
            </w:pPr>
            <w:r>
              <w:rPr>
                <w:rFonts w:ascii="Arial" w:cs="Arial" w:eastAsia="Arial" w:hAnsi="Arial"/>
                <w:sz w:val="18"/>
                <w:szCs w:val="18"/>
                <w:color w:val="auto"/>
                <w:w w:val="99"/>
              </w:rPr>
              <w:t>X</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920" w:type="dxa"/>
            <w:vAlign w:val="bottom"/>
            <w:gridSpan w:val="4"/>
            <w:shd w:val="clear" w:color="auto" w:fill="0563C1"/>
          </w:tcPr>
          <w:p>
            <w:pPr>
              <w:spacing w:after="0" w:line="20" w:lineRule="exact"/>
              <w:rPr>
                <w:sz w:val="1"/>
                <w:szCs w:val="1"/>
                <w:color w:val="auto"/>
              </w:rPr>
            </w:pPr>
          </w:p>
        </w:tc>
        <w:tc>
          <w:tcPr>
            <w:tcW w:w="500" w:type="dxa"/>
            <w:vAlign w:val="bottom"/>
            <w:tcBorders>
              <w:left w:val="single" w:sz="8" w:color="0563C1"/>
            </w:tcBorders>
            <w:gridSpan w:val="2"/>
            <w:shd w:val="clear" w:color="auto" w:fill="0563C1"/>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5300" w:type="dxa"/>
            <w:vAlign w:val="bottom"/>
            <w:gridSpan w:val="11"/>
          </w:tcPr>
          <w:p>
            <w:pPr>
              <w:spacing w:after="0"/>
              <w:rPr>
                <w:sz w:val="20"/>
                <w:szCs w:val="20"/>
                <w:color w:val="auto"/>
              </w:rPr>
            </w:pPr>
            <w:r>
              <w:rPr>
                <w:rFonts w:ascii="Arial" w:cs="Arial" w:eastAsia="Arial" w:hAnsi="Arial"/>
                <w:sz w:val="18"/>
                <w:szCs w:val="18"/>
                <w:color w:val="0563C1"/>
                <w:w w:val="93"/>
              </w:rPr>
              <w:t>Certification of Principal Executive Officer Pursuant to Rules 13a-14(a)</w:t>
            </w: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920" w:type="dxa"/>
            <w:vAlign w:val="bottom"/>
            <w:gridSpan w:val="4"/>
            <w:shd w:val="clear" w:color="auto" w:fill="0563C1"/>
          </w:tcPr>
          <w:p>
            <w:pPr>
              <w:spacing w:after="0" w:line="20" w:lineRule="exact"/>
              <w:rPr>
                <w:sz w:val="1"/>
                <w:szCs w:val="1"/>
                <w:color w:val="auto"/>
              </w:rPr>
            </w:pPr>
          </w:p>
        </w:tc>
        <w:tc>
          <w:tcPr>
            <w:tcW w:w="780" w:type="dxa"/>
            <w:vAlign w:val="bottom"/>
            <w:tcBorders>
              <w:lef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1"/>
          </w:tcPr>
          <w:p>
            <w:pPr>
              <w:spacing w:after="0" w:line="196" w:lineRule="exact"/>
              <w:rPr>
                <w:sz w:val="20"/>
                <w:szCs w:val="20"/>
                <w:color w:val="auto"/>
              </w:rPr>
            </w:pPr>
            <w:r>
              <w:rPr>
                <w:rFonts w:ascii="Arial" w:cs="Arial" w:eastAsia="Arial" w:hAnsi="Arial"/>
                <w:sz w:val="18"/>
                <w:szCs w:val="18"/>
                <w:color w:val="0563C1"/>
                <w:w w:val="93"/>
              </w:rPr>
              <w:t>and 15d-14(a) under the Securities Exchange Act of 1934, as Adopted</w:t>
            </w: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920" w:type="dxa"/>
            <w:vAlign w:val="bottom"/>
            <w:gridSpan w:val="4"/>
            <w:shd w:val="clear" w:color="auto" w:fill="0563C1"/>
          </w:tcPr>
          <w:p>
            <w:pPr>
              <w:spacing w:after="0" w:line="20" w:lineRule="exact"/>
              <w:rPr>
                <w:sz w:val="1"/>
                <w:szCs w:val="1"/>
                <w:color w:val="auto"/>
              </w:rPr>
            </w:pPr>
          </w:p>
        </w:tc>
        <w:tc>
          <w:tcPr>
            <w:tcW w:w="780" w:type="dxa"/>
            <w:vAlign w:val="bottom"/>
            <w:tcBorders>
              <w:left w:val="single" w:sz="8" w:color="0563C1"/>
            </w:tcBorders>
            <w:gridSpan w:val="4"/>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1"/>
          </w:tcPr>
          <w:p>
            <w:pPr>
              <w:spacing w:after="0" w:line="196" w:lineRule="exact"/>
              <w:rPr>
                <w:sz w:val="20"/>
                <w:szCs w:val="20"/>
                <w:color w:val="auto"/>
              </w:rPr>
            </w:pPr>
            <w:r>
              <w:rPr>
                <w:rFonts w:ascii="Arial" w:cs="Arial" w:eastAsia="Arial" w:hAnsi="Arial"/>
                <w:sz w:val="18"/>
                <w:szCs w:val="18"/>
                <w:color w:val="0563C1"/>
              </w:rPr>
              <w:t>Pursuant to Section 302 of the Sarbanes-Oxley Act of 2002.</w:t>
            </w: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60" w:type="dxa"/>
            <w:vAlign w:val="bottom"/>
          </w:tcPr>
          <w:p>
            <w:pPr>
              <w:ind w:left="1620"/>
              <w:spacing w:after="0" w:line="196" w:lineRule="exact"/>
              <w:rPr>
                <w:sz w:val="20"/>
                <w:szCs w:val="20"/>
                <w:color w:val="auto"/>
              </w:rPr>
            </w:pPr>
            <w:r>
              <w:rPr>
                <w:rFonts w:ascii="Arial" w:cs="Arial" w:eastAsia="Arial" w:hAnsi="Arial"/>
                <w:sz w:val="18"/>
                <w:szCs w:val="18"/>
                <w:color w:val="auto"/>
                <w:w w:val="99"/>
              </w:rPr>
              <w:t>X</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920" w:type="dxa"/>
            <w:vAlign w:val="bottom"/>
            <w:gridSpan w:val="4"/>
            <w:shd w:val="clear" w:color="auto" w:fill="0563C1"/>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5300" w:type="dxa"/>
            <w:vAlign w:val="bottom"/>
            <w:gridSpan w:val="11"/>
          </w:tcPr>
          <w:p>
            <w:pPr>
              <w:spacing w:after="0"/>
              <w:rPr>
                <w:sz w:val="20"/>
                <w:szCs w:val="20"/>
                <w:color w:val="auto"/>
              </w:rPr>
            </w:pPr>
            <w:r>
              <w:rPr>
                <w:rFonts w:ascii="Arial" w:cs="Arial" w:eastAsia="Arial" w:hAnsi="Arial"/>
                <w:sz w:val="18"/>
                <w:szCs w:val="18"/>
                <w:color w:val="0563C1"/>
                <w:w w:val="94"/>
              </w:rPr>
              <w:t>Certification of Principal Financial Officer Pursuant to Rules 13a-14(a)</w:t>
            </w: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780" w:type="dxa"/>
            <w:vAlign w:val="bottom"/>
            <w:gridSpan w:val="9"/>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1"/>
          </w:tcPr>
          <w:p>
            <w:pPr>
              <w:spacing w:after="0" w:line="196" w:lineRule="exact"/>
              <w:rPr>
                <w:sz w:val="20"/>
                <w:szCs w:val="20"/>
                <w:color w:val="auto"/>
              </w:rPr>
            </w:pPr>
            <w:r>
              <w:rPr>
                <w:rFonts w:ascii="Arial" w:cs="Arial" w:eastAsia="Arial" w:hAnsi="Arial"/>
                <w:sz w:val="18"/>
                <w:szCs w:val="18"/>
                <w:color w:val="0563C1"/>
                <w:w w:val="93"/>
              </w:rPr>
              <w:t>and 15d-14(a) under the Securities Exchange Act of 1934, as Adopted</w:t>
            </w: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700" w:type="dxa"/>
            <w:vAlign w:val="bottom"/>
            <w:gridSpan w:val="8"/>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1"/>
          </w:tcPr>
          <w:p>
            <w:pPr>
              <w:spacing w:after="0" w:line="196" w:lineRule="exact"/>
              <w:rPr>
                <w:sz w:val="20"/>
                <w:szCs w:val="20"/>
                <w:color w:val="auto"/>
              </w:rPr>
            </w:pPr>
            <w:r>
              <w:rPr>
                <w:rFonts w:ascii="Arial" w:cs="Arial" w:eastAsia="Arial" w:hAnsi="Arial"/>
                <w:sz w:val="18"/>
                <w:szCs w:val="18"/>
                <w:color w:val="0563C1"/>
              </w:rPr>
              <w:t>Pursuant to Section 302 of the Sarbanes-Oxley Act of 2002.</w:t>
            </w: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60" w:type="dxa"/>
            <w:vAlign w:val="bottom"/>
          </w:tcPr>
          <w:p>
            <w:pPr>
              <w:ind w:left="1620"/>
              <w:spacing w:after="0" w:line="196" w:lineRule="exact"/>
              <w:rPr>
                <w:sz w:val="20"/>
                <w:szCs w:val="20"/>
                <w:color w:val="auto"/>
              </w:rPr>
            </w:pPr>
            <w:r>
              <w:rPr>
                <w:rFonts w:ascii="Arial" w:cs="Arial" w:eastAsia="Arial" w:hAnsi="Arial"/>
                <w:sz w:val="18"/>
                <w:szCs w:val="18"/>
                <w:color w:val="auto"/>
                <w:w w:val="99"/>
              </w:rPr>
              <w:t>X</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920" w:type="dxa"/>
            <w:vAlign w:val="bottom"/>
            <w:gridSpan w:val="4"/>
            <w:shd w:val="clear" w:color="auto" w:fill="0563C1"/>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5300" w:type="dxa"/>
            <w:vAlign w:val="bottom"/>
            <w:gridSpan w:val="11"/>
          </w:tcPr>
          <w:p>
            <w:pPr>
              <w:spacing w:after="0"/>
              <w:rPr>
                <w:sz w:val="20"/>
                <w:szCs w:val="20"/>
                <w:color w:val="auto"/>
              </w:rPr>
            </w:pPr>
            <w:r>
              <w:rPr>
                <w:rFonts w:ascii="Arial" w:cs="Arial" w:eastAsia="Arial" w:hAnsi="Arial"/>
                <w:sz w:val="18"/>
                <w:szCs w:val="18"/>
                <w:color w:val="0563C1"/>
                <w:w w:val="91"/>
              </w:rPr>
              <w:t>Certification of Principal Executive Officer Pursuant to 18 U.S.C. Section</w:t>
            </w: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780" w:type="dxa"/>
            <w:vAlign w:val="bottom"/>
            <w:gridSpan w:val="9"/>
            <w:shd w:val="clear" w:color="auto" w:fill="0563C1"/>
          </w:tcPr>
          <w:p>
            <w:pPr>
              <w:spacing w:after="0" w:line="20" w:lineRule="exact"/>
              <w:rPr>
                <w:sz w:val="1"/>
                <w:szCs w:val="1"/>
                <w:color w:val="auto"/>
              </w:rPr>
            </w:pPr>
          </w:p>
        </w:tc>
        <w:tc>
          <w:tcPr>
            <w:tcW w:w="140" w:type="dxa"/>
            <w:vAlign w:val="bottom"/>
            <w:tcBorders>
              <w:left w:val="single" w:sz="8" w:color="0563C1"/>
            </w:tcBorders>
            <w:shd w:val="clear" w:color="auto" w:fill="0563C1"/>
          </w:tcPr>
          <w:p>
            <w:pPr>
              <w:spacing w:after="0" w:line="20" w:lineRule="exact"/>
              <w:rPr>
                <w:sz w:val="1"/>
                <w:szCs w:val="1"/>
                <w:color w:val="auto"/>
              </w:rPr>
            </w:pPr>
          </w:p>
        </w:tc>
        <w:tc>
          <w:tcPr>
            <w:tcW w:w="1080" w:type="dxa"/>
            <w:vAlign w:val="bottom"/>
            <w:tcBorders>
              <w:left w:val="single" w:sz="8" w:color="0563C1"/>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1"/>
          </w:tcPr>
          <w:p>
            <w:pPr>
              <w:spacing w:after="0" w:line="196" w:lineRule="exact"/>
              <w:rPr>
                <w:sz w:val="20"/>
                <w:szCs w:val="20"/>
                <w:color w:val="auto"/>
              </w:rPr>
            </w:pPr>
            <w:r>
              <w:rPr>
                <w:rFonts w:ascii="Arial" w:cs="Arial" w:eastAsia="Arial" w:hAnsi="Arial"/>
                <w:sz w:val="18"/>
                <w:szCs w:val="18"/>
                <w:color w:val="0563C1"/>
                <w:w w:val="91"/>
              </w:rPr>
              <w:t>1350, as Adopted Pursuant to Section 906 of the Sarbanes-Oxley Act of</w:t>
            </w: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500" w:type="dxa"/>
            <w:vAlign w:val="bottom"/>
            <w:shd w:val="clear" w:color="auto" w:fill="0563C1"/>
          </w:tcPr>
          <w:p>
            <w:pPr>
              <w:spacing w:after="0" w:line="20" w:lineRule="exact"/>
              <w:rPr>
                <w:sz w:val="1"/>
                <w:szCs w:val="1"/>
                <w:color w:val="auto"/>
              </w:rPr>
            </w:pPr>
          </w:p>
        </w:tc>
        <w:tc>
          <w:tcPr>
            <w:tcW w:w="19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80" w:type="dxa"/>
            <w:vAlign w:val="bottom"/>
          </w:tcPr>
          <w:p>
            <w:pPr>
              <w:spacing w:after="0" w:line="196" w:lineRule="exact"/>
              <w:rPr>
                <w:sz w:val="20"/>
                <w:szCs w:val="20"/>
                <w:color w:val="auto"/>
              </w:rPr>
            </w:pPr>
            <w:r>
              <w:rPr>
                <w:rFonts w:ascii="Arial" w:cs="Arial" w:eastAsia="Arial" w:hAnsi="Arial"/>
                <w:sz w:val="18"/>
                <w:szCs w:val="18"/>
                <w:color w:val="0563C1"/>
                <w:w w:val="79"/>
              </w:rPr>
              <w:t>2002.</w:t>
            </w:r>
          </w:p>
        </w:tc>
        <w:tc>
          <w:tcPr>
            <w:tcW w:w="15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60" w:type="dxa"/>
            <w:vAlign w:val="bottom"/>
          </w:tcPr>
          <w:p>
            <w:pPr>
              <w:ind w:left="1620"/>
              <w:spacing w:after="0" w:line="196" w:lineRule="exact"/>
              <w:rPr>
                <w:sz w:val="20"/>
                <w:szCs w:val="20"/>
                <w:color w:val="auto"/>
              </w:rPr>
            </w:pPr>
            <w:r>
              <w:rPr>
                <w:rFonts w:ascii="Arial" w:cs="Arial" w:eastAsia="Arial" w:hAnsi="Arial"/>
                <w:sz w:val="18"/>
                <w:szCs w:val="18"/>
                <w:color w:val="auto"/>
                <w:w w:val="99"/>
              </w:rPr>
              <w:t>X</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920" w:type="dxa"/>
            <w:vAlign w:val="bottom"/>
            <w:gridSpan w:val="1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5300" w:type="dxa"/>
            <w:vAlign w:val="bottom"/>
            <w:gridSpan w:val="11"/>
          </w:tcPr>
          <w:p>
            <w:pPr>
              <w:spacing w:after="0"/>
              <w:rPr>
                <w:sz w:val="20"/>
                <w:szCs w:val="20"/>
                <w:color w:val="auto"/>
              </w:rPr>
            </w:pPr>
            <w:r>
              <w:rPr>
                <w:rFonts w:ascii="Arial" w:cs="Arial" w:eastAsia="Arial" w:hAnsi="Arial"/>
                <w:sz w:val="18"/>
                <w:szCs w:val="18"/>
                <w:color w:val="0563C1"/>
                <w:w w:val="92"/>
              </w:rPr>
              <w:t>Certification of Principal Financial Officer Pursuant to 18 U.S.C. Section</w:t>
            </w: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300" w:type="dxa"/>
            <w:vAlign w:val="bottom"/>
            <w:gridSpan w:val="11"/>
            <w:shd w:val="clear" w:color="auto" w:fill="0563C1"/>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00" w:type="dxa"/>
            <w:vAlign w:val="bottom"/>
            <w:gridSpan w:val="11"/>
          </w:tcPr>
          <w:p>
            <w:pPr>
              <w:spacing w:after="0" w:line="196" w:lineRule="exact"/>
              <w:rPr>
                <w:sz w:val="20"/>
                <w:szCs w:val="20"/>
                <w:color w:val="auto"/>
              </w:rPr>
            </w:pPr>
            <w:r>
              <w:rPr>
                <w:rFonts w:ascii="Arial" w:cs="Arial" w:eastAsia="Arial" w:hAnsi="Arial"/>
                <w:sz w:val="18"/>
                <w:szCs w:val="18"/>
                <w:color w:val="0563C1"/>
                <w:w w:val="91"/>
              </w:rPr>
              <w:t>1350, as Adopted Pursuant to Section 906 of the Sarbanes-Oxley Act of</w:t>
            </w: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500" w:type="dxa"/>
            <w:vAlign w:val="bottom"/>
            <w:shd w:val="clear" w:color="auto" w:fill="0563C1"/>
          </w:tcPr>
          <w:p>
            <w:pPr>
              <w:spacing w:after="0" w:line="20" w:lineRule="exact"/>
              <w:rPr>
                <w:sz w:val="1"/>
                <w:szCs w:val="1"/>
                <w:color w:val="auto"/>
              </w:rPr>
            </w:pPr>
          </w:p>
        </w:tc>
        <w:tc>
          <w:tcPr>
            <w:tcW w:w="196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28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0563C1"/>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80" w:type="dxa"/>
            <w:vAlign w:val="bottom"/>
          </w:tcPr>
          <w:p>
            <w:pPr>
              <w:spacing w:after="0" w:line="196" w:lineRule="exact"/>
              <w:rPr>
                <w:sz w:val="20"/>
                <w:szCs w:val="20"/>
                <w:color w:val="auto"/>
              </w:rPr>
            </w:pPr>
            <w:r>
              <w:rPr>
                <w:rFonts w:ascii="Arial" w:cs="Arial" w:eastAsia="Arial" w:hAnsi="Arial"/>
                <w:sz w:val="18"/>
                <w:szCs w:val="18"/>
                <w:color w:val="0563C1"/>
                <w:w w:val="79"/>
              </w:rPr>
              <w:t>2002.</w:t>
            </w:r>
          </w:p>
        </w:tc>
        <w:tc>
          <w:tcPr>
            <w:tcW w:w="15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60" w:type="dxa"/>
            <w:vAlign w:val="bottom"/>
          </w:tcPr>
          <w:p>
            <w:pPr>
              <w:ind w:left="1620"/>
              <w:spacing w:after="0" w:line="196" w:lineRule="exact"/>
              <w:rPr>
                <w:sz w:val="20"/>
                <w:szCs w:val="20"/>
                <w:color w:val="auto"/>
              </w:rPr>
            </w:pPr>
            <w:r>
              <w:rPr>
                <w:rFonts w:ascii="Arial" w:cs="Arial" w:eastAsia="Arial" w:hAnsi="Arial"/>
                <w:sz w:val="18"/>
                <w:szCs w:val="18"/>
                <w:color w:val="auto"/>
                <w:w w:val="99"/>
              </w:rPr>
              <w:t>X</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920" w:type="dxa"/>
            <w:vAlign w:val="bottom"/>
            <w:gridSpan w:val="1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64"/>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5300" w:type="dxa"/>
            <w:vAlign w:val="bottom"/>
            <w:gridSpan w:val="11"/>
          </w:tcPr>
          <w:p>
            <w:pPr>
              <w:spacing w:after="0"/>
              <w:rPr>
                <w:sz w:val="20"/>
                <w:szCs w:val="20"/>
                <w:color w:val="auto"/>
              </w:rPr>
            </w:pPr>
            <w:r>
              <w:rPr>
                <w:rFonts w:ascii="Arial" w:cs="Arial" w:eastAsia="Arial" w:hAnsi="Arial"/>
                <w:sz w:val="18"/>
                <w:szCs w:val="18"/>
                <w:color w:val="auto"/>
              </w:rPr>
              <w:t>Inline XBRL Instance Document.</w:t>
            </w:r>
          </w:p>
        </w:tc>
        <w:tc>
          <w:tcPr>
            <w:tcW w:w="10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760" w:type="dxa"/>
            <w:vAlign w:val="bottom"/>
          </w:tcPr>
          <w:p>
            <w:pPr>
              <w:ind w:left="1620"/>
              <w:spacing w:after="0"/>
              <w:rPr>
                <w:sz w:val="20"/>
                <w:szCs w:val="20"/>
                <w:color w:val="auto"/>
              </w:rPr>
            </w:pPr>
            <w:r>
              <w:rPr>
                <w:rFonts w:ascii="Arial" w:cs="Arial" w:eastAsia="Arial" w:hAnsi="Arial"/>
                <w:sz w:val="18"/>
                <w:szCs w:val="18"/>
                <w:color w:val="auto"/>
                <w:w w:val="99"/>
              </w:rPr>
              <w:t>X</w:t>
            </w:r>
          </w:p>
        </w:tc>
      </w:tr>
      <w:tr>
        <w:trPr>
          <w:trHeight w:val="243"/>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530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10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60" w:type="dxa"/>
            <w:vAlign w:val="bottom"/>
          </w:tcPr>
          <w:p>
            <w:pPr>
              <w:ind w:left="1620"/>
              <w:spacing w:after="0"/>
              <w:rPr>
                <w:sz w:val="20"/>
                <w:szCs w:val="20"/>
                <w:color w:val="auto"/>
              </w:rPr>
            </w:pPr>
            <w:r>
              <w:rPr>
                <w:rFonts w:ascii="Arial" w:cs="Arial" w:eastAsia="Arial" w:hAnsi="Arial"/>
                <w:sz w:val="18"/>
                <w:szCs w:val="18"/>
                <w:color w:val="auto"/>
                <w:w w:val="99"/>
              </w:rPr>
              <w:t>X</w:t>
            </w:r>
          </w:p>
        </w:tc>
      </w:tr>
      <w:tr>
        <w:trPr>
          <w:trHeight w:val="243"/>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5300" w:type="dxa"/>
            <w:vAlign w:val="bottom"/>
            <w:gridSpan w:val="11"/>
          </w:tcPr>
          <w:p>
            <w:pPr>
              <w:spacing w:after="0"/>
              <w:rPr>
                <w:sz w:val="20"/>
                <w:szCs w:val="20"/>
                <w:color w:val="auto"/>
              </w:rPr>
            </w:pPr>
            <w:r>
              <w:rPr>
                <w:rFonts w:ascii="Arial" w:cs="Arial" w:eastAsia="Arial" w:hAnsi="Arial"/>
                <w:sz w:val="18"/>
                <w:szCs w:val="18"/>
                <w:color w:val="auto"/>
                <w:w w:val="99"/>
              </w:rPr>
              <w:t>Inline XBRL Taxonomy Extension Calculation Linkbase Document.</w:t>
            </w:r>
          </w:p>
        </w:tc>
        <w:tc>
          <w:tcPr>
            <w:tcW w:w="10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60" w:type="dxa"/>
            <w:vAlign w:val="bottom"/>
          </w:tcPr>
          <w:p>
            <w:pPr>
              <w:ind w:left="1620"/>
              <w:spacing w:after="0"/>
              <w:rPr>
                <w:sz w:val="20"/>
                <w:szCs w:val="20"/>
                <w:color w:val="auto"/>
              </w:rPr>
            </w:pPr>
            <w:r>
              <w:rPr>
                <w:rFonts w:ascii="Arial" w:cs="Arial" w:eastAsia="Arial" w:hAnsi="Arial"/>
                <w:sz w:val="18"/>
                <w:szCs w:val="18"/>
                <w:color w:val="auto"/>
                <w:w w:val="99"/>
              </w:rPr>
              <w:t>X</w:t>
            </w:r>
          </w:p>
        </w:tc>
      </w:tr>
      <w:tr>
        <w:trPr>
          <w:trHeight w:val="243"/>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530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0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60" w:type="dxa"/>
            <w:vAlign w:val="bottom"/>
          </w:tcPr>
          <w:p>
            <w:pPr>
              <w:ind w:left="1620"/>
              <w:spacing w:after="0"/>
              <w:rPr>
                <w:sz w:val="20"/>
                <w:szCs w:val="20"/>
                <w:color w:val="auto"/>
              </w:rPr>
            </w:pPr>
            <w:r>
              <w:rPr>
                <w:rFonts w:ascii="Arial" w:cs="Arial" w:eastAsia="Arial" w:hAnsi="Arial"/>
                <w:sz w:val="18"/>
                <w:szCs w:val="18"/>
                <w:color w:val="auto"/>
                <w:w w:val="99"/>
              </w:rPr>
              <w:t>X</w:t>
            </w:r>
          </w:p>
        </w:tc>
      </w:tr>
      <w:tr>
        <w:trPr>
          <w:trHeight w:val="243"/>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530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60" w:type="dxa"/>
            <w:vAlign w:val="bottom"/>
          </w:tcPr>
          <w:p>
            <w:pPr>
              <w:ind w:left="1620"/>
              <w:spacing w:after="0"/>
              <w:rPr>
                <w:sz w:val="20"/>
                <w:szCs w:val="20"/>
                <w:color w:val="auto"/>
              </w:rPr>
            </w:pPr>
            <w:r>
              <w:rPr>
                <w:rFonts w:ascii="Arial" w:cs="Arial" w:eastAsia="Arial" w:hAnsi="Arial"/>
                <w:sz w:val="18"/>
                <w:szCs w:val="18"/>
                <w:color w:val="auto"/>
                <w:w w:val="99"/>
              </w:rPr>
              <w:t>X</w:t>
            </w:r>
          </w:p>
        </w:tc>
      </w:tr>
      <w:tr>
        <w:trPr>
          <w:trHeight w:val="243"/>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5300" w:type="dxa"/>
            <w:vAlign w:val="bottom"/>
            <w:gridSpan w:val="11"/>
          </w:tcPr>
          <w:p>
            <w:pPr>
              <w:spacing w:after="0"/>
              <w:rPr>
                <w:sz w:val="20"/>
                <w:szCs w:val="20"/>
                <w:color w:val="auto"/>
              </w:rPr>
            </w:pPr>
            <w:r>
              <w:rPr>
                <w:rFonts w:ascii="Arial" w:cs="Arial" w:eastAsia="Arial" w:hAnsi="Arial"/>
                <w:sz w:val="18"/>
                <w:szCs w:val="18"/>
                <w:color w:val="auto"/>
                <w:w w:val="96"/>
              </w:rPr>
              <w:t>Inline XBRL Taxonomy Extension Presentation Linkbase Document.</w:t>
            </w:r>
          </w:p>
        </w:tc>
        <w:tc>
          <w:tcPr>
            <w:tcW w:w="10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760" w:type="dxa"/>
            <w:vAlign w:val="bottom"/>
          </w:tcPr>
          <w:p>
            <w:pPr>
              <w:ind w:left="1620"/>
              <w:spacing w:after="0"/>
              <w:rPr>
                <w:sz w:val="20"/>
                <w:szCs w:val="20"/>
                <w:color w:val="auto"/>
              </w:rPr>
            </w:pPr>
            <w:r>
              <w:rPr>
                <w:rFonts w:ascii="Arial" w:cs="Arial" w:eastAsia="Arial" w:hAnsi="Arial"/>
                <w:sz w:val="18"/>
                <w:szCs w:val="18"/>
                <w:color w:val="auto"/>
                <w:w w:val="99"/>
              </w:rPr>
              <w:t>X</w:t>
            </w:r>
          </w:p>
        </w:tc>
      </w:tr>
      <w:tr>
        <w:trPr>
          <w:trHeight w:val="229"/>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5300" w:type="dxa"/>
            <w:vAlign w:val="bottom"/>
            <w:gridSpan w:val="11"/>
          </w:tcPr>
          <w:p>
            <w:pPr>
              <w:spacing w:after="0"/>
              <w:rPr>
                <w:sz w:val="20"/>
                <w:szCs w:val="20"/>
                <w:color w:val="auto"/>
              </w:rPr>
            </w:pPr>
            <w:r>
              <w:rPr>
                <w:rFonts w:ascii="Arial" w:cs="Arial" w:eastAsia="Arial" w:hAnsi="Arial"/>
                <w:sz w:val="18"/>
                <w:szCs w:val="18"/>
                <w:color w:val="auto"/>
                <w:w w:val="90"/>
              </w:rPr>
              <w:t>The cover page from the Company’s Annual Report on Form 10-K for the</w:t>
            </w: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5300" w:type="dxa"/>
            <w:vAlign w:val="bottom"/>
            <w:gridSpan w:val="11"/>
          </w:tcPr>
          <w:p>
            <w:pPr>
              <w:spacing w:after="0"/>
              <w:rPr>
                <w:sz w:val="20"/>
                <w:szCs w:val="20"/>
                <w:color w:val="auto"/>
              </w:rPr>
            </w:pPr>
            <w:r>
              <w:rPr>
                <w:rFonts w:ascii="Arial" w:cs="Arial" w:eastAsia="Arial" w:hAnsi="Arial"/>
                <w:sz w:val="18"/>
                <w:szCs w:val="18"/>
                <w:color w:val="auto"/>
                <w:w w:val="98"/>
              </w:rPr>
              <w:t>year ended December 31, 2022 has been formatted in Inline XBRL</w:t>
            </w:r>
          </w:p>
        </w:tc>
        <w:tc>
          <w:tcPr>
            <w:tcW w:w="1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60" w:type="dxa"/>
            <w:vAlign w:val="bottom"/>
          </w:tcPr>
          <w:p>
            <w:pPr>
              <w:ind w:left="1620"/>
              <w:spacing w:after="0"/>
              <w:rPr>
                <w:sz w:val="20"/>
                <w:szCs w:val="20"/>
                <w:color w:val="auto"/>
              </w:rPr>
            </w:pPr>
            <w:r>
              <w:rPr>
                <w:rFonts w:ascii="Arial" w:cs="Arial" w:eastAsia="Arial" w:hAnsi="Arial"/>
                <w:sz w:val="18"/>
                <w:szCs w:val="18"/>
                <w:color w:val="auto"/>
                <w:w w:val="99"/>
              </w:rPr>
              <w:t>X</w:t>
            </w:r>
          </w:p>
        </w:tc>
      </w:tr>
    </w:tbl>
    <w:p>
      <w:pPr>
        <w:spacing w:after="0" w:line="148" w:lineRule="exact"/>
        <w:rPr>
          <w:sz w:val="20"/>
          <w:szCs w:val="20"/>
          <w:color w:val="auto"/>
        </w:rPr>
      </w:pPr>
    </w:p>
    <w:p>
      <w:pPr>
        <w:ind w:firstLine="8"/>
        <w:spacing w:after="0" w:line="258" w:lineRule="auto"/>
        <w:tabs>
          <w:tab w:leader="none" w:pos="1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Portions of the exhibit, marked by brackets, have been omitted because the omitted information (i) is not material and (ii) is the type of information that the registrant both customarily and actually treats as private and confidential.</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management contract or compensatory plan.</w:t>
      </w:r>
    </w:p>
    <w:p>
      <w:pPr>
        <w:spacing w:after="0" w:line="9" w:lineRule="exact"/>
        <w:rPr>
          <w:rFonts w:ascii="Arial" w:cs="Arial" w:eastAsia="Arial" w:hAnsi="Arial"/>
          <w:sz w:val="18"/>
          <w:szCs w:val="18"/>
          <w:color w:val="auto"/>
        </w:rPr>
      </w:pPr>
    </w:p>
    <w:p>
      <w:pPr>
        <w:ind w:right="120"/>
        <w:spacing w:after="0" w:line="253" w:lineRule="auto"/>
        <w:rPr>
          <w:rFonts w:ascii="Arial" w:cs="Arial" w:eastAsia="Arial" w:hAnsi="Arial"/>
          <w:sz w:val="18"/>
          <w:szCs w:val="18"/>
          <w:color w:val="auto"/>
        </w:rPr>
      </w:pPr>
      <w:r>
        <w:rPr>
          <w:rFonts w:ascii="Arial" w:cs="Arial" w:eastAsia="Arial" w:hAnsi="Arial"/>
          <w:sz w:val="18"/>
          <w:szCs w:val="18"/>
          <w:color w:val="auto"/>
        </w:rPr>
        <w:t>* The certifications attached as Exhibits 32.1 and 32.2 that accompany this Annual Report on Form 10-K, are deemed furnished and not filed with the Securities and Exchange Commission and are not to be incorporated by reference into any filing of Aligos Therapeutics,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-973455</wp:posOffset>
            </wp:positionV>
            <wp:extent cx="190309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142" w:name="page143"/>
    <w:bookmarkEnd w:id="142"/>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6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Aligos Therapeutics, Inc.</w:t>
      </w:r>
    </w:p>
    <w:p>
      <w:pPr>
        <w:spacing w:after="0" w:line="256" w:lineRule="exact"/>
        <w:rPr>
          <w:sz w:val="20"/>
          <w:szCs w:val="20"/>
          <w:color w:val="auto"/>
        </w:rPr>
      </w:pPr>
    </w:p>
    <w:p>
      <w:pPr>
        <w:ind w:left="20"/>
        <w:spacing w:after="0"/>
        <w:tabs>
          <w:tab w:leader="none" w:pos="5680" w:val="left"/>
          <w:tab w:leader="none" w:pos="6120" w:val="left"/>
        </w:tabs>
        <w:rPr>
          <w:sz w:val="20"/>
          <w:szCs w:val="20"/>
          <w:color w:val="auto"/>
        </w:rPr>
      </w:pPr>
      <w:r>
        <w:rPr>
          <w:rFonts w:ascii="Arial" w:cs="Arial" w:eastAsia="Arial" w:hAnsi="Arial"/>
          <w:sz w:val="18"/>
          <w:szCs w:val="18"/>
          <w:color w:val="auto"/>
        </w:rPr>
        <w:t>Date: March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M.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23495</wp:posOffset>
            </wp:positionV>
            <wp:extent cx="32486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Lawrence M. Blatt, Ph.D.</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Lawrence M. Blatt, Ph.D., Lesley Ann Calhoun and Lucinda Quan, J.D., and each of them acting individually, as his or her true and lawful attorneys-in-fact and agents,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218"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337" w:right="339" w:bottom="1440" w:gutter="0" w:footer="0" w:header="0"/>
        </w:sectPr>
      </w:pPr>
    </w:p>
    <w:p>
      <w:pPr>
        <w:spacing w:after="0" w:line="162"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3571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02"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Lawrence M.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3571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Arial" w:cs="Arial" w:eastAsia="Arial" w:hAnsi="Arial"/>
          <w:sz w:val="15"/>
          <w:szCs w:val="15"/>
          <w:color w:val="auto"/>
        </w:rPr>
        <w:t>Lawrence M. Blatt, Ph.D.</w:t>
      </w:r>
    </w:p>
    <w:p>
      <w:pPr>
        <w:spacing w:after="0" w:line="260"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3571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Lesley Ann Calhoun</w:t>
      </w:r>
    </w:p>
    <w:p>
      <w:pPr>
        <w:spacing w:after="0" w:line="24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 Leonid Beigelman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3571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Leonid Beigelman, Ph.D.</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 K. Peter Hirth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3571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K. Peter Hirth, Ph.D.</w:t>
      </w:r>
    </w:p>
    <w:p>
      <w:pPr>
        <w:spacing w:after="0" w:line="248"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Jack B.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3571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0">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Jack B. Nielsen</w:t>
      </w:r>
    </w:p>
    <w:p>
      <w:pPr>
        <w:spacing w:after="0" w:line="248"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Carole Nuechterlein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3571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Carole Nuechterlein</w:t>
      </w:r>
    </w:p>
    <w:p>
      <w:pPr>
        <w:spacing w:after="0" w:line="248"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Thomas Woiwode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3571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Arial" w:cs="Arial" w:eastAsia="Arial" w:hAnsi="Arial"/>
          <w:sz w:val="15"/>
          <w:szCs w:val="15"/>
          <w:color w:val="auto"/>
        </w:rPr>
        <w:t>Thomas Woiwode, Ph.D.</w:t>
      </w:r>
    </w:p>
    <w:p>
      <w:pPr>
        <w:spacing w:after="0" w:line="260"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James Scopa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35712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James Scopa</w:t>
      </w:r>
    </w:p>
    <w:p>
      <w:pPr>
        <w:spacing w:after="0" w:line="248"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/s/ Bridget Martell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3571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Bridget Martell, M.D.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15240</wp:posOffset>
            </wp:positionV>
            <wp:extent cx="30861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Director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Chief Financial Officer</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President and 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15240</wp:posOffset>
            </wp:positionV>
            <wp:extent cx="154305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6">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March 9, 2023</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March 9, 2023</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March 9, 2023</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March 9, 2023</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March 9, 2023</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March 9, 2023</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March 9, 2023</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March 9, 2023</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March 9, 2023</w:t>
      </w:r>
    </w:p>
    <w:p>
      <w:pPr>
        <w:spacing w:after="0" w:line="344" w:lineRule="exact"/>
        <w:rPr>
          <w:sz w:val="20"/>
          <w:szCs w:val="20"/>
          <w:color w:val="auto"/>
        </w:rPr>
      </w:pPr>
    </w:p>
    <w:p>
      <w:pPr>
        <w:sectPr>
          <w:pgSz w:w="11900" w:h="16838" w:orient="portrait"/>
          <w:cols w:equalWidth="0" w:num="3">
            <w:col w:w="3140" w:space="720"/>
            <w:col w:w="4980" w:space="720"/>
            <w:col w:w="1680"/>
          </w:cols>
          <w:pgMar w:left="320" w:top="337" w:right="339" w:bottom="1440" w:gutter="0" w:footer="0" w:header="0"/>
          <w:type w:val="continuous"/>
        </w:sect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7580" w:type="dxa"/>
            <w:vAlign w:val="bottom"/>
            <w:gridSpan w:val="3"/>
          </w:tcPr>
          <w:p>
            <w:pPr>
              <w:jc w:val="center"/>
              <w:ind w:right="3530"/>
              <w:spacing w:after="0"/>
              <w:rPr>
                <w:sz w:val="20"/>
                <w:szCs w:val="20"/>
                <w:color w:val="auto"/>
              </w:rPr>
            </w:pPr>
            <w:r>
              <w:rPr>
                <w:rFonts w:ascii="Arial" w:cs="Arial" w:eastAsia="Arial" w:hAnsi="Arial"/>
                <w:sz w:val="18"/>
                <w:szCs w:val="18"/>
                <w:b w:val="1"/>
                <w:bCs w:val="1"/>
                <w:color w:val="auto"/>
                <w:w w:val="89"/>
              </w:rPr>
              <w:t>List of Significant Subsidiaries of</w:t>
            </w: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7580" w:type="dxa"/>
            <w:vAlign w:val="bottom"/>
            <w:gridSpan w:val="3"/>
          </w:tcPr>
          <w:p>
            <w:pPr>
              <w:jc w:val="center"/>
              <w:ind w:right="3530"/>
              <w:spacing w:after="0"/>
              <w:rPr>
                <w:sz w:val="20"/>
                <w:szCs w:val="20"/>
                <w:color w:val="auto"/>
              </w:rPr>
            </w:pPr>
            <w:r>
              <w:rPr>
                <w:rFonts w:ascii="Arial" w:cs="Arial" w:eastAsia="Arial" w:hAnsi="Arial"/>
                <w:sz w:val="18"/>
                <w:szCs w:val="18"/>
                <w:b w:val="1"/>
                <w:bCs w:val="1"/>
                <w:color w:val="auto"/>
                <w:w w:val="90"/>
              </w:rPr>
              <w:t>Aligos Therapeutics, Inc.</w:t>
            </w:r>
          </w:p>
        </w:tc>
        <w:tc>
          <w:tcPr>
            <w:tcW w:w="20" w:type="dxa"/>
            <w:vAlign w:val="bottom"/>
          </w:tcPr>
          <w:p>
            <w:pPr>
              <w:spacing w:after="0"/>
              <w:rPr>
                <w:sz w:val="20"/>
                <w:szCs w:val="20"/>
                <w:color w:val="auto"/>
              </w:rPr>
            </w:pPr>
          </w:p>
        </w:tc>
      </w:tr>
      <w:tr>
        <w:trPr>
          <w:trHeight w:val="661"/>
        </w:trPr>
        <w:tc>
          <w:tcPr>
            <w:tcW w:w="20" w:type="dxa"/>
            <w:vAlign w:val="bottom"/>
          </w:tcPr>
          <w:p>
            <w:pPr>
              <w:spacing w:after="0"/>
              <w:rPr>
                <w:sz w:val="24"/>
                <w:szCs w:val="24"/>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Jurisdiction of Incorporation or Organization</w:t>
            </w:r>
          </w:p>
        </w:tc>
        <w:tc>
          <w:tcPr>
            <w:tcW w:w="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Aligos Belgium BV</w:t>
            </w:r>
          </w:p>
        </w:tc>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Belgium</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Aligos Australia Pty LTD</w:t>
            </w:r>
          </w:p>
        </w:tc>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Aligos Therapeutics (Shanghai) Co. Ltd.</w:t>
            </w: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20"/>
                <w:szCs w:val="20"/>
                <w:color w:val="auto"/>
              </w:rPr>
            </w:pPr>
          </w:p>
        </w:tc>
      </w:tr>
      <w:tr>
        <w:trPr>
          <w:trHeight w:val="344"/>
        </w:trPr>
        <w:tc>
          <w:tcPr>
            <w:tcW w:w="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right="220" w:firstLine="8"/>
        <w:spacing w:after="0" w:line="277" w:lineRule="auto"/>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Registration Statement (Form S-8 No. 333- 249568) pertaining to the Aligos Therapeutics, Inc. 2018 Equity Incentive Plan, 2020 Incentive Award Plan and 2020 Employee Stock Purchase Plan,</w:t>
      </w:r>
    </w:p>
    <w:p>
      <w:pPr>
        <w:spacing w:after="0" w:line="170" w:lineRule="exact"/>
        <w:rPr>
          <w:rFonts w:ascii="Arial" w:cs="Arial" w:eastAsia="Arial" w:hAnsi="Arial"/>
          <w:sz w:val="18"/>
          <w:szCs w:val="18"/>
          <w:color w:val="auto"/>
        </w:rPr>
      </w:pPr>
    </w:p>
    <w:p>
      <w:pPr>
        <w:ind w:right="420" w:firstLine="8"/>
        <w:spacing w:after="0" w:line="277" w:lineRule="auto"/>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Registration Statement (Form S-8 No. 333- 254628) pertaining to the Aligos Therapeutics, Inc. 2020 Incentive Award Plan and 2020 Employee Stock Purchase Plan,</w:t>
      </w:r>
    </w:p>
    <w:p>
      <w:pPr>
        <w:spacing w:after="0" w:line="170" w:lineRule="exact"/>
        <w:rPr>
          <w:rFonts w:ascii="Arial" w:cs="Arial" w:eastAsia="Arial" w:hAnsi="Arial"/>
          <w:sz w:val="18"/>
          <w:szCs w:val="18"/>
          <w:color w:val="auto"/>
        </w:rPr>
      </w:pPr>
    </w:p>
    <w:p>
      <w:pPr>
        <w:ind w:left="480" w:hanging="472"/>
        <w:spacing w:after="0"/>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Registration Statement (Form S-3 No. 333- 260774) of Aligos Therapeutics, Inc., and</w:t>
      </w:r>
    </w:p>
    <w:p>
      <w:pPr>
        <w:spacing w:after="0" w:line="225" w:lineRule="exact"/>
        <w:rPr>
          <w:rFonts w:ascii="Arial" w:cs="Arial" w:eastAsia="Arial" w:hAnsi="Arial"/>
          <w:sz w:val="18"/>
          <w:szCs w:val="18"/>
          <w:color w:val="auto"/>
        </w:rPr>
      </w:pPr>
    </w:p>
    <w:p>
      <w:pPr>
        <w:ind w:right="420" w:firstLine="8"/>
        <w:spacing w:after="0" w:line="277" w:lineRule="auto"/>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Registration Statement (Form S-8 No. 333- 263447) pertaining to the Aligos Therapeutics, Inc. 2020 Incentive Award Plan and 2020 Employee Stock Purchase Plan;</w:t>
      </w:r>
    </w:p>
    <w:p>
      <w:pPr>
        <w:spacing w:after="0" w:line="2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of our report dated March 9, 2023, with respect to the consolidated financial statements of Aligos Therapeutics, Inc. included in this Annual Report (Form 10-K) of Aligos Therapeutics, Inc. for the year ended December 31, 2022.</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Lawrence M. Blatt, Ph.D., certify that:</w:t>
      </w:r>
    </w:p>
    <w:p>
      <w:pPr>
        <w:spacing w:after="0" w:line="225" w:lineRule="exact"/>
        <w:rPr>
          <w:sz w:val="20"/>
          <w:szCs w:val="20"/>
          <w:color w:val="auto"/>
        </w:rPr>
      </w:pPr>
    </w:p>
    <w:p>
      <w:pPr>
        <w:ind w:left="520" w:hanging="512"/>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Aligos Therapeutics,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60" w:type="dxa"/>
            <w:vAlign w:val="bottom"/>
          </w:tcPr>
          <w:p>
            <w:pPr>
              <w:ind w:left="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6"/>
                <w:szCs w:val="16"/>
                <w:color w:val="auto"/>
              </w:rPr>
              <w:t>March 9, 2023</w:t>
            </w:r>
          </w:p>
        </w:tc>
        <w:tc>
          <w:tcPr>
            <w:tcW w:w="2480" w:type="dxa"/>
            <w:vAlign w:val="bottom"/>
          </w:tcPr>
          <w:p>
            <w:pPr>
              <w:ind w:left="2060"/>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Lawrence M. Blatt</w:t>
            </w:r>
          </w:p>
        </w:tc>
      </w:tr>
      <w:tr>
        <w:trPr>
          <w:trHeight w:val="209"/>
        </w:trPr>
        <w:tc>
          <w:tcPr>
            <w:tcW w:w="3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3"/>
              </w:rPr>
              <w:t>Lawrence M. Blatt, Ph.D.</w:t>
            </w:r>
          </w:p>
        </w:tc>
      </w:tr>
      <w:tr>
        <w:trPr>
          <w:trHeight w:val="216"/>
        </w:trPr>
        <w:tc>
          <w:tcPr>
            <w:tcW w:w="3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4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560"/>
        </w:trPr>
        <w:tc>
          <w:tcPr>
            <w:tcW w:w="34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Lesley Ann Calhoun, certify that:</w:t>
      </w:r>
    </w:p>
    <w:p>
      <w:pPr>
        <w:spacing w:after="0" w:line="225" w:lineRule="exact"/>
        <w:rPr>
          <w:sz w:val="20"/>
          <w:szCs w:val="20"/>
          <w:color w:val="auto"/>
        </w:rPr>
      </w:pPr>
    </w:p>
    <w:p>
      <w:pPr>
        <w:ind w:left="520" w:hanging="512"/>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Aligos Therapeutics,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80"/>
        <w:spacing w:after="0"/>
        <w:tabs>
          <w:tab w:leader="none" w:pos="5420" w:val="left"/>
          <w:tab w:leader="none" w:pos="76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6"/>
          <w:szCs w:val="16"/>
          <w:color w:val="auto"/>
        </w:rPr>
        <w:t>March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23495</wp:posOffset>
            </wp:positionV>
            <wp:extent cx="336867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3">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7" w:lineRule="exact"/>
        <w:rPr>
          <w:sz w:val="20"/>
          <w:szCs w:val="20"/>
          <w:color w:val="auto"/>
        </w:rPr>
      </w:pPr>
    </w:p>
    <w:p>
      <w:pPr>
        <w:jc w:val="center"/>
        <w:ind w:left="5800"/>
        <w:spacing w:after="0"/>
        <w:rPr>
          <w:sz w:val="20"/>
          <w:szCs w:val="20"/>
          <w:color w:val="auto"/>
        </w:rPr>
      </w:pPr>
      <w:r>
        <w:rPr>
          <w:rFonts w:ascii="Arial" w:cs="Arial" w:eastAsia="Arial" w:hAnsi="Arial"/>
          <w:sz w:val="18"/>
          <w:szCs w:val="18"/>
          <w:color w:val="auto"/>
        </w:rPr>
        <w:t>Lesley Ann Calhoun</w:t>
      </w:r>
    </w:p>
    <w:p>
      <w:pPr>
        <w:spacing w:after="0" w:line="76" w:lineRule="exact"/>
        <w:rPr>
          <w:sz w:val="20"/>
          <w:szCs w:val="20"/>
          <w:color w:val="auto"/>
        </w:rPr>
      </w:pPr>
    </w:p>
    <w:p>
      <w:pPr>
        <w:jc w:val="center"/>
        <w:ind w:left="5800"/>
        <w:spacing w:after="0"/>
        <w:rPr>
          <w:sz w:val="20"/>
          <w:szCs w:val="20"/>
          <w:color w:val="auto"/>
        </w:rPr>
      </w:pPr>
      <w:r>
        <w:rPr>
          <w:rFonts w:ascii="Arial" w:cs="Arial" w:eastAsia="Arial" w:hAnsi="Arial"/>
          <w:sz w:val="18"/>
          <w:szCs w:val="18"/>
          <w:color w:val="auto"/>
        </w:rPr>
        <w:t>Executive Vice President, Chief Financial Officer</w:t>
      </w:r>
    </w:p>
    <w:p>
      <w:pPr>
        <w:spacing w:after="0" w:line="63" w:lineRule="exact"/>
        <w:rPr>
          <w:sz w:val="20"/>
          <w:szCs w:val="20"/>
          <w:color w:val="auto"/>
        </w:rPr>
      </w:pPr>
    </w:p>
    <w:p>
      <w:pPr>
        <w:jc w:val="center"/>
        <w:ind w:left="58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connection with the Annual Report of Aligos Therapeutics, Inc. (the “Company”) on Form 10-K for the period ended December 31, 2022 as filed with the Securities and Exchange Commission on the date hereof (the “Report”), I certify, pursuant to 18 U.S.C. § 1350, as adopted pursuant to § 906 of the Sarbanes-Oxley Act of 2002, that:</w:t>
      </w:r>
    </w:p>
    <w:p>
      <w:pPr>
        <w:spacing w:after="0" w:line="143" w:lineRule="exact"/>
        <w:rPr>
          <w:sz w:val="20"/>
          <w:szCs w:val="20"/>
          <w:color w:val="auto"/>
        </w:rPr>
      </w:pPr>
    </w:p>
    <w:p>
      <w:pPr>
        <w:ind w:left="760" w:hanging="378"/>
        <w:spacing w:after="0"/>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760" w:hanging="378"/>
        <w:spacing w:after="0"/>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6"/>
          <w:szCs w:val="16"/>
          <w:color w:val="auto"/>
        </w:rPr>
        <w:t>March 9, 2023</w:t>
      </w:r>
    </w:p>
    <w:p>
      <w:pPr>
        <w:spacing w:after="0" w:line="36" w:lineRule="exact"/>
        <w:rPr>
          <w:sz w:val="20"/>
          <w:szCs w:val="20"/>
          <w:color w:val="auto"/>
        </w:rPr>
      </w:pPr>
    </w:p>
    <w:p>
      <w:pPr>
        <w:ind w:left="6980"/>
        <w:spacing w:after="0"/>
        <w:tabs>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Lawrence M. Blatt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23495</wp:posOffset>
            </wp:positionV>
            <wp:extent cx="228028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5">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0" w:lineRule="exact"/>
        <w:rPr>
          <w:sz w:val="20"/>
          <w:szCs w:val="20"/>
          <w:color w:val="auto"/>
        </w:rPr>
      </w:pPr>
    </w:p>
    <w:p>
      <w:pPr>
        <w:jc w:val="center"/>
        <w:ind w:left="7620"/>
        <w:spacing w:after="0"/>
        <w:rPr>
          <w:sz w:val="20"/>
          <w:szCs w:val="20"/>
          <w:color w:val="auto"/>
        </w:rPr>
      </w:pPr>
      <w:r>
        <w:rPr>
          <w:rFonts w:ascii="Arial" w:cs="Arial" w:eastAsia="Arial" w:hAnsi="Arial"/>
          <w:sz w:val="18"/>
          <w:szCs w:val="18"/>
          <w:color w:val="auto"/>
        </w:rPr>
        <w:t>Lawrence M. Blatt, Ph.D.</w:t>
      </w:r>
    </w:p>
    <w:p>
      <w:pPr>
        <w:spacing w:after="0" w:line="36" w:lineRule="exact"/>
        <w:rPr>
          <w:sz w:val="20"/>
          <w:szCs w:val="20"/>
          <w:color w:val="auto"/>
        </w:rPr>
      </w:pPr>
    </w:p>
    <w:p>
      <w:pPr>
        <w:jc w:val="center"/>
        <w:ind w:left="762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jc w:val="center"/>
        <w:ind w:left="7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connection with the Annual Report of Aligos Therapeutics, Inc. (the “Company”) on Form 10-K for the period ended December 31, 2022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760" w:hanging="378"/>
        <w:spacing w:after="0"/>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6"/>
          <w:szCs w:val="16"/>
          <w:color w:val="auto"/>
        </w:rPr>
        <w:t>March 9, 2023</w:t>
      </w:r>
    </w:p>
    <w:p>
      <w:pPr>
        <w:spacing w:after="0" w:line="36" w:lineRule="exact"/>
        <w:rPr>
          <w:sz w:val="20"/>
          <w:szCs w:val="20"/>
          <w:color w:val="auto"/>
        </w:rPr>
      </w:pPr>
    </w:p>
    <w:p>
      <w:pPr>
        <w:ind w:left="7100"/>
        <w:spacing w:after="0"/>
        <w:tabs>
          <w:tab w:leader="none" w:pos="8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23495</wp:posOffset>
            </wp:positionV>
            <wp:extent cx="228028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7">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0"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Lesley Ann Calhoun</w:t>
      </w:r>
    </w:p>
    <w:p>
      <w:pPr>
        <w:spacing w:after="0" w:line="36"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Executive Vice President, Chief Financial</w:t>
      </w:r>
    </w:p>
    <w:p>
      <w:pPr>
        <w:spacing w:after="0" w:line="23" w:lineRule="exact"/>
        <w:rPr>
          <w:sz w:val="20"/>
          <w:szCs w:val="20"/>
          <w:color w:val="auto"/>
        </w:rPr>
      </w:pPr>
    </w:p>
    <w:p>
      <w:pPr>
        <w:jc w:val="center"/>
        <w:ind w:left="7620"/>
        <w:spacing w:after="0"/>
        <w:rPr>
          <w:sz w:val="20"/>
          <w:szCs w:val="20"/>
          <w:color w:val="auto"/>
        </w:rPr>
      </w:pPr>
      <w:r>
        <w:rPr>
          <w:rFonts w:ascii="Arial" w:cs="Arial" w:eastAsia="Arial" w:hAnsi="Arial"/>
          <w:sz w:val="18"/>
          <w:szCs w:val="18"/>
          <w:color w:val="auto"/>
        </w:rPr>
        <w:t>Officer</w:t>
      </w:r>
    </w:p>
    <w:p>
      <w:pPr>
        <w:spacing w:after="0" w:line="22" w:lineRule="exact"/>
        <w:rPr>
          <w:sz w:val="20"/>
          <w:szCs w:val="20"/>
          <w:color w:val="auto"/>
        </w:rPr>
      </w:pPr>
    </w:p>
    <w:p>
      <w:pPr>
        <w:jc w:val="center"/>
        <w:ind w:left="76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0" w:name="page151"/>
    <w:bookmarkEnd w:id="1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1)"/>
      <w:numFmt w:val="lowerRoman"/>
      <w:start w:val="3"/>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1)"/>
      <w:numFmt w:val="decimal"/>
      <w:start w:val="2"/>
    </w:lvl>
  </w:abstractNum>
  <w:abstractNum w:abstractNumId="54">
    <w:nsid w:val="15B5AF5C"/>
    <w:multiLevelType w:val="hybridMultilevel"/>
    <w:lvl w:ilvl="0">
      <w:lvlJc w:val="left"/>
      <w:lvlText w:val="(%1)"/>
      <w:numFmt w:val="lowerRoman"/>
      <w:start w:val="1"/>
    </w:lvl>
  </w:abstractNum>
  <w:abstractNum w:abstractNumId="55">
    <w:nsid w:val="741226BB"/>
    <w:multiLevelType w:val="hybridMultilevel"/>
    <w:lvl w:ilvl="0">
      <w:lvlJc w:val="left"/>
      <w:lvlText w:val="(%1)"/>
      <w:numFmt w:val="lowerLetter"/>
      <w:start w:val="1"/>
    </w:lvl>
  </w:abstractNum>
  <w:abstractNum w:abstractNumId="56">
    <w:nsid w:val="D34B6A8"/>
    <w:multiLevelType w:val="hybridMultilevel"/>
    <w:lvl w:ilvl="0">
      <w:lvlJc w:val="left"/>
      <w:lvlText w:val="%1."/>
      <w:numFmt w:val="decimal"/>
      <w:start w:val="1"/>
    </w:lvl>
  </w:abstractNum>
  <w:abstractNum w:abstractNumId="57">
    <w:nsid w:val="10233C99"/>
    <w:multiLevelType w:val="hybridMultilevel"/>
    <w:lvl w:ilvl="0">
      <w:lvlJc w:val="left"/>
      <w:lvlText w:val="%1."/>
      <w:numFmt w:val="decimal"/>
      <w:start w:val="2"/>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305" Type="http://schemas.openxmlformats.org/officeDocument/2006/relationships/image" Target="media/image275.png"/><Relationship Id="rId306" Type="http://schemas.openxmlformats.org/officeDocument/2006/relationships/image" Target="media/image276.png"/><Relationship Id="rId311" Type="http://schemas.openxmlformats.org/officeDocument/2006/relationships/image" Target="media/image277.png"/><Relationship Id="rId312" Type="http://schemas.openxmlformats.org/officeDocument/2006/relationships/image" Target="media/image278.png"/><Relationship Id="rId313" Type="http://schemas.openxmlformats.org/officeDocument/2006/relationships/image" Target="media/image279.png"/><Relationship Id="rId314" Type="http://schemas.openxmlformats.org/officeDocument/2006/relationships/image" Target="media/image280.png"/><Relationship Id="rId315" Type="http://schemas.openxmlformats.org/officeDocument/2006/relationships/image" Target="media/image281.png"/><Relationship Id="rId316" Type="http://schemas.openxmlformats.org/officeDocument/2006/relationships/image" Target="media/image282.png"/><Relationship Id="rId317" Type="http://schemas.openxmlformats.org/officeDocument/2006/relationships/image" Target="media/image283.png"/><Relationship Id="rId318" Type="http://schemas.openxmlformats.org/officeDocument/2006/relationships/image" Target="media/image284.png"/><Relationship Id="rId319" Type="http://schemas.openxmlformats.org/officeDocument/2006/relationships/image" Target="media/image285.png"/><Relationship Id="rId320" Type="http://schemas.openxmlformats.org/officeDocument/2006/relationships/image" Target="media/image286.png"/><Relationship Id="rId321" Type="http://schemas.openxmlformats.org/officeDocument/2006/relationships/image" Target="media/image287.png"/><Relationship Id="rId322" Type="http://schemas.openxmlformats.org/officeDocument/2006/relationships/image" Target="media/image288.png"/><Relationship Id="rId323" Type="http://schemas.openxmlformats.org/officeDocument/2006/relationships/image" Target="media/image289.png"/><Relationship Id="rId324" Type="http://schemas.openxmlformats.org/officeDocument/2006/relationships/image" Target="media/image290.png"/><Relationship Id="rId325" Type="http://schemas.openxmlformats.org/officeDocument/2006/relationships/image" Target="media/image291.png"/><Relationship Id="rId326" Type="http://schemas.openxmlformats.org/officeDocument/2006/relationships/image" Target="media/image292.png"/><Relationship Id="rId327" Type="http://schemas.openxmlformats.org/officeDocument/2006/relationships/image" Target="media/image293.png"/><Relationship Id="rId328" Type="http://schemas.openxmlformats.org/officeDocument/2006/relationships/image" Target="media/image294.png"/><Relationship Id="rId329" Type="http://schemas.openxmlformats.org/officeDocument/2006/relationships/image" Target="media/image295.png"/><Relationship Id="rId330" Type="http://schemas.openxmlformats.org/officeDocument/2006/relationships/image" Target="media/image296.png"/><Relationship Id="rId331" Type="http://schemas.openxmlformats.org/officeDocument/2006/relationships/image" Target="media/image297.png"/><Relationship Id="rId332" Type="http://schemas.openxmlformats.org/officeDocument/2006/relationships/image" Target="media/image298.png"/><Relationship Id="rId333" Type="http://schemas.openxmlformats.org/officeDocument/2006/relationships/image" Target="media/image299.png"/><Relationship Id="rId334" Type="http://schemas.openxmlformats.org/officeDocument/2006/relationships/image" Target="media/image300.png"/><Relationship Id="rId335" Type="http://schemas.openxmlformats.org/officeDocument/2006/relationships/image" Target="media/image301.png"/><Relationship Id="rId336" Type="http://schemas.openxmlformats.org/officeDocument/2006/relationships/image" Target="media/image302.png"/><Relationship Id="rId337" Type="http://schemas.openxmlformats.org/officeDocument/2006/relationships/image" Target="media/image303.png"/><Relationship Id="rId338" Type="http://schemas.openxmlformats.org/officeDocument/2006/relationships/image" Target="media/image304.png"/><Relationship Id="rId282" Type="http://schemas.openxmlformats.org/officeDocument/2006/relationships/hyperlink" Target="https://www.sec.gov/Archives/edgar/data/1799448/000119312520272852/d46540dex31.htm" TargetMode="External"/><Relationship Id="rId283" Type="http://schemas.openxmlformats.org/officeDocument/2006/relationships/hyperlink" Target="https://www.sec.gov/Archives/edgar/data/1799448/000119312520272852/d46540dex32.htm" TargetMode="External"/><Relationship Id="rId284" Type="http://schemas.openxmlformats.org/officeDocument/2006/relationships/hyperlink" Target="https://www.sec.gov/Archives/edgar/data/1799448/000119312520267346/d31402dex42.htm" TargetMode="External"/><Relationship Id="rId285" Type="http://schemas.openxmlformats.org/officeDocument/2006/relationships/hyperlink" Target="https://www.sec.gov/Archives/edgar/data/0001799448/000156459021014872/algs-ex43_785.htm" TargetMode="External"/><Relationship Id="rId286" Type="http://schemas.openxmlformats.org/officeDocument/2006/relationships/hyperlink" Target="https://www.sec.gov/Archives/edgar/data/1799448/000119312520254760/d31402dex101a.htm" TargetMode="External"/><Relationship Id="rId287" Type="http://schemas.openxmlformats.org/officeDocument/2006/relationships/hyperlink" Target="https://www.sec.gov/Archives/edgar/data/1799448/000119312520254760/d31402dex101b.htm" TargetMode="External"/><Relationship Id="rId288" Type="http://schemas.openxmlformats.org/officeDocument/2006/relationships/hyperlink" Target="https://www.sec.gov/Archives/edgar/data/1799448/000119312520254760/d31402dex102a.htm" TargetMode="External"/><Relationship Id="rId289" Type="http://schemas.openxmlformats.org/officeDocument/2006/relationships/hyperlink" Target="https://www.sec.gov/Archives/edgar/data/1799448/000119312520254760/d31402dex102b.htm" TargetMode="External"/><Relationship Id="rId290" Type="http://schemas.openxmlformats.org/officeDocument/2006/relationships/hyperlink" Target="https://www.sec.gov/Archives/edgar/data/1799448/000119312520254760/d31402dex103.htm" TargetMode="External"/><Relationship Id="rId291" Type="http://schemas.openxmlformats.org/officeDocument/2006/relationships/hyperlink" Target="https://www.sec.gov/Archives/edgar/data/1799448/000119312520267346/d31402dex104.htm" TargetMode="External"/><Relationship Id="rId292" Type="http://schemas.openxmlformats.org/officeDocument/2006/relationships/hyperlink" Target="https://www.sec.gov/Archives/edgar/data/1799448/000119312520254760/d31402dex105a.htm" TargetMode="External"/><Relationship Id="rId293" Type="http://schemas.openxmlformats.org/officeDocument/2006/relationships/hyperlink" Target="https://www.sec.gov/Archives/edgar/data/1799448/000119312520254760/d31402dex105b.htm" TargetMode="External"/><Relationship Id="rId294" Type="http://schemas.openxmlformats.org/officeDocument/2006/relationships/hyperlink" Target="https://www.sec.gov/Archives/edgar/data/1799448/000119312520254760/d31402dex105c.htm" TargetMode="External"/><Relationship Id="rId295" Type="http://schemas.openxmlformats.org/officeDocument/2006/relationships/hyperlink" Target="https://www.sec.gov/Archives/edgar/data/1799448/000119312520254760/d31402dex105d.htm" TargetMode="External"/><Relationship Id="rId296" Type="http://schemas.openxmlformats.org/officeDocument/2006/relationships/hyperlink" Target="https://www.sec.gov/Archives/edgar/data/1799448/000119312520267346/d31402dex106a.htm" TargetMode="External"/><Relationship Id="rId297" Type="http://schemas.openxmlformats.org/officeDocument/2006/relationships/hyperlink" Target="https://www.sec.gov/Archives/edgar/data/1799448/000119312520267346/d31402dex106b.htm" TargetMode="External"/><Relationship Id="rId298" Type="http://schemas.openxmlformats.org/officeDocument/2006/relationships/hyperlink" Target="https://www.sec.gov/Archives/edgar/data/1799448/000119312520267346/d31402dex106c.htm" TargetMode="External"/><Relationship Id="rId299" Type="http://schemas.openxmlformats.org/officeDocument/2006/relationships/hyperlink" Target="https://www.sec.gov/Archives/edgar/data/1799448/000119312520267346/d31402dex106d.htm" TargetMode="External"/><Relationship Id="rId300" Type="http://schemas.openxmlformats.org/officeDocument/2006/relationships/hyperlink" Target="https://www.sec.gov/Archives/edgar/data/1799448/000119312520267346/d31402dex107.htm" TargetMode="External"/><Relationship Id="rId301" Type="http://schemas.openxmlformats.org/officeDocument/2006/relationships/hyperlink" Target="https://www.sec.gov/Archives/edgar/data/1799448/000119312520267346/d31402dex1010.htm" TargetMode="External"/><Relationship Id="rId302" Type="http://schemas.openxmlformats.org/officeDocument/2006/relationships/hyperlink" Target="https://www.sec.gov/Archives/edgar/data/1799448/000119312520267346/d31402dex1011.htm" TargetMode="External"/><Relationship Id="rId303" Type="http://schemas.openxmlformats.org/officeDocument/2006/relationships/hyperlink" Target="https://www.sec.gov/Archives/edgar/data/1799448/000119312520267346/d31402dex1012.htm" TargetMode="External"/><Relationship Id="rId304" Type="http://schemas.openxmlformats.org/officeDocument/2006/relationships/hyperlink" Target="https://www.sec.gov/Archives/edgar/data/0001799448/000156459021026071/algs-ex101_184.htm" TargetMode="External"/><Relationship Id="rId307" Type="http://schemas.openxmlformats.org/officeDocument/2006/relationships/hyperlink" Target="https://www.sec.gov/Archives/edgar/data/0001799448/000156459021026071/algs-ex102_183.htm" TargetMode="External"/><Relationship Id="rId308" Type="http://schemas.openxmlformats.org/officeDocument/2006/relationships/hyperlink" Target="https://www.sec.gov/Archives/edgar/data/0001799448/000156459021026071/algs-ex103_277.htm" TargetMode="External"/><Relationship Id="rId309" Type="http://schemas.openxmlformats.org/officeDocument/2006/relationships/hyperlink" Target="https://www.sec.gov/Archives/edgar/data/0001799448/000156459021026071/algs-ex104_182.htm" TargetMode="External"/><Relationship Id="rId310" Type="http://schemas.openxmlformats.org/officeDocument/2006/relationships/hyperlink" Target="https://www.sec.gov/Archives/edgar/data/1799448/000095017022003365/algs-ex10_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2023-03-09T17:09:09Z</dcterms:created>
  <dcterms:modified xsi:type="dcterms:W3CDTF">2023-03-09T17:09:09Z</dcterms:modified>
</cp:coreProperties>
</file>